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奇政办规〔2024〕6号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44"/>
          <w:szCs w:val="44"/>
        </w:rPr>
        <w:t>关于</w:t>
      </w:r>
      <w:r>
        <w:rPr>
          <w:rFonts w:hint="eastAsia" w:ascii="宋体" w:hAnsi="宋体" w:eastAsia="宋体" w:cs="宋体"/>
          <w:spacing w:val="-20"/>
          <w:sz w:val="44"/>
          <w:szCs w:val="44"/>
          <w:lang w:eastAsia="zh-CN"/>
        </w:rPr>
        <w:t>印发</w:t>
      </w:r>
      <w:r>
        <w:rPr>
          <w:rFonts w:hint="eastAsia" w:ascii="宋体" w:hAnsi="宋体" w:eastAsia="宋体" w:cs="宋体"/>
          <w:spacing w:val="-20"/>
          <w:sz w:val="44"/>
          <w:szCs w:val="44"/>
          <w:lang w:val="en-US" w:eastAsia="zh-CN"/>
        </w:rPr>
        <w:t>奇台县落实</w:t>
      </w:r>
      <w:r>
        <w:rPr>
          <w:rFonts w:hint="eastAsia" w:ascii="宋体" w:hAnsi="宋体" w:eastAsia="宋体" w:cs="宋体"/>
          <w:spacing w:val="-20"/>
          <w:sz w:val="44"/>
          <w:szCs w:val="44"/>
        </w:rPr>
        <w:t>林草</w:t>
      </w:r>
      <w:r>
        <w:rPr>
          <w:rFonts w:hint="eastAsia" w:ascii="宋体" w:hAnsi="宋体" w:eastAsia="宋体" w:cs="宋体"/>
          <w:spacing w:val="-20"/>
          <w:sz w:val="44"/>
          <w:szCs w:val="44"/>
          <w:lang w:val="en-US" w:eastAsia="zh-CN"/>
        </w:rPr>
        <w:t>保护管理十条措施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44"/>
          <w:szCs w:val="44"/>
          <w:highlight w:val="none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各乡镇人民政府，各有关单位：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《奇台县落实林草保护管理十条措施》已经第十八届人民政府第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次常务会议研究通过，现印发给你们，请认真贯彻落实。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奇台县人民政府办公室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奇台县落实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林草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保护管理十条措施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为深入贯彻落实习近平生态文明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思想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牢固树立和践行“绿水青山就是金山银山”的理念，统筹“山水林田湖草沙”一体化保护和系统治理，充分发挥林长制统领作用，</w:t>
      </w:r>
      <w:r>
        <w:rPr>
          <w:rFonts w:hint="eastAsia" w:ascii="仿宋_GB2312" w:hAnsi="黑体" w:eastAsia="仿宋_GB2312"/>
          <w:sz w:val="32"/>
          <w:szCs w:val="32"/>
        </w:rPr>
        <w:t>压实县乡村三级林长森林草原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保护</w:t>
      </w:r>
      <w:r>
        <w:rPr>
          <w:rFonts w:hint="eastAsia" w:ascii="仿宋_GB2312" w:hAnsi="黑体" w:eastAsia="仿宋_GB2312"/>
          <w:sz w:val="32"/>
          <w:szCs w:val="32"/>
        </w:rPr>
        <w:t>责任，结合我县实际，制定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黑体" w:eastAsia="仿宋_GB2312"/>
          <w:sz w:val="32"/>
          <w:szCs w:val="32"/>
        </w:rPr>
        <w:t>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压实县乡村三级林长责任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各级林长、副林长要切实履行职责任务，抓好林草资源的管理保护工作。</w:t>
      </w:r>
      <w:r>
        <w:rPr>
          <w:rFonts w:hint="eastAsia" w:ascii="仿宋_GB2312" w:hAnsi="黑体" w:eastAsia="仿宋_GB2312"/>
          <w:sz w:val="32"/>
          <w:szCs w:val="32"/>
        </w:rPr>
        <w:t>县级林长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副林长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全年完成2次巡林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负责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黑体" w:eastAsia="仿宋_GB2312"/>
          <w:sz w:val="32"/>
          <w:szCs w:val="32"/>
        </w:rPr>
        <w:t>林长制的组织、协调及调度工作，督促指导责任区林草资源的保护管理工作。乡级林长、副林长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全年完成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次巡林，负责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本乡镇林木管护</w:t>
      </w:r>
      <w:r>
        <w:rPr>
          <w:rFonts w:hint="eastAsia" w:ascii="仿宋_GB2312" w:hAnsi="黑体" w:eastAsia="仿宋_GB2312"/>
          <w:sz w:val="32"/>
          <w:szCs w:val="32"/>
        </w:rPr>
        <w:t>网格化建设，落实林水林用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及时灌溉</w:t>
      </w:r>
      <w:r>
        <w:rPr>
          <w:rFonts w:hint="eastAsia" w:ascii="仿宋_GB2312" w:hAnsi="黑体" w:eastAsia="仿宋_GB2312"/>
          <w:sz w:val="32"/>
          <w:szCs w:val="32"/>
        </w:rPr>
        <w:t>，确保林木不发生大面积受旱死亡，成活率、保存率达标。村级林长、副林长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全年完成巡林任务，完成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采伐更新、</w:t>
      </w:r>
      <w:r>
        <w:rPr>
          <w:rFonts w:hint="eastAsia" w:ascii="仿宋_GB2312" w:hAnsi="黑体" w:eastAsia="仿宋_GB2312"/>
          <w:sz w:val="32"/>
          <w:szCs w:val="32"/>
        </w:rPr>
        <w:t>村庄绿化、林地灌溉等各项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林木管护</w:t>
      </w:r>
      <w:r>
        <w:rPr>
          <w:rFonts w:hint="eastAsia" w:ascii="仿宋_GB2312" w:hAnsi="黑体" w:eastAsia="仿宋_GB2312"/>
          <w:sz w:val="32"/>
          <w:szCs w:val="32"/>
        </w:rPr>
        <w:t>任务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及时制止、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举报</w:t>
      </w:r>
      <w:r>
        <w:rPr>
          <w:rFonts w:hint="eastAsia" w:ascii="仿宋_GB2312" w:hAnsi="黑体" w:eastAsia="仿宋_GB2312"/>
          <w:sz w:val="32"/>
          <w:szCs w:val="32"/>
        </w:rPr>
        <w:t>各类破坏森林草原资源及野生动植物违法行为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。对三级林长制责任落实情况实行“月通报年考核”机制，层层传导压力，将责任落实到具体的人、具体的地块。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二、加强乡村两级林木管护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队伍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实加强林草专业技术人员力量，各乡镇要配备2-3名专兼职林草工作人员，宣传贯彻执行森林、草地、野生动植物资源保护等法律、法规和各项林草方针、政策。建立健全乡镇林长制“一长一站一员”网络化管理体系，推广林业科学技术，开展林业技术培训、技术咨询和技术服务等林业社会化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要加强村组护林员队伍建设，按照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自治区林长制网格化管理办法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每村至少配备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名生态护林员，每组至少配备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名生态护林员，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重新划分和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林长制网格体系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lang w:val="en-US" w:eastAsia="zh-CN"/>
        </w:rPr>
        <w:t xml:space="preserve">    三、加强</w:t>
      </w:r>
      <w:r>
        <w:rPr>
          <w:rFonts w:hint="eastAsia" w:ascii="黑体" w:hAnsi="黑体" w:eastAsia="黑体" w:cs="黑体"/>
          <w:b w:val="0"/>
          <w:bCs w:val="0"/>
          <w:kern w:val="2"/>
        </w:rPr>
        <w:t>农田防护林管护</w:t>
      </w:r>
      <w:r>
        <w:rPr>
          <w:rFonts w:hint="eastAsia" w:ascii="黑体" w:hAnsi="黑体" w:eastAsia="黑体" w:cs="黑体"/>
          <w:b w:val="0"/>
          <w:bCs w:val="0"/>
          <w:kern w:val="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末级渠系建设、高标准农田建设项目，将农田灌溉与林业灌溉有机结合，不断完善防护林灌溉设施，着力实现“一套渠系、两方受益”。全面清理农田防护林缺株断行、成片死亡的现象，对灌溉有保障的退化人工乔木林，有序进行补植和更新，加强人工林灌溉和管护，达到“林木能成活、林相有改观、林网再完善”的目的。各乡镇要全面落实林权所有人的权责义务，建立防护林管护与土地承包经营权挂钩制度，签订管护合同书，将农田防护林管护责任明确到人，确保防护林有人管护、有人尽责。</w:t>
      </w: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四、加强退耕还林管护。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加大退耕还林后续管理发展的支持力度，对保存率达到65%以上的退耕还林地块继续实行定额配水，</w:t>
      </w:r>
      <w:r>
        <w:rPr>
          <w:rFonts w:hint="eastAsia" w:ascii="仿宋_GB2312" w:eastAsia="仿宋_GB2312"/>
          <w:sz w:val="32"/>
          <w:szCs w:val="32"/>
        </w:rPr>
        <w:t>在合理利用现有生态配水资源的基础上，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制定退耕还林限类套种政策措施，</w:t>
      </w:r>
      <w:r>
        <w:rPr>
          <w:rFonts w:hint="eastAsia" w:ascii="仿宋_GB2312" w:eastAsia="仿宋_GB2312"/>
          <w:sz w:val="32"/>
          <w:szCs w:val="32"/>
        </w:rPr>
        <w:t>通过限类套种豆类、牧草和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中草药等多种作物</w:t>
      </w:r>
      <w:r>
        <w:rPr>
          <w:rFonts w:hint="eastAsia" w:ascii="仿宋_GB2312" w:eastAsia="仿宋_GB2312"/>
          <w:sz w:val="32"/>
          <w:szCs w:val="32"/>
        </w:rPr>
        <w:t>，提高林地效益，促进农民增收，推动“以耕促抚、以耕促管”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鼓励林业种植户盘活利用现有退耕还林资源，大力发展文冠果、枸杞、苦参等抗旱品质，对种植面积达到100亩以上且经济效益较好的予以项目支持。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加大退耕还林巡护管护力度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严禁退耕还林复耕</w:t>
      </w:r>
      <w:r>
        <w:rPr>
          <w:rFonts w:hint="default" w:ascii="仿宋_GB2312" w:hAnsi="Times New Roman" w:eastAsia="仿宋_GB2312" w:cs="Times New Roman"/>
          <w:sz w:val="32"/>
          <w:szCs w:val="32"/>
        </w:rPr>
        <w:t>弃管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五、扶持特色林果业提质增效。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坚持推动林果业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-SA"/>
        </w:rPr>
        <w:t>提质增效、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-SA"/>
        </w:rPr>
        <w:t>高质量发展，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-SA"/>
        </w:rPr>
        <w:t>强化林果业标准化生产，加强与自治区科研院所的合作，建立以文冠果、榛子为主的科研示范基地。积极引进推广适合本地种植的香妃海棠、榛子、油桃等新品种，推广新技术，打造一批经济效益好、可推广的经济林示范园，不断提升林果产品产值。加强林果疏密改造、花果管理、整形修剪等技术指导，定期开展技术培训服务。依托国家特色林果业项目，积极争取项目资金扶持壮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六、强化禁牧和草畜平衡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管理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</w:rPr>
        <w:t>各乡镇要落实禁牧区巡护和草畜平衡区抽查工作，禁牧区每季度不少于一次，草畜平衡区完成春夏秋三季抽查，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每次</w:t>
      </w:r>
      <w:r>
        <w:rPr>
          <w:rFonts w:hint="eastAsia" w:ascii="仿宋_GB2312" w:eastAsia="仿宋_GB2312"/>
          <w:kern w:val="0"/>
          <w:sz w:val="32"/>
          <w:szCs w:val="32"/>
        </w:rPr>
        <w:t>抽查比例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kern w:val="0"/>
          <w:sz w:val="32"/>
          <w:szCs w:val="32"/>
        </w:rPr>
        <w:t>每个村不少于</w:t>
      </w:r>
      <w:r>
        <w:rPr>
          <w:rFonts w:ascii="仿宋_GB2312" w:eastAsia="仿宋_GB2312"/>
          <w:kern w:val="0"/>
          <w:sz w:val="32"/>
          <w:szCs w:val="32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户。对落实禁牧和草畜平衡不到位的乡镇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根据绩效考核</w:t>
      </w:r>
      <w:r>
        <w:rPr>
          <w:rFonts w:hint="eastAsia" w:ascii="仿宋_GB2312" w:eastAsia="仿宋_GB2312"/>
          <w:kern w:val="0"/>
          <w:sz w:val="32"/>
          <w:szCs w:val="32"/>
        </w:rPr>
        <w:t>扣除相应分值。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kern w:val="0"/>
          <w:sz w:val="32"/>
          <w:szCs w:val="32"/>
        </w:rPr>
        <w:t>《新疆维吾尔自治区草原禁牧和草畜平衡监督管理办法》规定，对不履行禁牧和草畜平衡义务的牧民，在国家实施草原生态保护补助奖励机制期间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暂停或停止发放禁牧补助和草畜平衡奖励资金。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七、加强林业配水管理。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不同树种、成幼林分、经济林等林种，结合年度林业用水总量，科学核定各林种需水量，制定配水计划。加强林业用水管理，实行农业用水与林业用水分卡管理、分期配水。在林业用水总量不变的前提下，积极推动乡镇区域内林业用水水权交易，确保有限的水资源得到合理有效利用。坚持林业用水专水专用，严禁挪用林业生态用水，坚决杜绝改变林业用水用途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一经发现将停止供水，并</w:t>
      </w:r>
      <w:r>
        <w:rPr>
          <w:rFonts w:hint="eastAsia" w:ascii="仿宋_GB2312" w:eastAsia="仿宋_GB2312"/>
          <w:sz w:val="32"/>
          <w:szCs w:val="32"/>
        </w:rPr>
        <w:t>依法依规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eastAsia="仿宋_GB2312"/>
          <w:sz w:val="32"/>
          <w:szCs w:val="32"/>
        </w:rPr>
        <w:t>处罚。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对死亡的林木且无灌溉设施的林带、林地不予配水。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八、严厉打击林草违法犯罪行为。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依法办理征占用林草资源手续，严厉打击非法征占用林草地、破坏自然保护地、调运未检疫林产品、</w:t>
      </w:r>
      <w:r>
        <w:rPr>
          <w:rFonts w:hint="eastAsia" w:ascii="仿宋_GB2312" w:hAnsi="黑体" w:eastAsia="仿宋_GB2312"/>
          <w:sz w:val="32"/>
          <w:szCs w:val="32"/>
        </w:rPr>
        <w:t>毁林复耕、盗伐滥伐、乱捕乱猎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乱采乱挖</w:t>
      </w:r>
      <w:r>
        <w:rPr>
          <w:rFonts w:hint="eastAsia" w:ascii="仿宋_GB2312" w:hAnsi="黑体" w:eastAsia="仿宋_GB2312"/>
          <w:sz w:val="32"/>
          <w:szCs w:val="32"/>
        </w:rPr>
        <w:t>野生动植物及非法售卖野生动植物制品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等违法行为，</w:t>
      </w:r>
      <w:r>
        <w:rPr>
          <w:rFonts w:hint="eastAsia" w:ascii="仿宋_GB2312" w:eastAsia="仿宋_GB2312"/>
          <w:sz w:val="32"/>
          <w:szCs w:val="32"/>
        </w:rPr>
        <w:t>从重从快处理一批涉林违法案件，向社会曝光一批典型案例，坚决遏制非法破坏森林草原资源行为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。积极做好森林草原安全隐患排查、野外火源管控和火灾扑救工作，定期</w:t>
      </w:r>
      <w:r>
        <w:rPr>
          <w:rFonts w:hint="eastAsia" w:ascii="仿宋_GB2312" w:hAnsi="黑体" w:eastAsia="仿宋_GB2312"/>
          <w:sz w:val="32"/>
          <w:szCs w:val="32"/>
        </w:rPr>
        <w:t>开展森林和</w:t>
      </w:r>
      <w:r>
        <w:rPr>
          <w:rFonts w:hint="eastAsia" w:ascii="仿宋_GB2312" w:eastAsia="仿宋_GB2312"/>
          <w:sz w:val="32"/>
          <w:szCs w:val="32"/>
        </w:rPr>
        <w:t>草原野外火源管控专项行动，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及时消除火灾隐患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九、保障地方公益林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管护资金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要落实地方公益林、农田防护林、村庄绿化的属地管护责任，落实必要的管护经费。县财政对高速公路出口、G335、S240及城西防护林绿化的管护费用（人员工资、水电费、水资源费、灌溉材料及设备维护费等）给予必要保障。林草部门积极争取专项资金，为地方公益林管护提供资金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十、强化林草管护工作考核。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明确林草资源保护工作中行业部门的监管责任、乡镇的主体责任、村组的具体责任、生态护林员的管护责任，将林草资源保护工作纳入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绩效考核指标，</w:t>
      </w:r>
      <w:r>
        <w:rPr>
          <w:rFonts w:hint="eastAsia" w:ascii="仿宋_GB2312" w:eastAsia="仿宋_GB2312"/>
          <w:sz w:val="32"/>
          <w:szCs w:val="32"/>
        </w:rPr>
        <w:t>考核结果设为四个等次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辖区林木保存率90%以上为优秀，8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%至90%为良好，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0%至8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%为合格，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0%以下为不合格。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针对林木存活率不达标、工作落实不到位的乡镇，由林长对其包联负责的下级林长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进行约谈、通报；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林草资源保护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职责落实有力、业绩突出、成效显著的，由林长办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逐级上报</w:t>
      </w:r>
      <w:r>
        <w:rPr>
          <w:rFonts w:hint="eastAsia" w:ascii="仿宋_GB2312" w:eastAsia="仿宋_GB2312"/>
          <w:sz w:val="32"/>
          <w:szCs w:val="32"/>
        </w:rPr>
        <w:t>予以表彰奖励。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280" w:firstLine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/>
        </w:rPr>
        <w:t>奇台县人民政府办公室</w:t>
      </w:r>
      <w:r>
        <w:rPr>
          <w:rFonts w:hint="eastAsia" w:cs="仿宋_GB2312"/>
          <w:b w:val="0"/>
          <w:kern w:val="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/>
        </w:rPr>
        <w:t>2024年7月23日印发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4003"/>
    <w:rsid w:val="01146265"/>
    <w:rsid w:val="025E62A9"/>
    <w:rsid w:val="036032DF"/>
    <w:rsid w:val="04226645"/>
    <w:rsid w:val="058379B3"/>
    <w:rsid w:val="05A12A0A"/>
    <w:rsid w:val="05D72C07"/>
    <w:rsid w:val="0B100897"/>
    <w:rsid w:val="0BD15897"/>
    <w:rsid w:val="0C8E774C"/>
    <w:rsid w:val="0D5C3C61"/>
    <w:rsid w:val="0E061793"/>
    <w:rsid w:val="10E64898"/>
    <w:rsid w:val="11E9487F"/>
    <w:rsid w:val="1216769E"/>
    <w:rsid w:val="149F23C9"/>
    <w:rsid w:val="16E40F67"/>
    <w:rsid w:val="16ED39B2"/>
    <w:rsid w:val="179F4B62"/>
    <w:rsid w:val="195D4980"/>
    <w:rsid w:val="19616856"/>
    <w:rsid w:val="19AA5BCF"/>
    <w:rsid w:val="1B9025DC"/>
    <w:rsid w:val="1C766B06"/>
    <w:rsid w:val="1CA12398"/>
    <w:rsid w:val="1CB90A23"/>
    <w:rsid w:val="1DF0191D"/>
    <w:rsid w:val="1EA35757"/>
    <w:rsid w:val="1EB42154"/>
    <w:rsid w:val="1FD24117"/>
    <w:rsid w:val="233F1326"/>
    <w:rsid w:val="236F71A7"/>
    <w:rsid w:val="24061958"/>
    <w:rsid w:val="24D47657"/>
    <w:rsid w:val="26FB10FE"/>
    <w:rsid w:val="288D4003"/>
    <w:rsid w:val="28B82B5D"/>
    <w:rsid w:val="29EC50E5"/>
    <w:rsid w:val="2A3634CC"/>
    <w:rsid w:val="2AA26E79"/>
    <w:rsid w:val="2B036D2C"/>
    <w:rsid w:val="336B0201"/>
    <w:rsid w:val="337B25C1"/>
    <w:rsid w:val="33AEDF9D"/>
    <w:rsid w:val="33E345F1"/>
    <w:rsid w:val="366D5476"/>
    <w:rsid w:val="3772105F"/>
    <w:rsid w:val="37A609BD"/>
    <w:rsid w:val="37D1515D"/>
    <w:rsid w:val="37F558AC"/>
    <w:rsid w:val="3A5C0A03"/>
    <w:rsid w:val="3A63540E"/>
    <w:rsid w:val="3B266598"/>
    <w:rsid w:val="3D7BD003"/>
    <w:rsid w:val="3D957C59"/>
    <w:rsid w:val="3DD76BD2"/>
    <w:rsid w:val="3E915DF8"/>
    <w:rsid w:val="3EC066FD"/>
    <w:rsid w:val="3F3B93CE"/>
    <w:rsid w:val="3FFF4757"/>
    <w:rsid w:val="4018741B"/>
    <w:rsid w:val="402E2A5A"/>
    <w:rsid w:val="4034225D"/>
    <w:rsid w:val="41100A1F"/>
    <w:rsid w:val="41BD0225"/>
    <w:rsid w:val="436C4EB3"/>
    <w:rsid w:val="441422D0"/>
    <w:rsid w:val="4429460B"/>
    <w:rsid w:val="45086A35"/>
    <w:rsid w:val="455C0B23"/>
    <w:rsid w:val="468D5728"/>
    <w:rsid w:val="46B10605"/>
    <w:rsid w:val="48E437EB"/>
    <w:rsid w:val="4938731E"/>
    <w:rsid w:val="4C3B52C4"/>
    <w:rsid w:val="4CF91367"/>
    <w:rsid w:val="4CFFFE66"/>
    <w:rsid w:val="4DCB76CA"/>
    <w:rsid w:val="4E1E37F9"/>
    <w:rsid w:val="4E3276B5"/>
    <w:rsid w:val="4E654798"/>
    <w:rsid w:val="4E9303E0"/>
    <w:rsid w:val="4F88328D"/>
    <w:rsid w:val="50C92C46"/>
    <w:rsid w:val="535F527D"/>
    <w:rsid w:val="539D183E"/>
    <w:rsid w:val="55401D6C"/>
    <w:rsid w:val="580F33F3"/>
    <w:rsid w:val="58D75D44"/>
    <w:rsid w:val="5A8A154B"/>
    <w:rsid w:val="5ABA2441"/>
    <w:rsid w:val="5DD81FC2"/>
    <w:rsid w:val="5ED9954A"/>
    <w:rsid w:val="600531BB"/>
    <w:rsid w:val="60AD07E8"/>
    <w:rsid w:val="61581A30"/>
    <w:rsid w:val="62065892"/>
    <w:rsid w:val="626826AF"/>
    <w:rsid w:val="630554E5"/>
    <w:rsid w:val="64F33292"/>
    <w:rsid w:val="6660008F"/>
    <w:rsid w:val="66892C46"/>
    <w:rsid w:val="66ED0F50"/>
    <w:rsid w:val="67713285"/>
    <w:rsid w:val="684E7390"/>
    <w:rsid w:val="68F84345"/>
    <w:rsid w:val="691A75A2"/>
    <w:rsid w:val="6A6A5C30"/>
    <w:rsid w:val="6ACA2A94"/>
    <w:rsid w:val="6B675344"/>
    <w:rsid w:val="6FC71FAC"/>
    <w:rsid w:val="6FFCB55D"/>
    <w:rsid w:val="707C5062"/>
    <w:rsid w:val="70844D3A"/>
    <w:rsid w:val="70DF183B"/>
    <w:rsid w:val="71326109"/>
    <w:rsid w:val="721C57B1"/>
    <w:rsid w:val="72265039"/>
    <w:rsid w:val="72325E6B"/>
    <w:rsid w:val="723313A4"/>
    <w:rsid w:val="74594F4B"/>
    <w:rsid w:val="74612719"/>
    <w:rsid w:val="75884C8C"/>
    <w:rsid w:val="75AB3929"/>
    <w:rsid w:val="76A75CBE"/>
    <w:rsid w:val="7737334A"/>
    <w:rsid w:val="77BB37D1"/>
    <w:rsid w:val="77EA6F30"/>
    <w:rsid w:val="77F5EDA5"/>
    <w:rsid w:val="77FE6AC1"/>
    <w:rsid w:val="78FF2EC7"/>
    <w:rsid w:val="79DD7340"/>
    <w:rsid w:val="7A4742D1"/>
    <w:rsid w:val="7A520A2E"/>
    <w:rsid w:val="7A772A09"/>
    <w:rsid w:val="7A855B99"/>
    <w:rsid w:val="7B043B9D"/>
    <w:rsid w:val="7B3437C7"/>
    <w:rsid w:val="7B7C2C24"/>
    <w:rsid w:val="7BAA5637"/>
    <w:rsid w:val="7BB5D315"/>
    <w:rsid w:val="7BFB6B32"/>
    <w:rsid w:val="7CD53C0B"/>
    <w:rsid w:val="7D273576"/>
    <w:rsid w:val="7DBFCD8E"/>
    <w:rsid w:val="7E79563D"/>
    <w:rsid w:val="7F8F018A"/>
    <w:rsid w:val="7FFD854D"/>
    <w:rsid w:val="96BDC037"/>
    <w:rsid w:val="9DBF9B1C"/>
    <w:rsid w:val="BDE6124A"/>
    <w:rsid w:val="BFEB7BEF"/>
    <w:rsid w:val="BFF58870"/>
    <w:rsid w:val="BFF64698"/>
    <w:rsid w:val="C75F0A1C"/>
    <w:rsid w:val="DEDD8ABB"/>
    <w:rsid w:val="DFDB7025"/>
    <w:rsid w:val="DFDE4F9F"/>
    <w:rsid w:val="DFEFC1CB"/>
    <w:rsid w:val="F7FF80DE"/>
    <w:rsid w:val="FBDF656E"/>
    <w:rsid w:val="FE3FB546"/>
    <w:rsid w:val="FFBFC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eastAsia="黑体"/>
      <w:bCs/>
      <w:kern w:val="2"/>
      <w:sz w:val="32"/>
      <w:szCs w:val="32"/>
      <w:lang w:val="en-US" w:eastAsia="zh-CN" w:bidi="ar-SA"/>
    </w:rPr>
  </w:style>
  <w:style w:type="paragraph" w:styleId="7">
    <w:name w:val="heading 3"/>
    <w:basedOn w:val="1"/>
    <w:next w:val="1"/>
    <w:qFormat/>
    <w:uiPriority w:val="9"/>
    <w:pPr>
      <w:keepNext/>
      <w:keepLines/>
      <w:ind w:firstLine="200" w:firstLineChars="200"/>
      <w:textAlignment w:val="center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ind w:firstLine="645"/>
      <w:jc w:val="left"/>
    </w:pPr>
    <w:rPr>
      <w:rFonts w:ascii="仿宋_GB2312" w:hAnsi="仿宋_GB2312"/>
      <w:color w:val="000000" w:themeColor="text1"/>
      <w:spacing w:val="-2"/>
      <w:szCs w:val="32"/>
      <w14:textFill>
        <w14:solidFill>
          <w14:schemeClr w14:val="tx1"/>
        </w14:solidFill>
      </w14:textFill>
    </w:rPr>
  </w:style>
  <w:style w:type="paragraph" w:styleId="4">
    <w:name w:val="Body Text First Indent"/>
    <w:basedOn w:val="5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kern w:val="14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样式 样式 规划修编 + 首行缩进:  2 字符1 + 首行缩进:  2 字符 + 首行缩进:  2 字符 + 首行... + ..."/>
    <w:basedOn w:val="18"/>
    <w:qFormat/>
    <w:uiPriority w:val="0"/>
    <w:pPr>
      <w:ind w:firstLine="560"/>
    </w:pPr>
    <w:rPr>
      <w:rFonts w:eastAsia="宋体"/>
    </w:rPr>
  </w:style>
  <w:style w:type="paragraph" w:customStyle="1" w:styleId="18">
    <w:name w:val="样式 规划修编 + 首行缩进:  2 字符1 + 首行缩进:  2 字符 + 首行缩进:  2 字符 + 首行... + 首行缩..."/>
    <w:basedOn w:val="19"/>
    <w:qFormat/>
    <w:uiPriority w:val="0"/>
    <w:pPr>
      <w:ind w:firstLine="561"/>
    </w:pPr>
    <w:rPr>
      <w:b w:val="0"/>
    </w:rPr>
  </w:style>
  <w:style w:type="paragraph" w:customStyle="1" w:styleId="19">
    <w:name w:val="规划修编 + 首行缩进:  2 字符1 + 首行缩进:  2 字符 + 首行缩进:  2 字符 + 首行..."/>
    <w:basedOn w:val="20"/>
    <w:qFormat/>
    <w:uiPriority w:val="0"/>
    <w:pPr>
      <w:ind w:firstLine="560"/>
    </w:pPr>
    <w:rPr>
      <w:rFonts w:eastAsia="华文中宋" w:cs="宋体"/>
      <w:b/>
      <w:bCs w:val="0"/>
      <w:szCs w:val="20"/>
    </w:rPr>
  </w:style>
  <w:style w:type="paragraph" w:customStyle="1" w:styleId="20">
    <w:name w:val="式 规划修编 + 首行缩进:  2 字符1 + 首行缩进:  2 字符 + 首行缩进:  2 字符"/>
    <w:basedOn w:val="1"/>
    <w:qFormat/>
    <w:uiPriority w:val="0"/>
    <w:pPr>
      <w:ind w:firstLine="561" w:firstLineChars="200"/>
      <w:jc w:val="left"/>
    </w:pPr>
    <w:rPr>
      <w:rFonts w:ascii="黑体" w:hAnsi="宋体" w:cs="Arial"/>
      <w:bCs/>
      <w:kern w:val="44"/>
      <w:sz w:val="28"/>
      <w:szCs w:val="28"/>
    </w:rPr>
  </w:style>
  <w:style w:type="paragraph" w:customStyle="1" w:styleId="21">
    <w:name w:val="Body Text Indent 21"/>
    <w:basedOn w:val="1"/>
    <w:qFormat/>
    <w:uiPriority w:val="0"/>
    <w:pPr>
      <w:spacing w:after="120" w:afterLines="0" w:line="480" w:lineRule="auto"/>
      <w:ind w:left="420" w:leftChars="200"/>
    </w:pPr>
  </w:style>
  <w:style w:type="character" w:customStyle="1" w:styleId="22">
    <w:name w:val="NormalCharacter"/>
    <w:qFormat/>
    <w:uiPriority w:val="0"/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table" w:customStyle="1" w:styleId="2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_Style 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  <w:spacing w:line="345" w:lineRule="auto"/>
      <w:ind w:left="1" w:firstLine="419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2011-02-01T06:53:00Z</dcterms:created>
  <dc:creator>Administrator</dc:creator>
  <cp:lastModifiedBy>海怪小仙</cp:lastModifiedBy>
  <cp:lastPrinted>2024-09-10T02:29:00Z</cp:lastPrinted>
  <dcterms:modified xsi:type="dcterms:W3CDTF">2024-10-15T05:06:21Z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D1007FE37CD844D49F374EEC6DBC5167</vt:lpwstr>
  </property>
</Properties>
</file>