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62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  <w:lang w:val="en-US" w:eastAsia="zh-CN"/>
        </w:rPr>
      </w:pPr>
    </w:p>
    <w:p w14:paraId="7A5F76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  <w:lang w:val="en-US" w:eastAsia="zh-CN"/>
        </w:rPr>
      </w:pPr>
    </w:p>
    <w:p w14:paraId="389AA1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  <w:lang w:val="en-US" w:eastAsia="zh-CN"/>
        </w:rPr>
      </w:pPr>
    </w:p>
    <w:p w14:paraId="0783147C">
      <w:pPr>
        <w:pStyle w:val="4"/>
        <w:rPr>
          <w:rFonts w:hint="eastAsia"/>
          <w:color w:val="0000FF"/>
          <w:lang w:val="en-US" w:eastAsia="zh-CN"/>
        </w:rPr>
      </w:pPr>
    </w:p>
    <w:p w14:paraId="437FC604">
      <w:pPr>
        <w:rPr>
          <w:rFonts w:hint="eastAsia"/>
          <w:color w:val="0000FF"/>
          <w:lang w:val="en-US" w:eastAsia="zh-CN"/>
        </w:rPr>
      </w:pPr>
    </w:p>
    <w:p w14:paraId="7D965C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第八期</w:t>
      </w:r>
    </w:p>
    <w:p w14:paraId="1BFB8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二〇二六年八月十八日</w:t>
      </w:r>
    </w:p>
    <w:p w14:paraId="68B75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</w:p>
    <w:p w14:paraId="54ECE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经济运行总体向好  发展短板仍要增强</w:t>
      </w:r>
    </w:p>
    <w:p w14:paraId="620A01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Chars="0" w:firstLine="64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——奇台县2026年1-7月经济运行分析</w:t>
      </w:r>
    </w:p>
    <w:p w14:paraId="09807B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none"/>
          <w:lang w:val="en-US" w:eastAsia="zh-CN"/>
        </w:rPr>
      </w:pPr>
    </w:p>
    <w:p w14:paraId="6EA0809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ind w:left="0" w:leftChars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FF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今年以来，奇台县党委、政府深学笃行中央及区、州经济工作会议精神，立足县域资源禀赋，锚定全年目标任务，做实做细稳增长各项工作，深挖产业内生潜力，激活发展要素，全力以赴推动县域经济实现质效双升。1-7月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规上工业增加值、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固定资产投资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限上社会消费品零售额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保持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增长，房地产销售面积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降幅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caps w:val="0"/>
          <w:color w:val="000000" w:themeColor="text1"/>
          <w:spacing w:val="0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收窄，经济运行总体向好。</w:t>
      </w:r>
    </w:p>
    <w:p w14:paraId="140D84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一、工业生产持续向好，重点行业多点发力</w:t>
      </w:r>
    </w:p>
    <w:p w14:paraId="33FF8F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FF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1-7月，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家规上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工业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企业工业总产值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38.39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亿元，增加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值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同比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增长26.2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增速比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上半年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提高9.0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个百分点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位居县市园区第1位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从三大门类看，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采矿业增加值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增长265.9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%;制造业增加值下降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%;电力、热力、燃气及水的生产和供应业增加值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增长33.2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%。41家规上工业企业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20家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产值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增长，20家下降，1家停产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83ED7B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3" w:firstLineChars="200"/>
        <w:jc w:val="both"/>
        <w:textAlignment w:val="top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行业增长步伐稳健。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1-7月，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11个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行业大类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中，7个行业增长，增长面63.6%，与上半年持平。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从增长行业看，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电力、热力生产和供应业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月新入库国网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能源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、辰羽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分公司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净增长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带动下，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12家发电企业累计发电量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23.6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增加值增长35.2%，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上拉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规上工业1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个百分点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石油和天然气开采业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在腾源石油累计产量增长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27.48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倍带动下，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25.05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倍，上拉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9.3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个百分点；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非金属矿物制品业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在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新港新材料、天山水泥订单增加的带动下，增长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51.0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%，上拉2.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个百分点；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煤炭开采和洗选业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在北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塔山煤矿采取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降价、补贴运费等营销方式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带动下，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原煤累计产量增长1.34倍，增加值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18.0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%，上拉0.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个百分点；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农副食品加工业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在新粮华麦、天山面粉疆外订单增加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带动下，6家面粉企业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累计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产量增长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5.0%，增加值增长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上拉0.4个百分点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水的生产和供应业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在城市供排水7月结算市政绿化310万方用水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带动下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，供水量增长78.6%，增加值增长7.1%，上拉0.2个百分点；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食品制造业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在新粮华麦新增挂面产线的带动下，增长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57.7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%，上拉0.1个百分点；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7个行业合计占规上工业74.6%，拉动规上工业增长30.6个百分点。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从下降行业看，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燃气生产和供应业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受省道S240扩建施工车辆减少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，巨浪燃气供应量递减，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.5%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橡胶和塑料制品业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受原材料价格上涨祥平塑业被迫临时停机影响，下降3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.3%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化学原料和化学制品制造业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受BDO、PTMEG量价“双降”影响，下降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%；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金属制品业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受新能源项目建设节奏放缓影响，下降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75.3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4个行业合计占规上工业25.4%，下拉规上工业增速4.4个百分点。（详见表1）</w:t>
      </w:r>
    </w:p>
    <w:p w14:paraId="1584B995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top"/>
        <w:rPr>
          <w:rFonts w:hint="eastAsia" w:ascii="Times New Roman" w:hAnsi="Times New Roman" w:eastAsia="方正小标宋简体" w:cs="仿宋_GB2312"/>
          <w:b w:val="0"/>
          <w:bCs w:val="0"/>
          <w:color w:val="000000" w:themeColor="text1"/>
          <w:sz w:val="28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仿宋_GB2312"/>
          <w:b w:val="0"/>
          <w:bCs w:val="0"/>
          <w:color w:val="000000" w:themeColor="text1"/>
          <w:sz w:val="28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表1    1-7月规上工业主要行业增加值情况</w:t>
      </w:r>
    </w:p>
    <w:tbl>
      <w:tblPr>
        <w:tblStyle w:val="8"/>
        <w:tblpPr w:leftFromText="180" w:rightFromText="180" w:vertAnchor="text" w:horzAnchor="page" w:tblpXSpec="center" w:tblpY="-478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1"/>
        <w:gridCol w:w="708"/>
        <w:gridCol w:w="1069"/>
        <w:gridCol w:w="908"/>
        <w:gridCol w:w="975"/>
        <w:gridCol w:w="1262"/>
      </w:tblGrid>
      <w:tr w14:paraId="3AE19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3561" w:type="dxa"/>
            <w:tcBorders>
              <w:top w:val="single" w:color="auto" w:sz="12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0E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分行业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10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企业个数</w:t>
            </w:r>
          </w:p>
        </w:tc>
        <w:tc>
          <w:tcPr>
            <w:tcW w:w="1069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B2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增加值</w:t>
            </w:r>
          </w:p>
          <w:p w14:paraId="1575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908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413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占比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975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0C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增速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1262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B852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拉动点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 w:themeColor="text1"/>
                <w:kern w:val="0"/>
                <w:sz w:val="16"/>
                <w:szCs w:val="1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（个百分点）</w:t>
            </w:r>
          </w:p>
        </w:tc>
      </w:tr>
      <w:tr w14:paraId="3EC0C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B40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电力、热力生产和供应业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B86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9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12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EB1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35.2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0D2F2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17.8</w:t>
            </w:r>
          </w:p>
        </w:tc>
      </w:tr>
      <w:tr w14:paraId="767E5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FA0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4874CB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化学原料和化学制品制造业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AA1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E7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862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23.3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36A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-5.1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3C2EB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-1.4</w:t>
            </w:r>
          </w:p>
        </w:tc>
      </w:tr>
      <w:tr w14:paraId="1B143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997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4874CB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石油和天然气开采业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6E8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C8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22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8.8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704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2505.1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6D73EA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9.3</w:t>
            </w:r>
          </w:p>
        </w:tc>
      </w:tr>
      <w:tr w14:paraId="4CCBD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0D8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4874CB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非金属矿物制品业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00D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4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B42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2564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51.0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87FA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</w:tr>
      <w:tr w14:paraId="49B92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3C2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农副食品加工业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27B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D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AC0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A83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6.6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3BB57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</w:tr>
      <w:tr w14:paraId="14F2B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912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4874CB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煤炭开采和洗选业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018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48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442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C09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66F4B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</w:t>
            </w:r>
          </w:p>
        </w:tc>
      </w:tr>
      <w:tr w14:paraId="1EF19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446D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水的生产和供应业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B33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C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85E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A24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7.1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EDD5B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</w:t>
            </w:r>
          </w:p>
        </w:tc>
      </w:tr>
      <w:tr w14:paraId="29AFC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09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4874CB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燃气生产和供应业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AA8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80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B37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5DB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0A5424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</w:tr>
      <w:tr w14:paraId="46D5D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D2D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金属制品业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3E7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8C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C35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D44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75.3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5C547B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-3.0</w:t>
            </w:r>
          </w:p>
        </w:tc>
      </w:tr>
      <w:tr w14:paraId="01E9B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9BD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橡胶和塑料制品业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158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63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D12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C21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-3.3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7E804E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-0.02</w:t>
            </w:r>
          </w:p>
        </w:tc>
      </w:tr>
      <w:tr w14:paraId="3569A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561" w:type="dxa"/>
            <w:tcBorders>
              <w:top w:val="single" w:color="000000" w:sz="4" w:space="0"/>
              <w:left w:val="nil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1DF2106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食品制造业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4ECCD9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69" w:type="dxa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267F3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3266F0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single" w:color="000000" w:sz="4" w:space="0"/>
            </w:tcBorders>
            <w:noWrap/>
            <w:vAlign w:val="center"/>
          </w:tcPr>
          <w:p w14:paraId="6AC468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57.7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auto" w:sz="12" w:space="0"/>
              <w:right w:val="nil"/>
            </w:tcBorders>
            <w:noWrap/>
            <w:vAlign w:val="center"/>
          </w:tcPr>
          <w:p w14:paraId="509FE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4874CB" w:themeColor="accen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</w:tr>
    </w:tbl>
    <w:p w14:paraId="386AF4BB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0" w:firstLineChars="200"/>
        <w:jc w:val="both"/>
        <w:textAlignment w:val="top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二、固定资产投资增幅回落，重点领域投资增长乏力</w:t>
      </w:r>
    </w:p>
    <w:p w14:paraId="1098954D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0" w:firstLineChars="200"/>
        <w:jc w:val="both"/>
        <w:textAlignment w:val="top"/>
        <w:rPr>
          <w:rFonts w:hint="eastAsia" w:ascii="Times New Roman" w:hAnsi="Times New Roman" w:eastAsia="仿宋_GB2312" w:cs="Times New Roman"/>
          <w:color w:val="0000FF"/>
          <w:sz w:val="32"/>
          <w:szCs w:val="32"/>
          <w:highlight w:val="yellow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1-7月，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个固定资产投资项目（含房地产投资）增长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15.8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增速比上半年回落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12.3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个百分点，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位居县市第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位。其中，项目投资增长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16.7%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，房地产投资下降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46.2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产业看，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第一产业投资下降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15.9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，下拉投资增速0.1个百分点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以新特硅基示范园、古尔班通古特大基地、将军庙750为主的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第二产业投资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下降5.0%，下拉投资增速4.1个百分点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以S240、S228、将淖铁路为主的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第三产业投资增长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112.6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，拉动投资增长20.0个百分点。</w:t>
      </w:r>
    </w:p>
    <w:p w14:paraId="3C2A203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3" w:firstLineChars="200"/>
        <w:jc w:val="both"/>
        <w:textAlignment w:val="top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工业投资低位运行。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1-7月，工业投资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增速由上半年增长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7.4%转为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下降5.0%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，占投资的81.9%，下拉投资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增速4.1个百分点。其中：采矿业、制造业、电力热力燃气及水生产和供应业投资分别增长397.3%、-76.7%、-13.0%。</w:t>
      </w:r>
    </w:p>
    <w:p w14:paraId="3D9E689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3" w:firstLineChars="200"/>
        <w:jc w:val="both"/>
        <w:textAlignment w:val="top"/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基础设施投资支撑减弱。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1-7月，基础设施投资增长125.1%，增速比上半年回落45.5个百分点，占投资的14.7%，拉动投资增长18.5个百分点。</w:t>
      </w:r>
    </w:p>
    <w:p w14:paraId="0634CAE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3" w:firstLineChars="200"/>
        <w:jc w:val="both"/>
        <w:textAlignment w:val="top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房地产开发投资仍呈下行态势。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1-7月，房地产开发投资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0.56亿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元，下降46.2%，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降幅比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上半年收窄8.6个百分点。商品房销售面积3.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万平方米，下降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14.6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%，降幅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比上半年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收窄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个百分点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其中，住宅销售面积3.70万平方米，下降9.0%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商品房销售额1.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亿元，下降1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3.7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%，降幅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比上半年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收窄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个百分点，其中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住宅销售额1.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亿元，下降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%。</w:t>
      </w:r>
    </w:p>
    <w:p w14:paraId="7BD64EA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line="510" w:lineRule="exact"/>
        <w:ind w:firstLine="640" w:firstLineChars="200"/>
        <w:jc w:val="both"/>
        <w:textAlignment w:val="top"/>
        <w:rPr>
          <w:rFonts w:hint="eastAsia" w:ascii="黑体" w:hAnsi="黑体" w:eastAsia="黑体" w:cs="黑体"/>
          <w:b w:val="0"/>
          <w:bCs w:val="0"/>
          <w:color w:val="0000FF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消费品市场稳步回暖，</w:t>
      </w: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基本生活类商品稳定增长</w:t>
      </w:r>
    </w:p>
    <w:p w14:paraId="3F08F0E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top"/>
        <w:rPr>
          <w:rFonts w:hint="eastAsia" w:ascii="Times New Roman" w:hAnsi="Times New Roman" w:eastAsia="仿宋_GB2312" w:cs="Times New Roman"/>
          <w:color w:val="0000FF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1-7月，限上社会消费品零售额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4.13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5.3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增速比上半年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回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落0.2个百分点，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位居县市第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位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（仅次于昌吉市14.3%）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其中，占限上92.8%的商品零售额（含中石油）增长5.0%，餐饮收入增长10.3%。</w:t>
      </w:r>
    </w:p>
    <w:p w14:paraId="508E068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基本生活类商品稳定增长。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1-7月，占限额以上43.7%的基本生活类（粮油食品类、饮料类、烟酒类、服装鞋帽针纺织品类、日用品类）商品零售额增长35.4%，增速比上半年回落1.1个百分点，拉动限额以上消费品零售额增长6.6个百分点。</w:t>
      </w:r>
    </w:p>
    <w:p w14:paraId="6CC13548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家电3C类商品延续增势。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，占限额以上12.6%的家电3C类（家用电器和音像器材类、通讯器材类、文化办公用品类下计算机及其配套产品）商品零售额增长94.9%，增速比上半年提高15.5个百分点，拉动限额以上消费品零售额增长3.7个百分点。</w:t>
      </w:r>
    </w:p>
    <w:p w14:paraId="30B18430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17类商品零售类值“12增5降”。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限额以上通讯器材类增长144.8%、饮料类增长90.6%、家用电器和音像器材类增长75.3%、化妆品类增长68.5%、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粮油食品类增长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49.8%、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其他类（销售天然气）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增长32.0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汽车类增长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文化办公用品类增长2.4%、电子出版物及音像制品类净增长、体育娱乐用品类净增长、书报杂志类净增长、家具类净增长，12类商品合计占限额以上单位消费品零售额43.3%，拉动限额以上消费品零售额增长12.4个百分点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烟酒类下降11.7%、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石油及制品类下降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12.1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、日用品类下降12.3%、服装鞋帽针纺织品类下降14.9%、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金银珠宝类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下降31.0%，5类商品合计占限额以上单位消费品零售额49.5%，下拉限额以上消费品零售额增速7.7个百分点。</w:t>
      </w:r>
    </w:p>
    <w:p w14:paraId="42917B4B">
      <w:pPr>
        <w:keepNext w:val="0"/>
        <w:keepLines w:val="0"/>
        <w:pageBreakBefore w:val="0"/>
        <w:widowControl w:val="0"/>
        <w:numPr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top"/>
        <w:rPr>
          <w:rFonts w:hint="eastAsia" w:ascii="楷体_GB2312" w:hAnsi="楷体_GB2312" w:eastAsia="楷体_GB2312" w:cs="楷体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四、文旅市场持续升温，客运物流活力提升</w:t>
      </w:r>
    </w:p>
    <w:p w14:paraId="5401E754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default" w:ascii="Times New Roman" w:hAnsi="Times New Roman" w:eastAsia="仿宋_GB2312" w:cs="Times New Roman"/>
          <w:b w:val="0"/>
          <w:bCs w:val="0"/>
          <w:color w:val="4874CB" w:themeColor="accen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旅游市场持续升温。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，累计接待国内外游客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648.92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万人次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实现旅游消费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45.99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亿元。其中江布拉克景区接待游客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55.01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万人次，增长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8.1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%，实现营业收入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0.42亿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10.0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</w:t>
      </w:r>
    </w:p>
    <w:p w14:paraId="3E837E71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eastAsia" w:ascii="Times New Roman" w:hAnsi="Times New Roman" w:eastAsia="仿宋_GB2312" w:cs="Times New Roman"/>
          <w:b w:val="0"/>
          <w:bCs w:val="0"/>
          <w:color w:val="0000FF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旅客吞吐量加速增长。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江布拉克机场航班起降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2773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架次，货运量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76.17吨，增长310.2%。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旅客吞吐量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16.33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万人次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，增长7.6%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，其中，进港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7.62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万人次、出港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8.71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万人次。</w:t>
      </w:r>
    </w:p>
    <w:p w14:paraId="1696CC43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top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五、财政收入较快增长，金融市场稳健运行</w:t>
      </w:r>
    </w:p>
    <w:p w14:paraId="18A1311C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财政收入较快增长。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1-7月，地方财政收入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12.08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6.2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其中，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一般公共预算收入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11.10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10.9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政府性基金收入0.98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下降28.0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%。地方财政支出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37.33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增长11.3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其中，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一般公共预算支出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28.88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亿元，增长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14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.3%</w:t>
      </w: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。基金支出8.45亿元，增长2.3%。</w:t>
      </w:r>
    </w:p>
    <w:p w14:paraId="5F925329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3" w:firstLineChars="200"/>
        <w:textAlignment w:val="top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金融市场稳健运行。</w:t>
      </w:r>
      <w:r>
        <w:rPr>
          <w:rStyle w:val="11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7月末，金融机构各项存款余额</w:t>
      </w:r>
      <w:r>
        <w:rPr>
          <w:rStyle w:val="11"/>
          <w:rFonts w:hint="eastAsia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239.82</w:t>
      </w:r>
      <w:r>
        <w:rPr>
          <w:rStyle w:val="11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亿元，增长</w:t>
      </w:r>
      <w:r>
        <w:rPr>
          <w:rStyle w:val="11"/>
          <w:rFonts w:hint="eastAsia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2.5</w:t>
      </w:r>
      <w:r>
        <w:rPr>
          <w:rStyle w:val="11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%，各项贷款余额2</w:t>
      </w:r>
      <w:r>
        <w:rPr>
          <w:rStyle w:val="11"/>
          <w:rFonts w:hint="eastAsia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73.59</w:t>
      </w:r>
      <w:r>
        <w:rPr>
          <w:rStyle w:val="11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亿元，增长</w:t>
      </w:r>
      <w:r>
        <w:rPr>
          <w:rStyle w:val="11"/>
          <w:rFonts w:hint="eastAsia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5.9</w:t>
      </w:r>
      <w:r>
        <w:rPr>
          <w:rStyle w:val="11"/>
          <w:rFonts w:hint="default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%</w:t>
      </w:r>
      <w:r>
        <w:rPr>
          <w:rStyle w:val="11"/>
          <w:rFonts w:hint="eastAsia" w:ascii="Times New Roman" w:hAnsi="Times New Roman" w:eastAsia="仿宋_GB2312" w:cs="Times New Roman"/>
          <w:b w:val="0"/>
          <w:bCs/>
          <w:i w:val="0"/>
          <w:caps w:val="0"/>
          <w:color w:val="000000" w:themeColor="text1"/>
          <w:spacing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。余额存贷比114.1%。</w:t>
      </w:r>
    </w:p>
    <w:p w14:paraId="556F43D7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7E88D47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8899358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6842A9DD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7B11601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1FF4720A">
      <w:pPr>
        <w:pStyle w:val="2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7C18FCE">
      <w:pPr>
        <w:pStyle w:val="2"/>
        <w:ind w:left="0" w:leftChars="0" w:firstLine="0" w:firstLineChars="0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F2BBC57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000000" w:sz="0" w:space="0"/>
          <w:left w:val="none" w:color="000000" w:sz="0" w:space="9"/>
          <w:bottom w:val="none" w:color="000000" w:sz="0" w:space="31"/>
          <w:right w:val="none" w:color="000000" w:sz="0" w:space="11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top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</w:p>
    <w:p w14:paraId="0C9CD661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</w:p>
    <w:p w14:paraId="7F682F80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</w:p>
    <w:p w14:paraId="634F2CBB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</w:p>
    <w:p w14:paraId="69BC161A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</w:p>
    <w:tbl>
      <w:tblPr>
        <w:tblStyle w:val="9"/>
        <w:tblpPr w:leftFromText="180" w:rightFromText="180" w:vertAnchor="text" w:horzAnchor="page" w:tblpX="1664" w:tblpY="4302"/>
        <w:tblOverlap w:val="never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1F4430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tcBorders>
              <w:tl2br w:val="nil"/>
              <w:tr2bl w:val="nil"/>
            </w:tcBorders>
            <w:vAlign w:val="top"/>
          </w:tcPr>
          <w:p w14:paraId="35534B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>撰稿：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 xml:space="preserve">顾凤云、王莹旭                 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>初审：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 xml:space="preserve">贾鑫 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>终审：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>王丽霞</w:t>
            </w:r>
          </w:p>
        </w:tc>
      </w:tr>
      <w:tr w14:paraId="20E28E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tcBorders>
              <w:tl2br w:val="nil"/>
              <w:tr2bl w:val="nil"/>
            </w:tcBorders>
            <w:vAlign w:val="top"/>
          </w:tcPr>
          <w:p w14:paraId="409249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color w:val="auto"/>
                <w:spacing w:val="0"/>
                <w:sz w:val="28"/>
                <w:szCs w:val="28"/>
                <w:highlight w:val="none"/>
                <w:u w:val="none"/>
                <w:shd w:val="clear" w:fill="FFFFFF"/>
                <w:lang w:val="en-US" w:eastAsia="zh-CN"/>
              </w:rPr>
              <w:t>奇台县统计局                               2026年8月18日印发</w:t>
            </w:r>
          </w:p>
        </w:tc>
      </w:tr>
    </w:tbl>
    <w:p w14:paraId="2031F876">
      <w:pPr>
        <w:pStyle w:val="2"/>
        <w:rPr>
          <w:rFonts w:hint="eastAsia" w:ascii="仿宋_GB2312" w:hAnsi="仿宋_GB2312" w:eastAsia="仿宋_GB2312" w:cs="仿宋_GB2312"/>
          <w:b w:val="0"/>
          <w:bCs w:val="0"/>
          <w:color w:val="0000FF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altName w:val="DejaVu Math TeX Gyre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B937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970A15">
                          <w:pPr>
                            <w:pStyle w:val="5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4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970A15">
                    <w:pPr>
                      <w:pStyle w:val="5"/>
                      <w:rPr>
                        <w:rFonts w:hint="eastAsia" w:ascii="仿宋_GB2312" w:hAnsi="仿宋_GB2312" w:eastAsia="仿宋_GB2312" w:cs="仿宋_GB2312"/>
                        <w:sz w:val="24"/>
                        <w:szCs w:val="4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1F7A39"/>
    <w:rsid w:val="00222B45"/>
    <w:rsid w:val="00457CDE"/>
    <w:rsid w:val="00542A63"/>
    <w:rsid w:val="00756224"/>
    <w:rsid w:val="00A0648A"/>
    <w:rsid w:val="00A13D57"/>
    <w:rsid w:val="00E141C9"/>
    <w:rsid w:val="0105472C"/>
    <w:rsid w:val="01300F39"/>
    <w:rsid w:val="016C1863"/>
    <w:rsid w:val="01885FDD"/>
    <w:rsid w:val="019C3329"/>
    <w:rsid w:val="01A178E4"/>
    <w:rsid w:val="01B51D18"/>
    <w:rsid w:val="01C66752"/>
    <w:rsid w:val="01EF37D7"/>
    <w:rsid w:val="02313743"/>
    <w:rsid w:val="02477308"/>
    <w:rsid w:val="03FE20AF"/>
    <w:rsid w:val="04021A22"/>
    <w:rsid w:val="042C4F43"/>
    <w:rsid w:val="04AF486A"/>
    <w:rsid w:val="04B944C7"/>
    <w:rsid w:val="05371B2A"/>
    <w:rsid w:val="05BE6E9B"/>
    <w:rsid w:val="05CE0EC3"/>
    <w:rsid w:val="066034DA"/>
    <w:rsid w:val="06634889"/>
    <w:rsid w:val="066E1F8C"/>
    <w:rsid w:val="06A2235C"/>
    <w:rsid w:val="06A27BF1"/>
    <w:rsid w:val="06B548C2"/>
    <w:rsid w:val="06E236C9"/>
    <w:rsid w:val="07716FC5"/>
    <w:rsid w:val="07EE691F"/>
    <w:rsid w:val="0860304A"/>
    <w:rsid w:val="08950021"/>
    <w:rsid w:val="08D30DA5"/>
    <w:rsid w:val="091F17B7"/>
    <w:rsid w:val="094C55D1"/>
    <w:rsid w:val="09555973"/>
    <w:rsid w:val="09810F23"/>
    <w:rsid w:val="09A63953"/>
    <w:rsid w:val="0A3C4EDA"/>
    <w:rsid w:val="0AD054CA"/>
    <w:rsid w:val="0B044923"/>
    <w:rsid w:val="0B325AF3"/>
    <w:rsid w:val="0C1868D1"/>
    <w:rsid w:val="0CA376FE"/>
    <w:rsid w:val="0D187041"/>
    <w:rsid w:val="0D5605EF"/>
    <w:rsid w:val="0E3F7627"/>
    <w:rsid w:val="0F4A790D"/>
    <w:rsid w:val="0F4B7AA9"/>
    <w:rsid w:val="102342D5"/>
    <w:rsid w:val="10895559"/>
    <w:rsid w:val="10A81170"/>
    <w:rsid w:val="113220EF"/>
    <w:rsid w:val="11B82398"/>
    <w:rsid w:val="126364CD"/>
    <w:rsid w:val="129964E4"/>
    <w:rsid w:val="1335575B"/>
    <w:rsid w:val="13770283"/>
    <w:rsid w:val="13DF0CBB"/>
    <w:rsid w:val="14264870"/>
    <w:rsid w:val="14EC51E3"/>
    <w:rsid w:val="15CE7BFA"/>
    <w:rsid w:val="163C1DBB"/>
    <w:rsid w:val="168D108C"/>
    <w:rsid w:val="16FD0446"/>
    <w:rsid w:val="17371532"/>
    <w:rsid w:val="17AA74CC"/>
    <w:rsid w:val="17BA15DB"/>
    <w:rsid w:val="17D67DB3"/>
    <w:rsid w:val="18C6533C"/>
    <w:rsid w:val="191B1996"/>
    <w:rsid w:val="193D640E"/>
    <w:rsid w:val="19B269F5"/>
    <w:rsid w:val="19F2719F"/>
    <w:rsid w:val="19F83BEC"/>
    <w:rsid w:val="19F95054"/>
    <w:rsid w:val="19FD2812"/>
    <w:rsid w:val="1A717C3A"/>
    <w:rsid w:val="1AFD0956"/>
    <w:rsid w:val="1BC86DFF"/>
    <w:rsid w:val="1BF83737"/>
    <w:rsid w:val="1D4A2F5B"/>
    <w:rsid w:val="1D835ABE"/>
    <w:rsid w:val="1DBD7343"/>
    <w:rsid w:val="1E2270C1"/>
    <w:rsid w:val="1EE74792"/>
    <w:rsid w:val="1F1D4D06"/>
    <w:rsid w:val="1FD461DC"/>
    <w:rsid w:val="1FDD264F"/>
    <w:rsid w:val="20286583"/>
    <w:rsid w:val="20633032"/>
    <w:rsid w:val="20724724"/>
    <w:rsid w:val="20AB4A54"/>
    <w:rsid w:val="20FF148B"/>
    <w:rsid w:val="21032F15"/>
    <w:rsid w:val="211E2B87"/>
    <w:rsid w:val="212C6012"/>
    <w:rsid w:val="218A2714"/>
    <w:rsid w:val="218C2EE9"/>
    <w:rsid w:val="218D67AF"/>
    <w:rsid w:val="22814DF6"/>
    <w:rsid w:val="239A6334"/>
    <w:rsid w:val="23F2065A"/>
    <w:rsid w:val="25334E27"/>
    <w:rsid w:val="257337CE"/>
    <w:rsid w:val="257826A7"/>
    <w:rsid w:val="25BE4B99"/>
    <w:rsid w:val="25D826DD"/>
    <w:rsid w:val="263744B3"/>
    <w:rsid w:val="26871C47"/>
    <w:rsid w:val="26945036"/>
    <w:rsid w:val="282B48ED"/>
    <w:rsid w:val="2A1921BC"/>
    <w:rsid w:val="2A2C6BA6"/>
    <w:rsid w:val="2AA57505"/>
    <w:rsid w:val="2ACD1247"/>
    <w:rsid w:val="2B5D713D"/>
    <w:rsid w:val="2BA3549B"/>
    <w:rsid w:val="2BA923FA"/>
    <w:rsid w:val="2C292EE8"/>
    <w:rsid w:val="2D063E06"/>
    <w:rsid w:val="2D192543"/>
    <w:rsid w:val="2D2B2A53"/>
    <w:rsid w:val="2E784C3A"/>
    <w:rsid w:val="2FDF6C63"/>
    <w:rsid w:val="309139AB"/>
    <w:rsid w:val="31673974"/>
    <w:rsid w:val="319467C1"/>
    <w:rsid w:val="31D24B7C"/>
    <w:rsid w:val="323F43A0"/>
    <w:rsid w:val="32E4768D"/>
    <w:rsid w:val="344A4288"/>
    <w:rsid w:val="347A0A28"/>
    <w:rsid w:val="34812513"/>
    <w:rsid w:val="34B67532"/>
    <w:rsid w:val="34BC4DC2"/>
    <w:rsid w:val="34D279B7"/>
    <w:rsid w:val="34E77BE5"/>
    <w:rsid w:val="352D48C0"/>
    <w:rsid w:val="353A10B7"/>
    <w:rsid w:val="356460DC"/>
    <w:rsid w:val="35BC17F0"/>
    <w:rsid w:val="365E1EC3"/>
    <w:rsid w:val="36D24400"/>
    <w:rsid w:val="37090CD6"/>
    <w:rsid w:val="37D20E3B"/>
    <w:rsid w:val="392A68A2"/>
    <w:rsid w:val="39BB40E5"/>
    <w:rsid w:val="39E316BA"/>
    <w:rsid w:val="3ABB569E"/>
    <w:rsid w:val="3CC91C33"/>
    <w:rsid w:val="3D2338AC"/>
    <w:rsid w:val="3D331981"/>
    <w:rsid w:val="3D430E91"/>
    <w:rsid w:val="3D5E716F"/>
    <w:rsid w:val="3DB26881"/>
    <w:rsid w:val="3E4B4B0B"/>
    <w:rsid w:val="3ED454A1"/>
    <w:rsid w:val="3EE61107"/>
    <w:rsid w:val="3FDD4DB5"/>
    <w:rsid w:val="408D7042"/>
    <w:rsid w:val="40DD2590"/>
    <w:rsid w:val="41806235"/>
    <w:rsid w:val="419868D3"/>
    <w:rsid w:val="42C977D4"/>
    <w:rsid w:val="44545407"/>
    <w:rsid w:val="44D60902"/>
    <w:rsid w:val="44FF683E"/>
    <w:rsid w:val="454B2225"/>
    <w:rsid w:val="45892025"/>
    <w:rsid w:val="45BC2204"/>
    <w:rsid w:val="46357BC6"/>
    <w:rsid w:val="46A500BF"/>
    <w:rsid w:val="46C16458"/>
    <w:rsid w:val="470C33DC"/>
    <w:rsid w:val="473A2576"/>
    <w:rsid w:val="49304CE2"/>
    <w:rsid w:val="493E607C"/>
    <w:rsid w:val="49750006"/>
    <w:rsid w:val="4AA31BD1"/>
    <w:rsid w:val="4AED030D"/>
    <w:rsid w:val="4B0F6E9B"/>
    <w:rsid w:val="4B1D3732"/>
    <w:rsid w:val="4B2B4837"/>
    <w:rsid w:val="4BBD6412"/>
    <w:rsid w:val="4CCC7DD1"/>
    <w:rsid w:val="4CE45131"/>
    <w:rsid w:val="4CF621D2"/>
    <w:rsid w:val="4DB25485"/>
    <w:rsid w:val="4E04238F"/>
    <w:rsid w:val="4F334FFF"/>
    <w:rsid w:val="50897987"/>
    <w:rsid w:val="50C26E7C"/>
    <w:rsid w:val="51253231"/>
    <w:rsid w:val="514275BB"/>
    <w:rsid w:val="518F6285"/>
    <w:rsid w:val="51922560"/>
    <w:rsid w:val="52B34C17"/>
    <w:rsid w:val="539C71DB"/>
    <w:rsid w:val="54672089"/>
    <w:rsid w:val="54B05AAD"/>
    <w:rsid w:val="558E0125"/>
    <w:rsid w:val="55B27384"/>
    <w:rsid w:val="56216D7B"/>
    <w:rsid w:val="56825922"/>
    <w:rsid w:val="56925E96"/>
    <w:rsid w:val="573026AA"/>
    <w:rsid w:val="575C71FF"/>
    <w:rsid w:val="57736809"/>
    <w:rsid w:val="58684F91"/>
    <w:rsid w:val="588440C7"/>
    <w:rsid w:val="58DE42EE"/>
    <w:rsid w:val="58F522C5"/>
    <w:rsid w:val="59240279"/>
    <w:rsid w:val="59C04E8F"/>
    <w:rsid w:val="5A7C48C2"/>
    <w:rsid w:val="5B1F7A39"/>
    <w:rsid w:val="5B596DD3"/>
    <w:rsid w:val="5B5E165B"/>
    <w:rsid w:val="5B79451F"/>
    <w:rsid w:val="5B975C54"/>
    <w:rsid w:val="5B9A3355"/>
    <w:rsid w:val="5BD0382F"/>
    <w:rsid w:val="5C813C0A"/>
    <w:rsid w:val="5CA17566"/>
    <w:rsid w:val="5DE81CA0"/>
    <w:rsid w:val="5E0F1DD2"/>
    <w:rsid w:val="5E340A9B"/>
    <w:rsid w:val="5F912794"/>
    <w:rsid w:val="5FC520FD"/>
    <w:rsid w:val="60191CB3"/>
    <w:rsid w:val="60425CA8"/>
    <w:rsid w:val="60446048"/>
    <w:rsid w:val="6098059B"/>
    <w:rsid w:val="60C04C1F"/>
    <w:rsid w:val="60CA6352"/>
    <w:rsid w:val="611F2AAF"/>
    <w:rsid w:val="613C1A16"/>
    <w:rsid w:val="613E75F5"/>
    <w:rsid w:val="614134B7"/>
    <w:rsid w:val="619E54DB"/>
    <w:rsid w:val="63007A2A"/>
    <w:rsid w:val="63E03C05"/>
    <w:rsid w:val="63F8198D"/>
    <w:rsid w:val="640102A1"/>
    <w:rsid w:val="646E2AD5"/>
    <w:rsid w:val="646E5E05"/>
    <w:rsid w:val="64A10C94"/>
    <w:rsid w:val="64C01776"/>
    <w:rsid w:val="64DE19BE"/>
    <w:rsid w:val="658319DC"/>
    <w:rsid w:val="66C95231"/>
    <w:rsid w:val="68A26B06"/>
    <w:rsid w:val="68E93787"/>
    <w:rsid w:val="69845C82"/>
    <w:rsid w:val="69E164A3"/>
    <w:rsid w:val="6A015BFF"/>
    <w:rsid w:val="6A486803"/>
    <w:rsid w:val="6A9C488A"/>
    <w:rsid w:val="6AFB3992"/>
    <w:rsid w:val="6B5862AA"/>
    <w:rsid w:val="6BC86FE2"/>
    <w:rsid w:val="6C06486F"/>
    <w:rsid w:val="6C0C41B6"/>
    <w:rsid w:val="6C1800DE"/>
    <w:rsid w:val="6C1A3DE9"/>
    <w:rsid w:val="6C5D448C"/>
    <w:rsid w:val="6DE40E56"/>
    <w:rsid w:val="6E6D3BE9"/>
    <w:rsid w:val="6EFC5A5D"/>
    <w:rsid w:val="6F6B34E8"/>
    <w:rsid w:val="6F861887"/>
    <w:rsid w:val="6FF85C4A"/>
    <w:rsid w:val="6FFB2C9C"/>
    <w:rsid w:val="7084648B"/>
    <w:rsid w:val="71974F19"/>
    <w:rsid w:val="71E600ED"/>
    <w:rsid w:val="721C3EE7"/>
    <w:rsid w:val="723F3FFF"/>
    <w:rsid w:val="728A2046"/>
    <w:rsid w:val="72BA3A58"/>
    <w:rsid w:val="73D1105F"/>
    <w:rsid w:val="74B4693F"/>
    <w:rsid w:val="74F428F0"/>
    <w:rsid w:val="75000AE1"/>
    <w:rsid w:val="75D77FE2"/>
    <w:rsid w:val="76077CE6"/>
    <w:rsid w:val="766841BB"/>
    <w:rsid w:val="76687B5E"/>
    <w:rsid w:val="76E81647"/>
    <w:rsid w:val="7708525C"/>
    <w:rsid w:val="77224939"/>
    <w:rsid w:val="77824491"/>
    <w:rsid w:val="779546A4"/>
    <w:rsid w:val="77A47413"/>
    <w:rsid w:val="77EC1A8E"/>
    <w:rsid w:val="78722C21"/>
    <w:rsid w:val="78E725EB"/>
    <w:rsid w:val="791006D0"/>
    <w:rsid w:val="79997202"/>
    <w:rsid w:val="79B858B4"/>
    <w:rsid w:val="79C627D6"/>
    <w:rsid w:val="7A6673B1"/>
    <w:rsid w:val="7AA37EC7"/>
    <w:rsid w:val="7B3D3E06"/>
    <w:rsid w:val="7DDF4C23"/>
    <w:rsid w:val="7E0F5F23"/>
    <w:rsid w:val="7E2912D9"/>
    <w:rsid w:val="7EA211F1"/>
    <w:rsid w:val="7EC37FF0"/>
    <w:rsid w:val="7EEB5A6C"/>
    <w:rsid w:val="7EF511DA"/>
    <w:rsid w:val="7F533772"/>
    <w:rsid w:val="7F9E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ind w:firstLine="420" w:firstLineChars="200"/>
    </w:pPr>
  </w:style>
  <w:style w:type="paragraph" w:customStyle="1" w:styleId="3">
    <w:name w:val="正文文本缩进1"/>
    <w:basedOn w:val="1"/>
    <w:qFormat/>
    <w:uiPriority w:val="0"/>
    <w:pPr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2025-03-10T10:26:00Z</dcterms:created>
  <dc:creator>Administrator</dc:creator>
  <cp:lastModifiedBy>lenovo</cp:lastModifiedBy>
  <cp:lastPrinted>2026-08-17T09:40:00Z</cp:lastPrinted>
  <dcterms:modified xsi:type="dcterms:W3CDTF">2026-08-26T08:28:29Z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7D867DB546D54DD9A6A229AB50C67C81_13</vt:lpwstr>
  </property>
</Properties>
</file>