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62753">
      <w:pPr>
        <w:keepNext w:val="0"/>
        <w:keepLines w:val="0"/>
        <w:pageBreakBefore w:val="0"/>
        <w:kinsoku/>
        <w:wordWrap/>
        <w:overflowPunct/>
        <w:topLinePunct w:val="0"/>
        <w:autoSpaceDE/>
        <w:autoSpaceDN/>
        <w:bidi w:val="0"/>
        <w:adjustRightInd/>
        <w:snapToGrid/>
        <w:spacing w:line="520" w:lineRule="exact"/>
        <w:ind w:leftChars="0" w:firstLine="640" w:firstLineChars="200"/>
        <w:jc w:val="both"/>
        <w:textAlignment w:val="auto"/>
        <w:rPr>
          <w:rFonts w:hint="eastAsia" w:ascii="仿宋_GB2312" w:hAnsi="仿宋_GB2312" w:eastAsia="仿宋_GB2312" w:cs="仿宋_GB2312"/>
          <w:color w:val="0000FF"/>
          <w:sz w:val="32"/>
          <w:szCs w:val="32"/>
          <w:highlight w:val="none"/>
          <w:lang w:val="en-US" w:eastAsia="zh-CN"/>
        </w:rPr>
      </w:pPr>
    </w:p>
    <w:p w14:paraId="7A5F7659">
      <w:pPr>
        <w:keepNext w:val="0"/>
        <w:keepLines w:val="0"/>
        <w:pageBreakBefore w:val="0"/>
        <w:kinsoku/>
        <w:wordWrap/>
        <w:overflowPunct/>
        <w:topLinePunct w:val="0"/>
        <w:autoSpaceDE/>
        <w:autoSpaceDN/>
        <w:bidi w:val="0"/>
        <w:adjustRightInd/>
        <w:snapToGrid/>
        <w:spacing w:line="520" w:lineRule="exact"/>
        <w:ind w:leftChars="0" w:firstLine="640" w:firstLineChars="200"/>
        <w:jc w:val="both"/>
        <w:textAlignment w:val="auto"/>
        <w:rPr>
          <w:rFonts w:hint="eastAsia" w:ascii="仿宋_GB2312" w:hAnsi="仿宋_GB2312" w:eastAsia="仿宋_GB2312" w:cs="仿宋_GB2312"/>
          <w:color w:val="0000FF"/>
          <w:sz w:val="32"/>
          <w:szCs w:val="32"/>
          <w:highlight w:val="none"/>
          <w:lang w:val="en-US" w:eastAsia="zh-CN"/>
        </w:rPr>
      </w:pPr>
    </w:p>
    <w:p w14:paraId="389AA1BF">
      <w:pPr>
        <w:keepNext w:val="0"/>
        <w:keepLines w:val="0"/>
        <w:pageBreakBefore w:val="0"/>
        <w:kinsoku/>
        <w:wordWrap/>
        <w:overflowPunct/>
        <w:topLinePunct w:val="0"/>
        <w:autoSpaceDE/>
        <w:autoSpaceDN/>
        <w:bidi w:val="0"/>
        <w:adjustRightInd/>
        <w:snapToGrid/>
        <w:spacing w:line="520" w:lineRule="exact"/>
        <w:ind w:leftChars="0" w:firstLine="640" w:firstLineChars="200"/>
        <w:jc w:val="both"/>
        <w:textAlignment w:val="auto"/>
        <w:rPr>
          <w:rFonts w:hint="eastAsia" w:ascii="仿宋_GB2312" w:hAnsi="仿宋_GB2312" w:eastAsia="仿宋_GB2312" w:cs="仿宋_GB2312"/>
          <w:color w:val="0000FF"/>
          <w:sz w:val="32"/>
          <w:szCs w:val="32"/>
          <w:highlight w:val="none"/>
          <w:lang w:val="en-US" w:eastAsia="zh-CN"/>
        </w:rPr>
      </w:pPr>
    </w:p>
    <w:p w14:paraId="0783147C">
      <w:pPr>
        <w:pStyle w:val="2"/>
        <w:rPr>
          <w:rFonts w:hint="eastAsia"/>
          <w:color w:val="0000FF"/>
          <w:lang w:val="en-US" w:eastAsia="zh-CN"/>
        </w:rPr>
      </w:pPr>
    </w:p>
    <w:p w14:paraId="437FC604">
      <w:pPr>
        <w:rPr>
          <w:rFonts w:hint="eastAsia"/>
          <w:color w:val="0000FF"/>
          <w:lang w:val="en-US" w:eastAsia="zh-CN"/>
        </w:rPr>
      </w:pPr>
    </w:p>
    <w:p w14:paraId="7D965CDC">
      <w:pPr>
        <w:keepNext w:val="0"/>
        <w:keepLines w:val="0"/>
        <w:pageBreakBefore w:val="0"/>
        <w:kinsoku/>
        <w:wordWrap/>
        <w:overflowPunct/>
        <w:topLinePunct w:val="0"/>
        <w:autoSpaceDE/>
        <w:autoSpaceDN/>
        <w:bidi w:val="0"/>
        <w:adjustRightInd/>
        <w:snapToGrid/>
        <w:spacing w:line="520" w:lineRule="exact"/>
        <w:ind w:leftChars="0" w:firstLine="640" w:firstLineChars="200"/>
        <w:jc w:val="center"/>
        <w:textAlignment w:val="auto"/>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第七期</w:t>
      </w:r>
    </w:p>
    <w:p w14:paraId="1BFB84B0">
      <w:pPr>
        <w:keepNext w:val="0"/>
        <w:keepLines w:val="0"/>
        <w:pageBreakBefore w:val="0"/>
        <w:widowControl w:val="0"/>
        <w:kinsoku/>
        <w:wordWrap/>
        <w:overflowPunct/>
        <w:topLinePunct w:val="0"/>
        <w:autoSpaceDE/>
        <w:autoSpaceDN/>
        <w:bidi w:val="0"/>
        <w:adjustRightInd/>
        <w:snapToGrid/>
        <w:spacing w:line="500" w:lineRule="exact"/>
        <w:ind w:leftChars="0" w:firstLine="640" w:firstLineChars="200"/>
        <w:jc w:val="both"/>
        <w:textAlignment w:val="auto"/>
        <w:rPr>
          <w:rFonts w:hint="eastAsia" w:ascii="仿宋_GB2312" w:hAnsi="仿宋_GB2312" w:eastAsia="仿宋_GB2312" w:cs="仿宋_GB2312"/>
          <w:color w:val="0000FF"/>
          <w:sz w:val="32"/>
          <w:szCs w:val="32"/>
          <w:highlight w:val="none"/>
          <w:lang w:val="en-US" w:eastAsia="zh-CN"/>
        </w:rPr>
      </w:pPr>
      <w:r>
        <w:rPr>
          <w:rFonts w:hint="eastAsia" w:ascii="方正小标宋简体" w:hAnsi="方正小标宋简体" w:eastAsia="方正小标宋简体" w:cs="方正小标宋简体"/>
          <w:b w:val="0"/>
          <w:bCs w:val="0"/>
          <w:color w:val="0000FF"/>
          <w:sz w:val="32"/>
          <w:szCs w:val="32"/>
          <w:highlight w:val="none"/>
          <w:lang w:val="en-US" w:eastAsia="zh-CN"/>
        </w:rPr>
        <w:t xml:space="preserve">                             </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二〇二六年七月二十一日</w:t>
      </w:r>
    </w:p>
    <w:p w14:paraId="68B754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color w:val="0000FF"/>
          <w:sz w:val="44"/>
          <w:szCs w:val="44"/>
          <w:highlight w:val="none"/>
          <w:lang w:val="en-US" w:eastAsia="zh-CN"/>
        </w:rPr>
      </w:pPr>
      <w:r>
        <w:rPr>
          <w:rFonts w:hint="eastAsia" w:ascii="方正小标宋简体" w:hAnsi="方正小标宋简体" w:eastAsia="方正小标宋简体" w:cs="方正小标宋简体"/>
          <w:color w:val="0000FF"/>
          <w:sz w:val="44"/>
          <w:szCs w:val="44"/>
          <w:highlight w:val="none"/>
          <w:lang w:val="en-US" w:eastAsia="zh-CN"/>
        </w:rPr>
        <w:t xml:space="preserve"> </w:t>
      </w:r>
    </w:p>
    <w:p w14:paraId="54ECE89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 xml:space="preserve">宏观政策发力显效  行业基础不断夯实  </w:t>
      </w:r>
    </w:p>
    <w:p w14:paraId="620A01AD">
      <w:pPr>
        <w:keepNext w:val="0"/>
        <w:keepLines w:val="0"/>
        <w:pageBreakBefore w:val="0"/>
        <w:kinsoku/>
        <w:wordWrap/>
        <w:overflowPunct/>
        <w:topLinePunct w:val="0"/>
        <w:autoSpaceDE/>
        <w:autoSpaceDN/>
        <w:bidi w:val="0"/>
        <w:snapToGrid/>
        <w:spacing w:line="520" w:lineRule="exact"/>
        <w:ind w:leftChars="0" w:firstLine="640" w:firstLineChars="200"/>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32"/>
          <w:szCs w:val="32"/>
          <w:highlight w:val="none"/>
          <w:lang w:val="en-US" w:eastAsia="zh-CN"/>
          <w14:textFill>
            <w14:solidFill>
              <w14:schemeClr w14:val="tx1"/>
            </w14:solidFill>
          </w14:textFill>
        </w:rPr>
        <w:t>——奇台县2026年上半年经济运行分析</w:t>
      </w:r>
    </w:p>
    <w:p w14:paraId="09807BAE">
      <w:pPr>
        <w:keepNext w:val="0"/>
        <w:keepLines w:val="0"/>
        <w:pageBreakBefore w:val="0"/>
        <w:kinsoku/>
        <w:wordWrap/>
        <w:overflowPunct/>
        <w:topLinePunct w:val="0"/>
        <w:autoSpaceDE/>
        <w:autoSpaceDN/>
        <w:bidi w:val="0"/>
        <w:snapToGrid/>
        <w:spacing w:line="520" w:lineRule="exact"/>
        <w:ind w:leftChars="0" w:firstLine="640" w:firstLineChars="200"/>
        <w:jc w:val="both"/>
        <w:textAlignment w:val="auto"/>
        <w:rPr>
          <w:rFonts w:hint="eastAsia" w:ascii="仿宋_GB2312" w:hAnsi="仿宋_GB2312" w:eastAsia="仿宋_GB2312" w:cs="仿宋_GB2312"/>
          <w:color w:val="0000FF"/>
          <w:sz w:val="32"/>
          <w:szCs w:val="32"/>
          <w:highlight w:val="none"/>
          <w:lang w:val="en-US" w:eastAsia="zh-CN"/>
        </w:rPr>
      </w:pPr>
    </w:p>
    <w:p w14:paraId="6EA080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leftChars="0" w:right="0" w:firstLine="640" w:firstLineChars="200"/>
        <w:jc w:val="both"/>
        <w:textAlignment w:val="auto"/>
        <w:rPr>
          <w:rFonts w:hint="eastAsia" w:ascii="仿宋_GB2312" w:hAnsi="仿宋_GB2312" w:eastAsia="仿宋_GB2312" w:cs="仿宋_GB2312"/>
          <w:b w:val="0"/>
          <w:bCs w:val="0"/>
          <w:i w:val="0"/>
          <w:caps w:val="0"/>
          <w:color w:val="0000FF"/>
          <w:spacing w:val="0"/>
          <w:kern w:val="2"/>
          <w:sz w:val="32"/>
          <w:szCs w:val="32"/>
          <w:highlight w:val="none"/>
          <w:lang w:val="en-US" w:eastAsia="zh-CN" w:bidi="ar-SA"/>
        </w:rPr>
      </w:pPr>
      <w:r>
        <w:rPr>
          <w:rFonts w:hint="eastAsia" w:ascii="仿宋_GB2312" w:hAnsi="仿宋_GB2312" w:eastAsia="仿宋_GB2312" w:cs="仿宋_GB2312"/>
          <w:b w:val="0"/>
          <w:bCs w:val="0"/>
          <w:i w:val="0"/>
          <w:caps w:val="0"/>
          <w:color w:val="000000" w:themeColor="text1"/>
          <w:spacing w:val="0"/>
          <w:kern w:val="2"/>
          <w:sz w:val="32"/>
          <w:szCs w:val="32"/>
          <w:highlight w:val="none"/>
          <w:lang w:val="en-US" w:eastAsia="zh-CN" w:bidi="ar-SA"/>
          <w14:textFill>
            <w14:solidFill>
              <w14:schemeClr w14:val="tx1"/>
            </w14:solidFill>
          </w14:textFill>
        </w:rPr>
        <w:t>今年以来，奇台县党委、县政府认真学习贯彻党的二十大和二十届历次全会精神，全面落实区、州各项稳经济措施，聚焦实体经济发展、重点项目建设、产业动能培育、消费市场提振等关键领域精准发力，下好县域经济“整盘棋”。上半年，固定资产投资额、规上工业增加值、社会消费品零售总额、规上服务业营业收入等多项经济指标高速增长，经济回升向好的基础更加巩固。</w:t>
      </w:r>
    </w:p>
    <w:p w14:paraId="36327A3E">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10" w:leftChars="0" w:firstLine="640" w:firstLineChars="0"/>
        <w:jc w:val="both"/>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经济运行总体情况</w:t>
      </w:r>
    </w:p>
    <w:p w14:paraId="78819F0C">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72" w:firstLineChars="200"/>
        <w:textAlignment w:val="top"/>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pP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上半年，经昌吉州统计局统一核算反馈，奇台县（全域）实现地区生产总值137.61亿元，同比增长4.4%。</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其中，</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一产9.55亿元，下降2.4%；二产69.70亿元，增长8.4%；三产58.36亿元，增长0.9%</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三次产业结构比</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6.9:50.7:42.4。县属地区生产总值</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79.54</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亿元</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，按可比价计算，增长</w:t>
      </w:r>
      <w:r>
        <w:rPr>
          <w:rFonts w:hint="default" w:ascii="Times New Roman" w:hAnsi="Times New Roman" w:eastAsia="仿宋_GB2312" w:cs="Times New Roman"/>
          <w:b w:val="0"/>
          <w:i w:val="0"/>
          <w:snapToGrid/>
          <w:color w:val="auto"/>
          <w:spacing w:val="8"/>
          <w:sz w:val="32"/>
          <w:szCs w:val="32"/>
          <w:highlight w:val="none"/>
          <w:shd w:val="clear" w:color="auto" w:fill="FFFFFF"/>
          <w:lang w:val="en-US" w:eastAsia="zh-CN"/>
        </w:rPr>
        <w:t>4.1</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%，较一季度</w:t>
      </w:r>
      <w:r>
        <w:rPr>
          <w:rFonts w:hint="eastAsia" w:ascii="Times New Roman" w:hAnsi="Times New Roman" w:eastAsia="仿宋_GB2312" w:cs="Times New Roman"/>
          <w:b w:val="0"/>
          <w:i w:val="0"/>
          <w:snapToGrid/>
          <w:color w:val="auto"/>
          <w:spacing w:val="8"/>
          <w:sz w:val="32"/>
          <w:szCs w:val="32"/>
          <w:highlight w:val="none"/>
          <w:shd w:val="clear" w:color="auto" w:fill="FFFFFF"/>
          <w:lang w:eastAsia="zh-CN"/>
        </w:rPr>
        <w:t>回落</w:t>
      </w:r>
      <w:r>
        <w:rPr>
          <w:rFonts w:hint="eastAsia" w:ascii="Times New Roman" w:hAnsi="Times New Roman" w:eastAsia="仿宋_GB2312" w:cs="Times New Roman"/>
          <w:b w:val="0"/>
          <w:i w:val="0"/>
          <w:snapToGrid/>
          <w:color w:val="auto"/>
          <w:spacing w:val="8"/>
          <w:sz w:val="32"/>
          <w:szCs w:val="32"/>
          <w:highlight w:val="none"/>
          <w:shd w:val="clear" w:color="auto" w:fill="FFFFFF"/>
          <w:lang w:val="en-US" w:eastAsia="zh-CN"/>
        </w:rPr>
        <w:t>0.4</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个百分点，低于全州（</w:t>
      </w:r>
      <w:r>
        <w:rPr>
          <w:rFonts w:hint="eastAsia" w:ascii="Times New Roman" w:hAnsi="Times New Roman" w:eastAsia="仿宋_GB2312" w:cs="Times New Roman"/>
          <w:b w:val="0"/>
          <w:i w:val="0"/>
          <w:snapToGrid/>
          <w:color w:val="auto"/>
          <w:spacing w:val="8"/>
          <w:sz w:val="32"/>
          <w:szCs w:val="32"/>
          <w:highlight w:val="none"/>
          <w:shd w:val="clear" w:color="auto" w:fill="FFFFFF"/>
          <w:lang w:val="en-US" w:eastAsia="zh-CN"/>
        </w:rPr>
        <w:t>4.3</w:t>
      </w:r>
      <w:r>
        <w:rPr>
          <w:rFonts w:hint="default" w:ascii="Times New Roman" w:hAnsi="Times New Roman" w:eastAsia="仿宋_GB2312" w:cs="Times New Roman"/>
          <w:b w:val="0"/>
          <w:i w:val="0"/>
          <w:snapToGrid/>
          <w:color w:val="auto"/>
          <w:spacing w:val="8"/>
          <w:sz w:val="32"/>
          <w:szCs w:val="32"/>
          <w:highlight w:val="none"/>
          <w:shd w:val="clear" w:color="auto" w:fill="FFFFFF"/>
          <w:lang w:val="en-US" w:eastAsia="zh-CN"/>
        </w:rPr>
        <w:t>%）</w:t>
      </w:r>
      <w:r>
        <w:rPr>
          <w:rFonts w:hint="eastAsia" w:ascii="Times New Roman" w:hAnsi="Times New Roman" w:eastAsia="仿宋_GB2312" w:cs="Times New Roman"/>
          <w:b w:val="0"/>
          <w:i w:val="0"/>
          <w:snapToGrid/>
          <w:color w:val="auto"/>
          <w:spacing w:val="8"/>
          <w:sz w:val="32"/>
          <w:szCs w:val="32"/>
          <w:highlight w:val="none"/>
          <w:shd w:val="clear" w:color="auto" w:fill="FFFFFF"/>
          <w:lang w:val="en-US" w:eastAsia="zh-CN"/>
        </w:rPr>
        <w:t>0.2</w:t>
      </w:r>
      <w:r>
        <w:rPr>
          <w:rFonts w:hint="default" w:ascii="Times New Roman" w:hAnsi="Times New Roman" w:eastAsia="仿宋_GB2312" w:cs="Times New Roman"/>
          <w:b w:val="0"/>
          <w:i w:val="0"/>
          <w:snapToGrid/>
          <w:color w:val="auto"/>
          <w:spacing w:val="8"/>
          <w:sz w:val="32"/>
          <w:szCs w:val="32"/>
          <w:highlight w:val="none"/>
          <w:shd w:val="clear" w:color="auto" w:fill="FFFFFF"/>
          <w:lang w:val="en-US" w:eastAsia="zh-CN"/>
        </w:rPr>
        <w:t>个百分点，</w:t>
      </w:r>
      <w:r>
        <w:rPr>
          <w:rFonts w:hint="default" w:ascii="Times New Roman" w:hAnsi="Times New Roman" w:eastAsia="仿宋_GB2312" w:cs="Times New Roman"/>
          <w:b w:val="0"/>
          <w:bCs w:val="0"/>
          <w:color w:val="auto"/>
          <w:kern w:val="2"/>
          <w:sz w:val="32"/>
          <w:szCs w:val="32"/>
          <w:highlight w:val="none"/>
          <w:lang w:val="en-US" w:eastAsia="zh-CN" w:bidi="ar-SA"/>
        </w:rPr>
        <w:t>位居县市园区第</w:t>
      </w:r>
      <w:r>
        <w:rPr>
          <w:rFonts w:hint="eastAsia" w:ascii="Times New Roman" w:hAnsi="Times New Roman" w:eastAsia="仿宋_GB2312" w:cs="Times New Roman"/>
          <w:b w:val="0"/>
          <w:bCs w:val="0"/>
          <w:color w:val="auto"/>
          <w:kern w:val="2"/>
          <w:sz w:val="32"/>
          <w:szCs w:val="32"/>
          <w:highlight w:val="none"/>
          <w:lang w:val="en-US" w:eastAsia="zh-CN" w:bidi="ar-SA"/>
        </w:rPr>
        <w:t>4</w:t>
      </w:r>
      <w:r>
        <w:rPr>
          <w:rFonts w:hint="default" w:ascii="Times New Roman" w:hAnsi="Times New Roman" w:eastAsia="仿宋_GB2312" w:cs="Times New Roman"/>
          <w:b w:val="0"/>
          <w:bCs w:val="0"/>
          <w:color w:val="auto"/>
          <w:kern w:val="2"/>
          <w:sz w:val="32"/>
          <w:szCs w:val="32"/>
          <w:highlight w:val="none"/>
          <w:lang w:val="en-US" w:eastAsia="zh-CN" w:bidi="ar-SA"/>
        </w:rPr>
        <w:t>位。</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其中，一产</w:t>
      </w:r>
      <w:r>
        <w:rPr>
          <w:rFonts w:hint="default" w:ascii="Times New Roman" w:hAnsi="Times New Roman" w:eastAsia="仿宋_GB2312" w:cs="Times New Roman"/>
          <w:b w:val="0"/>
          <w:i w:val="0"/>
          <w:snapToGrid/>
          <w:color w:val="auto"/>
          <w:spacing w:val="8"/>
          <w:sz w:val="32"/>
          <w:szCs w:val="32"/>
          <w:highlight w:val="none"/>
          <w:shd w:val="clear" w:color="auto" w:fill="FFFFFF"/>
          <w:lang w:val="en-US" w:eastAsia="zh-CN"/>
        </w:rPr>
        <w:t>9.</w:t>
      </w:r>
      <w:r>
        <w:rPr>
          <w:rFonts w:hint="eastAsia" w:ascii="Times New Roman" w:hAnsi="Times New Roman" w:eastAsia="仿宋_GB2312" w:cs="Times New Roman"/>
          <w:b w:val="0"/>
          <w:i w:val="0"/>
          <w:snapToGrid/>
          <w:color w:val="auto"/>
          <w:spacing w:val="8"/>
          <w:sz w:val="32"/>
          <w:szCs w:val="32"/>
          <w:highlight w:val="none"/>
          <w:shd w:val="clear" w:color="auto" w:fill="FFFFFF"/>
          <w:lang w:val="en-US" w:eastAsia="zh-CN"/>
        </w:rPr>
        <w:t>55</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亿元，</w:t>
      </w:r>
      <w:r>
        <w:rPr>
          <w:rFonts w:hint="eastAsia" w:ascii="Times New Roman" w:hAnsi="Times New Roman" w:eastAsia="仿宋_GB2312" w:cs="Times New Roman"/>
          <w:b w:val="0"/>
          <w:i w:val="0"/>
          <w:snapToGrid/>
          <w:color w:val="auto"/>
          <w:spacing w:val="8"/>
          <w:sz w:val="32"/>
          <w:szCs w:val="32"/>
          <w:highlight w:val="none"/>
          <w:shd w:val="clear" w:color="auto" w:fill="FFFFFF"/>
          <w:lang w:eastAsia="zh-CN"/>
        </w:rPr>
        <w:t>下降</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2.</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4</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下</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拉地区生产总值</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0.</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个百分点；二产</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2</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6.06</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亿元，</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增长</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10.7</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上</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拉</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3.4</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个百分点</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。其中，工业</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18.99</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亿元，</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增长</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16.8</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%，建筑业</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7.14</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亿元，</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下降</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3.4</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%；三产</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4</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3.92</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亿元，增长</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1.8</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eastAsia="zh-CN"/>
          <w14:textFill>
            <w14:solidFill>
              <w14:schemeClr w14:val="tx1"/>
            </w14:solidFill>
          </w14:textFill>
        </w:rPr>
        <w:t>%，上拉</w:t>
      </w:r>
      <w:r>
        <w:rPr>
          <w:rFonts w:hint="eastAsia"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1.0</w:t>
      </w:r>
      <w:r>
        <w:rPr>
          <w:rFonts w:hint="default" w:ascii="Times New Roman" w:hAnsi="Times New Roman" w:eastAsia="仿宋_GB2312" w:cs="Times New Roman"/>
          <w:b w:val="0"/>
          <w:i w:val="0"/>
          <w:snapToGrid/>
          <w:color w:val="000000" w:themeColor="text1"/>
          <w:spacing w:val="8"/>
          <w:sz w:val="32"/>
          <w:szCs w:val="32"/>
          <w:highlight w:val="none"/>
          <w:shd w:val="clear" w:color="auto" w:fill="FFFFFF"/>
          <w:lang w:val="en-US" w:eastAsia="zh-CN"/>
          <w14:textFill>
            <w14:solidFill>
              <w14:schemeClr w14:val="tx1"/>
            </w14:solidFill>
          </w14:textFill>
        </w:rPr>
        <w:t>个</w:t>
      </w:r>
      <w:r>
        <w:rPr>
          <w:rFonts w:hint="default" w:ascii="Times New Roman" w:hAnsi="Times New Roman" w:eastAsia="仿宋_GB2312" w:cs="Times New Roman"/>
          <w:b w:val="0"/>
          <w:i w:val="0"/>
          <w:snapToGrid/>
          <w:color w:val="auto"/>
          <w:spacing w:val="8"/>
          <w:sz w:val="32"/>
          <w:szCs w:val="32"/>
          <w:highlight w:val="none"/>
          <w:shd w:val="clear" w:color="auto" w:fill="FFFFFF"/>
          <w:lang w:val="en-US" w:eastAsia="zh-CN"/>
        </w:rPr>
        <w:t>百分点</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。三次产业结构</w:t>
      </w:r>
      <w:r>
        <w:rPr>
          <w:rFonts w:hint="eastAsia" w:ascii="Times New Roman" w:hAnsi="Times New Roman" w:eastAsia="仿宋_GB2312" w:cs="Times New Roman"/>
          <w:b w:val="0"/>
          <w:i w:val="0"/>
          <w:snapToGrid/>
          <w:color w:val="auto"/>
          <w:spacing w:val="8"/>
          <w:sz w:val="32"/>
          <w:szCs w:val="32"/>
          <w:highlight w:val="none"/>
          <w:shd w:val="clear" w:color="auto" w:fill="FFFFFF"/>
          <w:lang w:eastAsia="zh-CN"/>
        </w:rPr>
        <w:t>比：</w:t>
      </w:r>
      <w:r>
        <w:rPr>
          <w:rFonts w:hint="default" w:ascii="Times New Roman" w:hAnsi="Times New Roman" w:eastAsia="仿宋_GB2312" w:cs="Times New Roman"/>
          <w:b w:val="0"/>
          <w:i w:val="0"/>
          <w:snapToGrid/>
          <w:color w:val="auto"/>
          <w:spacing w:val="8"/>
          <w:sz w:val="32"/>
          <w:szCs w:val="32"/>
          <w:highlight w:val="none"/>
          <w:shd w:val="clear" w:color="auto" w:fill="FFFFFF"/>
          <w:lang w:val="en-US" w:eastAsia="zh-CN"/>
        </w:rPr>
        <w:t>12.</w:t>
      </w:r>
      <w:r>
        <w:rPr>
          <w:rFonts w:hint="eastAsia" w:ascii="Times New Roman" w:hAnsi="Times New Roman" w:eastAsia="仿宋_GB2312" w:cs="Times New Roman"/>
          <w:b w:val="0"/>
          <w:i w:val="0"/>
          <w:snapToGrid/>
          <w:color w:val="auto"/>
          <w:spacing w:val="8"/>
          <w:sz w:val="32"/>
          <w:szCs w:val="32"/>
          <w:highlight w:val="none"/>
          <w:shd w:val="clear" w:color="auto" w:fill="FFFFFF"/>
          <w:lang w:val="en-US" w:eastAsia="zh-CN"/>
        </w:rPr>
        <w:t>0</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w:t>
      </w:r>
      <w:r>
        <w:rPr>
          <w:rFonts w:hint="default" w:ascii="Times New Roman" w:hAnsi="Times New Roman" w:eastAsia="仿宋_GB2312" w:cs="Times New Roman"/>
          <w:b w:val="0"/>
          <w:i w:val="0"/>
          <w:snapToGrid/>
          <w:color w:val="auto"/>
          <w:spacing w:val="8"/>
          <w:sz w:val="32"/>
          <w:szCs w:val="32"/>
          <w:highlight w:val="none"/>
          <w:shd w:val="clear" w:color="auto" w:fill="FFFFFF"/>
          <w:lang w:val="en-US" w:eastAsia="zh-CN"/>
        </w:rPr>
        <w:t>32.</w:t>
      </w:r>
      <w:r>
        <w:rPr>
          <w:rFonts w:hint="eastAsia" w:ascii="Times New Roman" w:hAnsi="Times New Roman" w:eastAsia="仿宋_GB2312" w:cs="Times New Roman"/>
          <w:b w:val="0"/>
          <w:i w:val="0"/>
          <w:snapToGrid/>
          <w:color w:val="auto"/>
          <w:spacing w:val="8"/>
          <w:sz w:val="32"/>
          <w:szCs w:val="32"/>
          <w:highlight w:val="none"/>
          <w:shd w:val="clear" w:color="auto" w:fill="FFFFFF"/>
          <w:lang w:val="en-US" w:eastAsia="zh-CN"/>
        </w:rPr>
        <w:t>8</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w:t>
      </w:r>
      <w:r>
        <w:rPr>
          <w:rFonts w:hint="default" w:ascii="Times New Roman" w:hAnsi="Times New Roman" w:eastAsia="仿宋_GB2312" w:cs="Times New Roman"/>
          <w:b w:val="0"/>
          <w:i w:val="0"/>
          <w:snapToGrid/>
          <w:color w:val="auto"/>
          <w:spacing w:val="8"/>
          <w:sz w:val="32"/>
          <w:szCs w:val="32"/>
          <w:highlight w:val="none"/>
          <w:shd w:val="clear" w:color="auto" w:fill="FFFFFF"/>
          <w:lang w:val="en-US" w:eastAsia="zh-CN"/>
        </w:rPr>
        <w:t>55.</w:t>
      </w:r>
      <w:r>
        <w:rPr>
          <w:rFonts w:hint="eastAsia" w:ascii="Times New Roman" w:hAnsi="Times New Roman" w:eastAsia="仿宋_GB2312" w:cs="Times New Roman"/>
          <w:b w:val="0"/>
          <w:i w:val="0"/>
          <w:snapToGrid/>
          <w:color w:val="auto"/>
          <w:spacing w:val="8"/>
          <w:sz w:val="32"/>
          <w:szCs w:val="32"/>
          <w:highlight w:val="none"/>
          <w:shd w:val="clear" w:color="auto" w:fill="FFFFFF"/>
          <w:lang w:val="en-US" w:eastAsia="zh-CN"/>
        </w:rPr>
        <w:t>2</w:t>
      </w:r>
      <w:r>
        <w:rPr>
          <w:rFonts w:hint="default" w:ascii="Times New Roman" w:hAnsi="Times New Roman" w:eastAsia="仿宋_GB2312" w:cs="Times New Roman"/>
          <w:b w:val="0"/>
          <w:i w:val="0"/>
          <w:snapToGrid/>
          <w:color w:val="auto"/>
          <w:spacing w:val="8"/>
          <w:sz w:val="32"/>
          <w:szCs w:val="32"/>
          <w:highlight w:val="none"/>
          <w:shd w:val="clear" w:color="auto" w:fill="FFFFFF"/>
          <w:lang w:eastAsia="zh-CN"/>
        </w:rPr>
        <w:t>。</w:t>
      </w:r>
    </w:p>
    <w:p w14:paraId="545ED966">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jc w:val="center"/>
        <w:textAlignment w:val="top"/>
        <w:rPr>
          <w:rFonts w:hint="eastAsia" w:ascii="Times New Roman" w:hAnsi="Times New Roman" w:eastAsia="方正小标宋简体" w:cs="仿宋_GB2312"/>
          <w:b w:val="0"/>
          <w:bCs w:val="0"/>
          <w:sz w:val="28"/>
          <w:szCs w:val="32"/>
          <w:highlight w:val="none"/>
          <w:lang w:val="en-US" w:eastAsia="zh-CN"/>
        </w:rPr>
      </w:pPr>
      <w:r>
        <w:rPr>
          <w:rFonts w:hint="eastAsia" w:ascii="Times New Roman" w:hAnsi="Times New Roman" w:eastAsia="方正小标宋简体" w:cs="仿宋_GB2312"/>
          <w:b w:val="0"/>
          <w:bCs w:val="0"/>
          <w:sz w:val="28"/>
          <w:szCs w:val="32"/>
          <w:highlight w:val="none"/>
          <w:lang w:val="en-US" w:eastAsia="zh-CN"/>
        </w:rPr>
        <w:t>图1  上半年昌吉州各县（市）地区生产总值及增速</w:t>
      </w:r>
    </w:p>
    <w:p w14:paraId="58BC02C4">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jc w:val="center"/>
        <w:textAlignment w:val="top"/>
        <w:rPr>
          <w:rFonts w:hint="eastAsia" w:ascii="Times New Roman" w:hAnsi="Times New Roman" w:eastAsia="方正小标宋简体" w:cs="仿宋_GB2312"/>
          <w:b w:val="0"/>
          <w:bCs w:val="0"/>
          <w:sz w:val="21"/>
          <w:szCs w:val="22"/>
          <w:highlight w:val="none"/>
          <w:lang w:val="en-US" w:eastAsia="zh-CN"/>
        </w:rPr>
      </w:pPr>
      <w:r>
        <w:rPr>
          <w:rFonts w:hint="eastAsia" w:ascii="Times New Roman" w:hAnsi="Times New Roman" w:eastAsia="方正小标宋简体" w:cs="仿宋_GB2312"/>
          <w:b w:val="0"/>
          <w:bCs w:val="0"/>
          <w:sz w:val="28"/>
          <w:szCs w:val="32"/>
          <w:highlight w:val="none"/>
          <w:lang w:val="en-US" w:eastAsia="zh-CN"/>
        </w:rPr>
        <w:t xml:space="preserve">                                        </w:t>
      </w:r>
      <w:r>
        <w:rPr>
          <w:rFonts w:hint="eastAsia" w:ascii="Times New Roman" w:hAnsi="Times New Roman" w:eastAsia="方正小标宋简体" w:cs="仿宋_GB2312"/>
          <w:b w:val="0"/>
          <w:bCs w:val="0"/>
          <w:sz w:val="21"/>
          <w:szCs w:val="22"/>
          <w:highlight w:val="none"/>
          <w:lang w:val="en-US" w:eastAsia="zh-CN"/>
        </w:rPr>
        <w:t>单位：亿元、%</w:t>
      </w:r>
    </w:p>
    <w:p w14:paraId="6FFDB670">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420" w:firstLineChars="200"/>
        <w:textAlignment w:val="top"/>
        <w:rPr>
          <w:rFonts w:hint="default"/>
          <w:lang w:eastAsia="zh-CN"/>
        </w:rPr>
      </w:pPr>
      <w:r>
        <w:drawing>
          <wp:anchor distT="0" distB="0" distL="114300" distR="114300" simplePos="0" relativeHeight="251659264" behindDoc="0" locked="0" layoutInCell="1" allowOverlap="1">
            <wp:simplePos x="0" y="0"/>
            <wp:positionH relativeFrom="column">
              <wp:posOffset>466725</wp:posOffset>
            </wp:positionH>
            <wp:positionV relativeFrom="page">
              <wp:posOffset>4000500</wp:posOffset>
            </wp:positionV>
            <wp:extent cx="4702810" cy="2571115"/>
            <wp:effectExtent l="0" t="0" r="2540" b="635"/>
            <wp:wrapTopAndBottom/>
            <wp:docPr id="924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二、分行业运行情况</w:t>
      </w:r>
    </w:p>
    <w:p w14:paraId="54CB3621">
      <w:pPr>
        <w:keepNext w:val="0"/>
        <w:keepLines w:val="0"/>
        <w:pageBreakBefore w:val="0"/>
        <w:widowControl w:val="0"/>
        <w:numPr>
          <w:ilvl w:val="0"/>
          <w:numId w:val="2"/>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Times New Roman" w:hAnsi="Times New Roman" w:eastAsia="仿宋_GB2312" w:cs="Times New Roman"/>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农林牧渔业承压运行</w:t>
      </w:r>
    </w:p>
    <w:p w14:paraId="52F777C6">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Times New Roman" w:hAnsi="Times New Roman" w:eastAsia="仿宋_GB2312" w:cs="仿宋_GB2312"/>
          <w:color w:val="auto"/>
          <w:sz w:val="28"/>
          <w:szCs w:val="28"/>
          <w:lang w:val="en-US" w:eastAsia="zh-CN" w:bidi="ar"/>
        </w:rPr>
      </w:pPr>
      <w:r>
        <w:rPr>
          <w:rFonts w:hint="eastAsia" w:ascii="Times New Roman" w:hAnsi="Times New Roman" w:eastAsia="仿宋_GB2312" w:cs="Times New Roman"/>
          <w:color w:val="auto"/>
          <w:kern w:val="2"/>
          <w:sz w:val="32"/>
          <w:szCs w:val="32"/>
          <w:highlight w:val="none"/>
          <w:lang w:val="en-US" w:eastAsia="zh-CN" w:bidi="ar-SA"/>
        </w:rPr>
        <w:t>上半年，预计实现农林牧渔业总产值18.21亿元，按可比价格计算，下降1.7%。其中，农业8.58亿元，下降11.3%；林业0.28亿元，下降11.6%；牧业6.98亿元，增长8.0%；农林牧渔辅助业2.38亿元，增长21.6%。猪、牛、羊出栏分别下降35.0%、17.7%，6.3%，活家禽增长5.6%；猪、牛、羊存栏分别增长-42.5%、-8.5%、6.7%，活家禽下降22.3%。猪牛羊禽肉产量0.82万吨；禽蛋产量下降18.8%，生牛奶产量下降6.4%。</w:t>
      </w:r>
    </w:p>
    <w:p w14:paraId="1B892D72">
      <w:pPr>
        <w:keepNext w:val="0"/>
        <w:keepLines w:val="0"/>
        <w:pageBreakBefore w:val="0"/>
        <w:widowControl w:val="0"/>
        <w:numPr>
          <w:ilvl w:val="0"/>
          <w:numId w:val="3"/>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规上工业</w:t>
      </w:r>
      <w:r>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t>创年内峰值</w:t>
      </w:r>
    </w:p>
    <w:p w14:paraId="4287454D">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上半年，39家规上</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工业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企业工业总产值31.95亿元，增加值同比增长17.2%，位居七县市第3位（仅次于吉木萨尔县22.3%、木垒县17.4%），增幅较1-5月提高3.2个百分点。15家企业产值增长，23家下降，1家停产。从三大门类看，采矿业增加值增长318.6%;制造业增加值下降3.2%;电力、热力、燃气及水的生产和供应业增加值增长13.2%。</w:t>
      </w:r>
    </w:p>
    <w:p w14:paraId="2DFDBF39">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val="0"/>
        <w:spacing w:line="520" w:lineRule="exact"/>
        <w:ind w:firstLine="643" w:firstLineChars="200"/>
        <w:jc w:val="both"/>
        <w:textAlignment w:val="top"/>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11个行业大类增加值“7增4降”，增长的7个行业中：</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石油和天然气开采业</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在腾源石油累计产量增长32.24倍带动下，</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增长29.03倍，上拉规上工业10.7个百分点；</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电力、热力生产和供应业</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在6月新入库国投奇鑫实现净增长</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带动下，增长14.2%，上拉7.3个百分点；</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非金属矿物制品业</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在</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新港新材料、天山水泥订单增加的带动下，增长66.6%，上拉2.4个百分点；</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煤炭开采和洗选业</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在北</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塔山煤矿采取</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降价、补贴运费等营销方式</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带动下，增长21.1%，上拉0.7个百分点；</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农副食品加工业</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在新粮华麦、天山面粉疆外订单增加的带动下，增长6.0%，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上拉0.4个百分点</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食品制造业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在新粮华麦新增挂面产线的带动下，增长66.3%，上拉0.1个百分点；</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橡胶和塑料制品业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在去年同期停机低基数带动下，增长5.3%。</w:t>
      </w:r>
    </w:p>
    <w:p w14:paraId="683ED7BF">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val="0"/>
        <w:spacing w:line="520" w:lineRule="exact"/>
        <w:ind w:firstLine="643" w:firstLineChars="200"/>
        <w:jc w:val="both"/>
        <w:textAlignment w:val="top"/>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下降的4个行业中：</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金属制品业</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受新能源项目建设节奏放缓影响，下降76.9%，下拉3.3个百分点；</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化学原料和化学制品制造业</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受BDO、PTMEG量价“双降”影响，下降3.8%，下拉1.0个百分点；</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水的生产和供应业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受蓝山屯河设备升级，外购水减少影响，下降1.5%；</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燃气生产和供应业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受S240省道扩建施工车辆减少影响，下降1.5%。</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（详见表1）</w:t>
      </w:r>
    </w:p>
    <w:p w14:paraId="1584B995">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jc w:val="center"/>
        <w:textAlignment w:val="top"/>
        <w:rPr>
          <w:rFonts w:hint="eastAsia" w:ascii="Times New Roman" w:hAnsi="Times New Roman" w:eastAsia="方正小标宋简体" w:cs="仿宋_GB2312"/>
          <w:b w:val="0"/>
          <w:bCs w:val="0"/>
          <w:sz w:val="28"/>
          <w:szCs w:val="32"/>
          <w:highlight w:val="none"/>
          <w:lang w:val="en-US" w:eastAsia="zh-CN"/>
        </w:rPr>
      </w:pPr>
      <w:r>
        <w:rPr>
          <w:rFonts w:hint="eastAsia" w:ascii="Times New Roman" w:hAnsi="Times New Roman" w:eastAsia="方正小标宋简体" w:cs="仿宋_GB2312"/>
          <w:b w:val="0"/>
          <w:bCs w:val="0"/>
          <w:sz w:val="28"/>
          <w:szCs w:val="32"/>
          <w:highlight w:val="none"/>
          <w:lang w:val="en-US" w:eastAsia="zh-CN"/>
        </w:rPr>
        <w:t>表1    上半年规上工业主要行业增加值情况</w:t>
      </w:r>
    </w:p>
    <w:tbl>
      <w:tblPr>
        <w:tblStyle w:val="8"/>
        <w:tblpPr w:leftFromText="180" w:rightFromText="180" w:vertAnchor="text" w:horzAnchor="page" w:tblpXSpec="center" w:tblpY="-478"/>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61"/>
        <w:gridCol w:w="708"/>
        <w:gridCol w:w="1069"/>
        <w:gridCol w:w="908"/>
        <w:gridCol w:w="975"/>
        <w:gridCol w:w="1262"/>
      </w:tblGrid>
      <w:tr w14:paraId="3AE1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3561" w:type="dxa"/>
            <w:tcBorders>
              <w:top w:val="single" w:color="auto" w:sz="12" w:space="0"/>
              <w:left w:val="nil"/>
              <w:bottom w:val="single" w:color="000000" w:sz="4" w:space="0"/>
              <w:right w:val="single" w:color="000000" w:sz="4" w:space="0"/>
            </w:tcBorders>
            <w:noWrap/>
            <w:vAlign w:val="center"/>
          </w:tcPr>
          <w:p w14:paraId="2F0EC98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分行业</w:t>
            </w:r>
          </w:p>
        </w:tc>
        <w:tc>
          <w:tcPr>
            <w:tcW w:w="708" w:type="dxa"/>
            <w:tcBorders>
              <w:top w:val="single" w:color="auto" w:sz="12" w:space="0"/>
              <w:left w:val="single" w:color="000000" w:sz="4" w:space="0"/>
              <w:bottom w:val="single" w:color="000000" w:sz="4" w:space="0"/>
              <w:right w:val="single" w:color="000000" w:sz="4" w:space="0"/>
            </w:tcBorders>
            <w:noWrap w:val="0"/>
            <w:vAlign w:val="center"/>
          </w:tcPr>
          <w:p w14:paraId="3C01024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企业个数</w:t>
            </w:r>
          </w:p>
        </w:tc>
        <w:tc>
          <w:tcPr>
            <w:tcW w:w="1069" w:type="dxa"/>
            <w:tcBorders>
              <w:top w:val="single" w:color="auto" w:sz="12" w:space="0"/>
              <w:left w:val="single" w:color="000000" w:sz="4" w:space="0"/>
              <w:bottom w:val="single" w:color="000000" w:sz="4" w:space="0"/>
              <w:right w:val="single" w:color="000000" w:sz="4" w:space="0"/>
            </w:tcBorders>
            <w:noWrap w:val="0"/>
            <w:vAlign w:val="center"/>
          </w:tcPr>
          <w:p w14:paraId="70DB207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16"/>
                <w:szCs w:val="16"/>
                <w:u w:val="none"/>
                <w:lang w:val="en-US" w:eastAsia="zh-CN" w:bidi="ar"/>
              </w:rPr>
            </w:pPr>
            <w:r>
              <w:rPr>
                <w:rFonts w:hint="eastAsia" w:ascii="仿宋_GB2312" w:hAnsi="仿宋_GB2312" w:eastAsia="仿宋_GB2312" w:cs="仿宋_GB2312"/>
                <w:b/>
                <w:bCs/>
                <w:i w:val="0"/>
                <w:iCs w:val="0"/>
                <w:color w:val="000000"/>
                <w:kern w:val="0"/>
                <w:sz w:val="16"/>
                <w:szCs w:val="16"/>
                <w:u w:val="none"/>
                <w:lang w:val="en-US" w:eastAsia="zh-CN" w:bidi="ar"/>
              </w:rPr>
              <w:t>增加值</w:t>
            </w:r>
          </w:p>
          <w:p w14:paraId="1575E8D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6"/>
                <w:szCs w:val="16"/>
                <w:u w:val="none"/>
                <w:lang w:val="en-US" w:eastAsia="zh-CN" w:bidi="ar"/>
              </w:rPr>
              <w:t>（万元）</w:t>
            </w:r>
          </w:p>
        </w:tc>
        <w:tc>
          <w:tcPr>
            <w:tcW w:w="908" w:type="dxa"/>
            <w:tcBorders>
              <w:top w:val="single" w:color="auto" w:sz="12" w:space="0"/>
              <w:left w:val="single" w:color="000000" w:sz="4" w:space="0"/>
              <w:bottom w:val="single" w:color="000000" w:sz="4" w:space="0"/>
              <w:right w:val="single" w:color="000000" w:sz="4" w:space="0"/>
            </w:tcBorders>
            <w:noWrap w:val="0"/>
            <w:vAlign w:val="center"/>
          </w:tcPr>
          <w:p w14:paraId="07413A9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占比</w:t>
            </w:r>
            <w:r>
              <w:rPr>
                <w:rFonts w:hint="eastAsia" w:ascii="仿宋_GB2312" w:hAnsi="仿宋_GB2312" w:eastAsia="仿宋_GB2312" w:cs="仿宋_GB2312"/>
                <w:b/>
                <w:bCs/>
                <w:i w:val="0"/>
                <w:iCs w:val="0"/>
                <w:color w:val="000000"/>
                <w:kern w:val="0"/>
                <w:sz w:val="18"/>
                <w:szCs w:val="18"/>
                <w:u w:val="none"/>
                <w:lang w:val="en-US" w:eastAsia="zh-CN" w:bidi="ar"/>
              </w:rPr>
              <w:br w:type="textWrapping"/>
            </w:r>
            <w:r>
              <w:rPr>
                <w:rFonts w:hint="eastAsia" w:ascii="仿宋_GB2312" w:hAnsi="仿宋_GB2312" w:eastAsia="仿宋_GB2312" w:cs="仿宋_GB2312"/>
                <w:b/>
                <w:bCs/>
                <w:i w:val="0"/>
                <w:iCs w:val="0"/>
                <w:color w:val="000000"/>
                <w:kern w:val="0"/>
                <w:sz w:val="16"/>
                <w:szCs w:val="16"/>
                <w:u w:val="none"/>
                <w:lang w:val="en-US" w:eastAsia="zh-CN" w:bidi="ar"/>
              </w:rPr>
              <w:t>（%）</w:t>
            </w:r>
          </w:p>
        </w:tc>
        <w:tc>
          <w:tcPr>
            <w:tcW w:w="975" w:type="dxa"/>
            <w:tcBorders>
              <w:top w:val="single" w:color="auto" w:sz="12" w:space="0"/>
              <w:left w:val="single" w:color="000000" w:sz="4" w:space="0"/>
              <w:bottom w:val="single" w:color="000000" w:sz="4" w:space="0"/>
              <w:right w:val="single" w:color="000000" w:sz="4" w:space="0"/>
            </w:tcBorders>
            <w:noWrap w:val="0"/>
            <w:vAlign w:val="center"/>
          </w:tcPr>
          <w:p w14:paraId="0750C1E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增速</w:t>
            </w:r>
            <w:r>
              <w:rPr>
                <w:rFonts w:hint="eastAsia" w:ascii="仿宋_GB2312" w:hAnsi="仿宋_GB2312" w:eastAsia="仿宋_GB2312" w:cs="仿宋_GB2312"/>
                <w:b/>
                <w:bCs/>
                <w:i w:val="0"/>
                <w:iCs w:val="0"/>
                <w:color w:val="000000"/>
                <w:kern w:val="0"/>
                <w:sz w:val="18"/>
                <w:szCs w:val="18"/>
                <w:u w:val="none"/>
                <w:lang w:val="en-US" w:eastAsia="zh-CN" w:bidi="ar"/>
              </w:rPr>
              <w:br w:type="textWrapping"/>
            </w:r>
            <w:r>
              <w:rPr>
                <w:rFonts w:hint="eastAsia" w:ascii="仿宋_GB2312" w:hAnsi="仿宋_GB2312" w:eastAsia="仿宋_GB2312" w:cs="仿宋_GB2312"/>
                <w:b/>
                <w:bCs/>
                <w:i w:val="0"/>
                <w:iCs w:val="0"/>
                <w:color w:val="000000"/>
                <w:kern w:val="0"/>
                <w:sz w:val="16"/>
                <w:szCs w:val="16"/>
                <w:u w:val="none"/>
                <w:lang w:val="en-US" w:eastAsia="zh-CN" w:bidi="ar"/>
              </w:rPr>
              <w:t>（%）</w:t>
            </w:r>
          </w:p>
        </w:tc>
        <w:tc>
          <w:tcPr>
            <w:tcW w:w="1262" w:type="dxa"/>
            <w:tcBorders>
              <w:top w:val="single" w:color="auto" w:sz="12" w:space="0"/>
              <w:left w:val="single" w:color="000000" w:sz="4" w:space="0"/>
              <w:bottom w:val="single" w:color="000000" w:sz="4" w:space="0"/>
              <w:right w:val="nil"/>
            </w:tcBorders>
            <w:noWrap w:val="0"/>
            <w:vAlign w:val="center"/>
          </w:tcPr>
          <w:p w14:paraId="5B852B2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拉动点</w:t>
            </w:r>
            <w:r>
              <w:rPr>
                <w:rFonts w:hint="eastAsia" w:ascii="仿宋_GB2312" w:hAnsi="仿宋_GB2312" w:eastAsia="仿宋_GB2312" w:cs="仿宋_GB2312"/>
                <w:b/>
                <w:bCs/>
                <w:i w:val="0"/>
                <w:iCs w:val="0"/>
                <w:color w:val="000000"/>
                <w:kern w:val="0"/>
                <w:sz w:val="18"/>
                <w:szCs w:val="18"/>
                <w:u w:val="none"/>
                <w:lang w:val="en-US" w:eastAsia="zh-CN" w:bidi="ar"/>
              </w:rPr>
              <w:br w:type="textWrapping"/>
            </w:r>
            <w:r>
              <w:rPr>
                <w:rFonts w:hint="eastAsia" w:ascii="仿宋_GB2312" w:hAnsi="仿宋_GB2312" w:eastAsia="仿宋_GB2312" w:cs="仿宋_GB2312"/>
                <w:b/>
                <w:bCs/>
                <w:i w:val="0"/>
                <w:iCs w:val="0"/>
                <w:color w:val="000000"/>
                <w:kern w:val="0"/>
                <w:sz w:val="16"/>
                <w:szCs w:val="16"/>
                <w:u w:val="none"/>
                <w:lang w:val="en-US" w:eastAsia="zh-CN" w:bidi="ar"/>
              </w:rPr>
              <w:t>（个百分点）</w:t>
            </w:r>
          </w:p>
        </w:tc>
      </w:tr>
      <w:tr w14:paraId="3EC0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000000" w:sz="4" w:space="0"/>
              <w:right w:val="single" w:color="000000" w:sz="4" w:space="0"/>
            </w:tcBorders>
            <w:noWrap/>
            <w:vAlign w:val="center"/>
          </w:tcPr>
          <w:p w14:paraId="782B4070">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FF"/>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电力、热力生产和供应业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404B86AB">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9</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15E99124">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7AA124A9">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45.1</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28AEB1C9">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14.2</w:t>
            </w:r>
          </w:p>
        </w:tc>
        <w:tc>
          <w:tcPr>
            <w:tcW w:w="1262" w:type="dxa"/>
            <w:tcBorders>
              <w:top w:val="single" w:color="000000" w:sz="4" w:space="0"/>
              <w:left w:val="single" w:color="000000" w:sz="4" w:space="0"/>
              <w:bottom w:val="single" w:color="000000" w:sz="4" w:space="0"/>
              <w:right w:val="nil"/>
            </w:tcBorders>
            <w:noWrap/>
            <w:vAlign w:val="center"/>
          </w:tcPr>
          <w:p w14:paraId="10D2F291">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7.3</w:t>
            </w:r>
          </w:p>
        </w:tc>
      </w:tr>
      <w:tr w14:paraId="767E5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561" w:type="dxa"/>
            <w:tcBorders>
              <w:top w:val="single" w:color="000000" w:sz="4" w:space="0"/>
              <w:left w:val="nil"/>
              <w:bottom w:val="single" w:color="000000" w:sz="4" w:space="0"/>
              <w:right w:val="single" w:color="000000" w:sz="4" w:space="0"/>
            </w:tcBorders>
            <w:noWrap/>
            <w:vAlign w:val="center"/>
          </w:tcPr>
          <w:p w14:paraId="5F4FA0FA">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FF"/>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化学原料和化学制品制造业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063AA160">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4</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2A6E7374">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3D18622D">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24.6</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22236A22">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-3.8</w:t>
            </w:r>
          </w:p>
        </w:tc>
        <w:tc>
          <w:tcPr>
            <w:tcW w:w="1262" w:type="dxa"/>
            <w:tcBorders>
              <w:top w:val="single" w:color="000000" w:sz="4" w:space="0"/>
              <w:left w:val="single" w:color="000000" w:sz="4" w:space="0"/>
              <w:bottom w:val="single" w:color="000000" w:sz="4" w:space="0"/>
              <w:right w:val="nil"/>
            </w:tcBorders>
            <w:noWrap/>
            <w:vAlign w:val="center"/>
          </w:tcPr>
          <w:p w14:paraId="43C2EBB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-1.0</w:t>
            </w:r>
          </w:p>
        </w:tc>
      </w:tr>
      <w:tr w14:paraId="1B143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561" w:type="dxa"/>
            <w:tcBorders>
              <w:top w:val="single" w:color="000000" w:sz="4" w:space="0"/>
              <w:left w:val="nil"/>
              <w:bottom w:val="single" w:color="000000" w:sz="4" w:space="0"/>
              <w:right w:val="single" w:color="000000" w:sz="4" w:space="0"/>
            </w:tcBorders>
            <w:noWrap/>
            <w:vAlign w:val="center"/>
          </w:tcPr>
          <w:p w14:paraId="05D997D3">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石油和天然气开采业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7CD6E8D6">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36AC843A">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219224A9">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10.8</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63070413">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2903.4</w:t>
            </w:r>
          </w:p>
        </w:tc>
        <w:tc>
          <w:tcPr>
            <w:tcW w:w="1262" w:type="dxa"/>
            <w:tcBorders>
              <w:top w:val="single" w:color="000000" w:sz="4" w:space="0"/>
              <w:left w:val="single" w:color="000000" w:sz="4" w:space="0"/>
              <w:bottom w:val="single" w:color="000000" w:sz="4" w:space="0"/>
              <w:right w:val="nil"/>
            </w:tcBorders>
            <w:noWrap/>
            <w:vAlign w:val="center"/>
          </w:tcPr>
          <w:p w14:paraId="6D73EA7A">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10.7</w:t>
            </w:r>
          </w:p>
        </w:tc>
      </w:tr>
      <w:tr w14:paraId="4CCB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000000" w:sz="4" w:space="0"/>
              <w:right w:val="single" w:color="000000" w:sz="4" w:space="0"/>
            </w:tcBorders>
            <w:noWrap/>
            <w:vAlign w:val="center"/>
          </w:tcPr>
          <w:p w14:paraId="0B30D815">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FF"/>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农副食品加工业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6A400D3B">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2EE41914">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085B42EB">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5.8</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1825641D">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6.0</w:t>
            </w:r>
          </w:p>
        </w:tc>
        <w:tc>
          <w:tcPr>
            <w:tcW w:w="1262" w:type="dxa"/>
            <w:tcBorders>
              <w:top w:val="single" w:color="000000" w:sz="4" w:space="0"/>
              <w:left w:val="single" w:color="000000" w:sz="4" w:space="0"/>
              <w:bottom w:val="single" w:color="000000" w:sz="4" w:space="0"/>
              <w:right w:val="nil"/>
            </w:tcBorders>
            <w:noWrap/>
            <w:vAlign w:val="center"/>
          </w:tcPr>
          <w:p w14:paraId="087FA75D">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0.4</w:t>
            </w:r>
          </w:p>
        </w:tc>
      </w:tr>
      <w:tr w14:paraId="044C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000000" w:sz="4" w:space="0"/>
              <w:right w:val="single" w:color="000000" w:sz="4" w:space="0"/>
            </w:tcBorders>
            <w:noWrap/>
            <w:vAlign w:val="center"/>
          </w:tcPr>
          <w:p w14:paraId="3D8288E0">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非金属矿物制品业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6C7FD4A0">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8</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592B0692">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0A755A9F">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5.6</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AC73DC5">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66.6</w:t>
            </w:r>
          </w:p>
        </w:tc>
        <w:tc>
          <w:tcPr>
            <w:tcW w:w="1262" w:type="dxa"/>
            <w:tcBorders>
              <w:top w:val="single" w:color="000000" w:sz="4" w:space="0"/>
              <w:left w:val="single" w:color="000000" w:sz="4" w:space="0"/>
              <w:bottom w:val="single" w:color="000000" w:sz="4" w:space="0"/>
              <w:right w:val="nil"/>
            </w:tcBorders>
            <w:noWrap/>
            <w:vAlign w:val="center"/>
          </w:tcPr>
          <w:p w14:paraId="6DEC5CFE">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2.4</w:t>
            </w:r>
          </w:p>
        </w:tc>
      </w:tr>
      <w:tr w14:paraId="14F2B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000000" w:sz="4" w:space="0"/>
              <w:right w:val="single" w:color="000000" w:sz="4" w:space="0"/>
            </w:tcBorders>
            <w:noWrap/>
            <w:vAlign w:val="center"/>
          </w:tcPr>
          <w:p w14:paraId="1F039128">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煤炭开采和洗选业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137018F0">
            <w:pPr>
              <w:keepNext w:val="0"/>
              <w:keepLines w:val="0"/>
              <w:widowControl/>
              <w:suppressLineNumbers w:val="0"/>
              <w:jc w:val="right"/>
              <w:textAlignment w:val="center"/>
              <w:rPr>
                <w:rFonts w:hint="eastAsia"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4</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52D48A4F">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08144263">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3.3</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1C4C09D5">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21.1</w:t>
            </w:r>
          </w:p>
        </w:tc>
        <w:tc>
          <w:tcPr>
            <w:tcW w:w="1262" w:type="dxa"/>
            <w:tcBorders>
              <w:top w:val="single" w:color="000000" w:sz="4" w:space="0"/>
              <w:left w:val="single" w:color="000000" w:sz="4" w:space="0"/>
              <w:bottom w:val="single" w:color="000000" w:sz="4" w:space="0"/>
              <w:right w:val="nil"/>
            </w:tcBorders>
            <w:noWrap/>
            <w:vAlign w:val="center"/>
          </w:tcPr>
          <w:p w14:paraId="466F4B31">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0.7</w:t>
            </w:r>
          </w:p>
        </w:tc>
      </w:tr>
      <w:tr w14:paraId="1EF1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000000" w:sz="4" w:space="0"/>
              <w:right w:val="single" w:color="000000" w:sz="4" w:space="0"/>
            </w:tcBorders>
            <w:noWrap/>
            <w:vAlign w:val="center"/>
          </w:tcPr>
          <w:p w14:paraId="303446D1">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水的生产和供应业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20DB33D3">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2BCC44A2">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3DE85E69">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2.1</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4A2A24C0">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-1.5</w:t>
            </w:r>
          </w:p>
        </w:tc>
        <w:tc>
          <w:tcPr>
            <w:tcW w:w="1262" w:type="dxa"/>
            <w:tcBorders>
              <w:top w:val="single" w:color="000000" w:sz="4" w:space="0"/>
              <w:left w:val="single" w:color="000000" w:sz="4" w:space="0"/>
              <w:bottom w:val="single" w:color="000000" w:sz="4" w:space="0"/>
              <w:right w:val="nil"/>
            </w:tcBorders>
            <w:noWrap/>
            <w:vAlign w:val="center"/>
          </w:tcPr>
          <w:p w14:paraId="0EDD5B3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-0.04</w:t>
            </w:r>
          </w:p>
        </w:tc>
      </w:tr>
      <w:tr w14:paraId="29AFC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000000" w:sz="4" w:space="0"/>
              <w:right w:val="single" w:color="000000" w:sz="4" w:space="0"/>
            </w:tcBorders>
            <w:noWrap/>
            <w:vAlign w:val="center"/>
          </w:tcPr>
          <w:p w14:paraId="3B109585">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燃气生产和供应业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0B9AA86F">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56D80704">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02BB37C5">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0.9</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53A5DB92">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1.5</w:t>
            </w:r>
          </w:p>
        </w:tc>
        <w:tc>
          <w:tcPr>
            <w:tcW w:w="1262" w:type="dxa"/>
            <w:tcBorders>
              <w:top w:val="single" w:color="000000" w:sz="4" w:space="0"/>
              <w:left w:val="single" w:color="000000" w:sz="4" w:space="0"/>
              <w:bottom w:val="single" w:color="000000" w:sz="4" w:space="0"/>
              <w:right w:val="nil"/>
            </w:tcBorders>
            <w:noWrap/>
            <w:vAlign w:val="center"/>
          </w:tcPr>
          <w:p w14:paraId="0A54247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w:t>
            </w: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02</w:t>
            </w:r>
          </w:p>
        </w:tc>
      </w:tr>
      <w:tr w14:paraId="46D5D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000000" w:sz="4" w:space="0"/>
              <w:right w:val="single" w:color="000000" w:sz="4" w:space="0"/>
            </w:tcBorders>
            <w:noWrap/>
            <w:vAlign w:val="center"/>
          </w:tcPr>
          <w:p w14:paraId="5B9D2D3A">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金属制品业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0ED3E7D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2F28C82D">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67EC357A">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0.9</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80D448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76.9</w:t>
            </w:r>
          </w:p>
        </w:tc>
        <w:tc>
          <w:tcPr>
            <w:tcW w:w="1262" w:type="dxa"/>
            <w:tcBorders>
              <w:top w:val="single" w:color="000000" w:sz="4" w:space="0"/>
              <w:left w:val="single" w:color="000000" w:sz="4" w:space="0"/>
              <w:bottom w:val="single" w:color="000000" w:sz="4" w:space="0"/>
              <w:right w:val="nil"/>
            </w:tcBorders>
            <w:noWrap/>
            <w:vAlign w:val="center"/>
          </w:tcPr>
          <w:p w14:paraId="5C547B4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kern w:val="0"/>
                <w:sz w:val="20"/>
                <w:szCs w:val="20"/>
                <w:u w:val="none"/>
                <w:lang w:val="en-US" w:eastAsia="zh-CN" w:bidi="ar"/>
              </w:rPr>
              <w:t>-3.3</w:t>
            </w:r>
          </w:p>
        </w:tc>
      </w:tr>
      <w:tr w14:paraId="01E9B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000000" w:sz="4" w:space="0"/>
              <w:right w:val="single" w:color="000000" w:sz="4" w:space="0"/>
            </w:tcBorders>
            <w:noWrap/>
            <w:vAlign w:val="center"/>
          </w:tcPr>
          <w:p w14:paraId="3109BD47">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橡胶和塑料制品业</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3AC158C5">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6056312E">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000000" w:sz="4" w:space="0"/>
              <w:right w:val="single" w:color="000000" w:sz="4" w:space="0"/>
            </w:tcBorders>
            <w:noWrap/>
            <w:vAlign w:val="center"/>
          </w:tcPr>
          <w:p w14:paraId="6E4D12DB">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w:t>
            </w:r>
            <w:r>
              <w:rPr>
                <w:rFonts w:hint="eastAsia" w:ascii="Times New Roman" w:hAnsi="Times New Roman" w:eastAsia="宋体" w:cs="Times New Roman"/>
                <w:i w:val="0"/>
                <w:iCs w:val="0"/>
                <w:color w:val="000000"/>
                <w:kern w:val="0"/>
                <w:sz w:val="20"/>
                <w:szCs w:val="20"/>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151C212B">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5.3</w:t>
            </w:r>
          </w:p>
        </w:tc>
        <w:tc>
          <w:tcPr>
            <w:tcW w:w="1262" w:type="dxa"/>
            <w:tcBorders>
              <w:top w:val="single" w:color="000000" w:sz="4" w:space="0"/>
              <w:left w:val="single" w:color="000000" w:sz="4" w:space="0"/>
              <w:bottom w:val="single" w:color="000000" w:sz="4" w:space="0"/>
              <w:right w:val="nil"/>
            </w:tcBorders>
            <w:noWrap/>
            <w:vAlign w:val="center"/>
          </w:tcPr>
          <w:p w14:paraId="7E804E6A">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0.03</w:t>
            </w:r>
          </w:p>
        </w:tc>
      </w:tr>
      <w:tr w14:paraId="3569A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61" w:type="dxa"/>
            <w:tcBorders>
              <w:top w:val="single" w:color="000000" w:sz="4" w:space="0"/>
              <w:left w:val="nil"/>
              <w:bottom w:val="single" w:color="auto" w:sz="12" w:space="0"/>
              <w:right w:val="single" w:color="000000" w:sz="4" w:space="0"/>
            </w:tcBorders>
            <w:noWrap/>
            <w:vAlign w:val="center"/>
          </w:tcPr>
          <w:p w14:paraId="1DF21060">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食品制造业</w:t>
            </w:r>
          </w:p>
        </w:tc>
        <w:tc>
          <w:tcPr>
            <w:tcW w:w="708" w:type="dxa"/>
            <w:tcBorders>
              <w:top w:val="single" w:color="000000" w:sz="4" w:space="0"/>
              <w:left w:val="single" w:color="000000" w:sz="4" w:space="0"/>
              <w:bottom w:val="single" w:color="auto" w:sz="12" w:space="0"/>
              <w:right w:val="single" w:color="000000" w:sz="4" w:space="0"/>
            </w:tcBorders>
            <w:noWrap/>
            <w:vAlign w:val="center"/>
          </w:tcPr>
          <w:p w14:paraId="4ECCD9C3">
            <w:pPr>
              <w:keepNext w:val="0"/>
              <w:keepLines w:val="0"/>
              <w:widowControl/>
              <w:suppressLineNumbers w:val="0"/>
              <w:jc w:val="right"/>
              <w:textAlignment w:val="center"/>
              <w:rPr>
                <w:rFonts w:hint="eastAsia" w:ascii="Times New Roman" w:hAnsi="Times New Roman" w:eastAsia="宋体" w:cs="Times New Roman"/>
                <w:i w:val="0"/>
                <w:iCs w:val="0"/>
                <w:color w:val="0000FF"/>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69" w:type="dxa"/>
            <w:tcBorders>
              <w:top w:val="single" w:color="000000" w:sz="4" w:space="0"/>
              <w:left w:val="single" w:color="000000" w:sz="4" w:space="0"/>
              <w:bottom w:val="single" w:color="auto" w:sz="12" w:space="0"/>
              <w:right w:val="single" w:color="000000" w:sz="4" w:space="0"/>
            </w:tcBorders>
            <w:noWrap/>
            <w:vAlign w:val="center"/>
          </w:tcPr>
          <w:p w14:paraId="267F35CC">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c>
          <w:tcPr>
            <w:tcW w:w="908" w:type="dxa"/>
            <w:tcBorders>
              <w:top w:val="single" w:color="000000" w:sz="4" w:space="0"/>
              <w:left w:val="single" w:color="000000" w:sz="4" w:space="0"/>
              <w:bottom w:val="single" w:color="auto" w:sz="12" w:space="0"/>
              <w:right w:val="single" w:color="000000" w:sz="4" w:space="0"/>
            </w:tcBorders>
            <w:noWrap/>
            <w:vAlign w:val="center"/>
          </w:tcPr>
          <w:p w14:paraId="3266F07A">
            <w:pPr>
              <w:keepNext w:val="0"/>
              <w:keepLines w:val="0"/>
              <w:widowControl/>
              <w:suppressLineNumbers w:val="0"/>
              <w:jc w:val="right"/>
              <w:textAlignment w:val="center"/>
              <w:rPr>
                <w:rFonts w:hint="eastAsia" w:ascii="Times New Roman" w:hAnsi="Times New Roman" w:eastAsia="宋体" w:cs="Times New Roman"/>
                <w:i w:val="0"/>
                <w:iCs w:val="0"/>
                <w:color w:val="0000FF"/>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w:t>
            </w:r>
            <w:r>
              <w:rPr>
                <w:rFonts w:hint="eastAsia" w:ascii="Times New Roman" w:hAnsi="Times New Roman" w:eastAsia="宋体" w:cs="Times New Roman"/>
                <w:i w:val="0"/>
                <w:iCs w:val="0"/>
                <w:color w:val="000000"/>
                <w:kern w:val="0"/>
                <w:sz w:val="20"/>
                <w:szCs w:val="20"/>
                <w:u w:val="none"/>
                <w:lang w:val="en-US" w:eastAsia="zh-CN" w:bidi="ar"/>
              </w:rPr>
              <w:t>3</w:t>
            </w:r>
          </w:p>
        </w:tc>
        <w:tc>
          <w:tcPr>
            <w:tcW w:w="975" w:type="dxa"/>
            <w:tcBorders>
              <w:top w:val="single" w:color="000000" w:sz="4" w:space="0"/>
              <w:left w:val="single" w:color="000000" w:sz="4" w:space="0"/>
              <w:bottom w:val="single" w:color="auto" w:sz="12" w:space="0"/>
              <w:right w:val="single" w:color="000000" w:sz="4" w:space="0"/>
            </w:tcBorders>
            <w:noWrap/>
            <w:vAlign w:val="center"/>
          </w:tcPr>
          <w:p w14:paraId="6AC468EC">
            <w:pPr>
              <w:keepNext w:val="0"/>
              <w:keepLines w:val="0"/>
              <w:widowControl/>
              <w:suppressLineNumbers w:val="0"/>
              <w:jc w:val="right"/>
              <w:textAlignment w:val="center"/>
              <w:rPr>
                <w:rFonts w:hint="default" w:ascii="Times New Roman" w:hAnsi="Times New Roman" w:eastAsia="宋体" w:cs="Times New Roman"/>
                <w:i w:val="0"/>
                <w:iCs w:val="0"/>
                <w:color w:val="0000FF"/>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66.3</w:t>
            </w:r>
          </w:p>
        </w:tc>
        <w:tc>
          <w:tcPr>
            <w:tcW w:w="1262" w:type="dxa"/>
            <w:tcBorders>
              <w:top w:val="single" w:color="000000" w:sz="4" w:space="0"/>
              <w:left w:val="single" w:color="000000" w:sz="4" w:space="0"/>
              <w:bottom w:val="single" w:color="auto" w:sz="12" w:space="0"/>
              <w:right w:val="nil"/>
            </w:tcBorders>
            <w:noWrap/>
            <w:vAlign w:val="center"/>
          </w:tcPr>
          <w:p w14:paraId="509FE7D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0.1</w:t>
            </w:r>
          </w:p>
        </w:tc>
      </w:tr>
    </w:tbl>
    <w:p w14:paraId="742B030D">
      <w:pPr>
        <w:keepNext w:val="0"/>
        <w:keepLines w:val="0"/>
        <w:pageBreakBefore w:val="0"/>
        <w:widowControl w:val="0"/>
        <w:numPr>
          <w:ilvl w:val="0"/>
          <w:numId w:val="3"/>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left="0" w:leftChars="0" w:firstLine="640" w:firstLineChars="200"/>
        <w:textAlignment w:val="top"/>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t>建筑业下行压力凸显</w:t>
      </w:r>
    </w:p>
    <w:p w14:paraId="1F2C5B82">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25家资质以上建筑业企业总产值3.75亿元，下降12.0%。</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从构成看，</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建筑工程产值3.70亿元，下降11.1%，占建筑业总产值98.6%；安装工程产值0.05亿元（国能伟业、东新新能源），下降27.7%，占1.4%。方正建筑较同期减少4个工程，产值下降91.1%，下拉建筑业总产值10.5个百分点；银都建设承接将二矿煤矿土方剥离量减少，产值下降13.8%，下拉建筑业总产值2.7个百分点。</w:t>
      </w:r>
      <w:r>
        <w:rPr>
          <w:rFonts w:hint="eastAsia" w:ascii="Times New Roman" w:hAnsi="Times New Roman" w:eastAsia="仿宋_GB2312" w:cs="Times New Roman"/>
          <w:b w:val="0"/>
          <w:bCs w:val="0"/>
          <w:color w:val="auto"/>
          <w:kern w:val="2"/>
          <w:sz w:val="32"/>
          <w:szCs w:val="32"/>
          <w:highlight w:val="none"/>
          <w:lang w:val="en-US" w:eastAsia="zh-CN" w:bidi="ar-SA"/>
        </w:rPr>
        <w:t>38家外省建筑企业产值2.90亿元，下降77.8%，较去年减少10家。综合考虑，</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建筑业增加值下降3.4%，下拉二产1.0个百分点，下拉地区生产总值0.3个百分点。</w:t>
      </w:r>
    </w:p>
    <w:p w14:paraId="31A830E9">
      <w:pPr>
        <w:keepNext w:val="0"/>
        <w:keepLines w:val="0"/>
        <w:pageBreakBefore w:val="0"/>
        <w:widowControl w:val="0"/>
        <w:numPr>
          <w:ilvl w:val="0"/>
          <w:numId w:val="3"/>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left="0" w:leftChars="0" w:firstLine="640" w:firstLineChars="200"/>
        <w:textAlignment w:val="top"/>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固定资产投资首争第一</w:t>
      </w:r>
    </w:p>
    <w:p w14:paraId="7BD56B2E">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上半年，占总投资9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%的新特硅基示范园</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古尔班通大基地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引调水工程、腾源石油、将军庙750、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将淖铁路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、S228、东三线引水等13个重点项目持续发力，95个固定资产投资项目（含房地产投资）增长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28.1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%，位居县市园区第1位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，较1-5月前进1个位次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。其中，项目投资增长2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.6%，房地产投资下降54.8%。</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从构成看，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建筑安装工程增长2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%；设备工器具购置增长26.9%；其他费用</w:t>
      </w:r>
      <w:bookmarkStart w:id="0" w:name="_GoBack"/>
      <w:bookmarkEnd w:id="0"/>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增长2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7BD64EA3">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（五）消费市场逆风向上</w:t>
      </w:r>
    </w:p>
    <w:p w14:paraId="26F0AACE">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default" w:ascii="Times New Roman" w:hAnsi="Times New Roman" w:cs="Times New Roman"/>
          <w:color w:val="auto"/>
          <w:sz w:val="32"/>
          <w:szCs w:val="32"/>
          <w:lang w:val="en-US" w:eastAsia="zh-CN"/>
        </w:rPr>
      </w:pPr>
      <w:r>
        <w:rPr>
          <w:rFonts w:hint="eastAsia" w:ascii="Times New Roman" w:hAnsi="Times New Roman" w:eastAsia="仿宋_GB2312" w:cs="Times New Roman"/>
          <w:b w:val="0"/>
          <w:bCs w:val="0"/>
          <w:color w:val="auto"/>
          <w:kern w:val="2"/>
          <w:sz w:val="32"/>
          <w:szCs w:val="32"/>
          <w:highlight w:val="none"/>
          <w:lang w:val="en-US" w:eastAsia="zh-CN" w:bidi="ar-SA"/>
        </w:rPr>
        <w:t>上半年，</w:t>
      </w:r>
      <w:r>
        <w:rPr>
          <w:rFonts w:hint="default" w:ascii="Times New Roman" w:hAnsi="Times New Roman" w:eastAsia="仿宋_GB2312" w:cs="Times New Roman"/>
          <w:b w:val="0"/>
          <w:bCs w:val="0"/>
          <w:color w:val="auto"/>
          <w:kern w:val="2"/>
          <w:sz w:val="32"/>
          <w:szCs w:val="32"/>
          <w:highlight w:val="none"/>
          <w:lang w:val="en-US" w:eastAsia="zh-CN" w:bidi="ar-SA"/>
        </w:rPr>
        <w:t>社会消费品零售总额9.</w:t>
      </w:r>
      <w:r>
        <w:rPr>
          <w:rFonts w:hint="eastAsia" w:ascii="Times New Roman" w:hAnsi="Times New Roman" w:eastAsia="仿宋_GB2312" w:cs="Times New Roman"/>
          <w:b w:val="0"/>
          <w:bCs w:val="0"/>
          <w:color w:val="auto"/>
          <w:kern w:val="2"/>
          <w:sz w:val="32"/>
          <w:szCs w:val="32"/>
          <w:highlight w:val="none"/>
          <w:lang w:val="en-US" w:eastAsia="zh-CN" w:bidi="ar-SA"/>
        </w:rPr>
        <w:t>57</w:t>
      </w:r>
      <w:r>
        <w:rPr>
          <w:rFonts w:hint="default" w:ascii="Times New Roman" w:hAnsi="Times New Roman" w:eastAsia="仿宋_GB2312" w:cs="Times New Roman"/>
          <w:b w:val="0"/>
          <w:bCs w:val="0"/>
          <w:color w:val="auto"/>
          <w:kern w:val="2"/>
          <w:sz w:val="32"/>
          <w:szCs w:val="32"/>
          <w:highlight w:val="none"/>
          <w:lang w:val="en-US" w:eastAsia="zh-CN" w:bidi="ar-SA"/>
        </w:rPr>
        <w:t>亿元，增长</w:t>
      </w:r>
      <w:r>
        <w:rPr>
          <w:rFonts w:hint="eastAsia" w:ascii="Times New Roman" w:hAnsi="Times New Roman" w:eastAsia="仿宋_GB2312" w:cs="Times New Roman"/>
          <w:b w:val="0"/>
          <w:bCs w:val="0"/>
          <w:color w:val="auto"/>
          <w:kern w:val="2"/>
          <w:sz w:val="32"/>
          <w:szCs w:val="32"/>
          <w:highlight w:val="none"/>
          <w:lang w:val="en-US" w:eastAsia="zh-CN" w:bidi="ar-SA"/>
        </w:rPr>
        <w:t>2.4</w:t>
      </w:r>
      <w:r>
        <w:rPr>
          <w:rFonts w:hint="default" w:ascii="Times New Roman" w:hAnsi="Times New Roman" w:eastAsia="仿宋_GB2312" w:cs="Times New Roman"/>
          <w:b w:val="0"/>
          <w:bCs w:val="0"/>
          <w:color w:val="auto"/>
          <w:kern w:val="2"/>
          <w:sz w:val="32"/>
          <w:szCs w:val="32"/>
          <w:highlight w:val="none"/>
          <w:lang w:val="en-US" w:eastAsia="zh-CN" w:bidi="ar-SA"/>
        </w:rPr>
        <w:t>%，高于全州（</w:t>
      </w:r>
      <w:r>
        <w:rPr>
          <w:rFonts w:hint="eastAsia" w:ascii="Times New Roman" w:hAnsi="Times New Roman" w:eastAsia="仿宋_GB2312" w:cs="Times New Roman"/>
          <w:b w:val="0"/>
          <w:bCs w:val="0"/>
          <w:color w:val="auto"/>
          <w:kern w:val="2"/>
          <w:sz w:val="32"/>
          <w:szCs w:val="32"/>
          <w:highlight w:val="none"/>
          <w:lang w:val="en-US" w:eastAsia="zh-CN" w:bidi="ar-SA"/>
        </w:rPr>
        <w:t>2.1</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0.3</w:t>
      </w:r>
      <w:r>
        <w:rPr>
          <w:rFonts w:hint="default" w:ascii="Times New Roman" w:hAnsi="Times New Roman" w:eastAsia="仿宋_GB2312" w:cs="Times New Roman"/>
          <w:b w:val="0"/>
          <w:bCs w:val="0"/>
          <w:color w:val="auto"/>
          <w:kern w:val="2"/>
          <w:sz w:val="32"/>
          <w:szCs w:val="32"/>
          <w:highlight w:val="none"/>
          <w:lang w:val="en-US" w:eastAsia="zh-CN" w:bidi="ar-SA"/>
        </w:rPr>
        <w:t>个百分点，位居</w:t>
      </w:r>
      <w:r>
        <w:rPr>
          <w:rFonts w:hint="eastAsia" w:ascii="Times New Roman" w:hAnsi="Times New Roman" w:eastAsia="仿宋_GB2312" w:cs="Times New Roman"/>
          <w:b w:val="0"/>
          <w:bCs w:val="0"/>
          <w:color w:val="auto"/>
          <w:kern w:val="2"/>
          <w:sz w:val="32"/>
          <w:szCs w:val="32"/>
          <w:highlight w:val="none"/>
          <w:lang w:val="en-US" w:eastAsia="zh-CN" w:bidi="ar-SA"/>
        </w:rPr>
        <w:t>七</w:t>
      </w:r>
      <w:r>
        <w:rPr>
          <w:rFonts w:hint="default" w:ascii="Times New Roman" w:hAnsi="Times New Roman" w:eastAsia="仿宋_GB2312" w:cs="Times New Roman"/>
          <w:b w:val="0"/>
          <w:bCs w:val="0"/>
          <w:color w:val="auto"/>
          <w:kern w:val="2"/>
          <w:sz w:val="32"/>
          <w:szCs w:val="32"/>
          <w:highlight w:val="none"/>
          <w:lang w:val="en-US" w:eastAsia="zh-CN" w:bidi="ar-SA"/>
        </w:rPr>
        <w:t>县市第</w:t>
      </w:r>
      <w:r>
        <w:rPr>
          <w:rFonts w:hint="eastAsia" w:ascii="Times New Roman" w:hAnsi="Times New Roman" w:eastAsia="仿宋_GB2312" w:cs="Times New Roman"/>
          <w:b w:val="0"/>
          <w:bCs w:val="0"/>
          <w:color w:val="auto"/>
          <w:kern w:val="2"/>
          <w:sz w:val="32"/>
          <w:szCs w:val="32"/>
          <w:highlight w:val="none"/>
          <w:lang w:val="en-US" w:eastAsia="zh-CN" w:bidi="ar-SA"/>
        </w:rPr>
        <w:t>3</w:t>
      </w:r>
      <w:r>
        <w:rPr>
          <w:rFonts w:hint="default" w:ascii="Times New Roman" w:hAnsi="Times New Roman" w:eastAsia="仿宋_GB2312" w:cs="Times New Roman"/>
          <w:b w:val="0"/>
          <w:bCs w:val="0"/>
          <w:color w:val="auto"/>
          <w:kern w:val="2"/>
          <w:sz w:val="32"/>
          <w:szCs w:val="32"/>
          <w:highlight w:val="none"/>
          <w:lang w:val="en-US" w:eastAsia="zh-CN" w:bidi="ar-SA"/>
        </w:rPr>
        <w:t>位</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仅次于昌吉市3.8%、吉木萨尔县3.1%</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。限上</w:t>
      </w:r>
      <w:r>
        <w:rPr>
          <w:rFonts w:hint="eastAsia" w:ascii="Times New Roman" w:hAnsi="Times New Roman" w:eastAsia="仿宋_GB2312" w:cs="Times New Roman"/>
          <w:b w:val="0"/>
          <w:bCs w:val="0"/>
          <w:color w:val="auto"/>
          <w:kern w:val="2"/>
          <w:sz w:val="32"/>
          <w:szCs w:val="32"/>
          <w:highlight w:val="none"/>
          <w:lang w:val="en-US" w:eastAsia="zh-CN" w:bidi="ar-SA"/>
        </w:rPr>
        <w:t>社会</w:t>
      </w:r>
      <w:r>
        <w:rPr>
          <w:rFonts w:hint="default" w:ascii="Times New Roman" w:hAnsi="Times New Roman" w:eastAsia="仿宋_GB2312" w:cs="Times New Roman"/>
          <w:b w:val="0"/>
          <w:bCs w:val="0"/>
          <w:color w:val="auto"/>
          <w:kern w:val="2"/>
          <w:sz w:val="32"/>
          <w:szCs w:val="32"/>
          <w:highlight w:val="none"/>
          <w:lang w:val="en-US" w:eastAsia="zh-CN" w:bidi="ar-SA"/>
        </w:rPr>
        <w:t>品零售额3.</w:t>
      </w:r>
      <w:r>
        <w:rPr>
          <w:rFonts w:hint="eastAsia" w:ascii="Times New Roman" w:hAnsi="Times New Roman" w:eastAsia="仿宋_GB2312" w:cs="Times New Roman"/>
          <w:b w:val="0"/>
          <w:bCs w:val="0"/>
          <w:color w:val="auto"/>
          <w:kern w:val="2"/>
          <w:sz w:val="32"/>
          <w:szCs w:val="32"/>
          <w:highlight w:val="none"/>
          <w:lang w:val="en-US" w:eastAsia="zh-CN" w:bidi="ar-SA"/>
        </w:rPr>
        <w:t>54</w:t>
      </w:r>
      <w:r>
        <w:rPr>
          <w:rFonts w:hint="default" w:ascii="Times New Roman" w:hAnsi="Times New Roman" w:eastAsia="仿宋_GB2312" w:cs="Times New Roman"/>
          <w:b w:val="0"/>
          <w:bCs w:val="0"/>
          <w:color w:val="auto"/>
          <w:kern w:val="2"/>
          <w:sz w:val="32"/>
          <w:szCs w:val="32"/>
          <w:highlight w:val="none"/>
          <w:lang w:val="en-US" w:eastAsia="zh-CN" w:bidi="ar-SA"/>
        </w:rPr>
        <w:t>亿元，</w:t>
      </w:r>
      <w:r>
        <w:rPr>
          <w:rFonts w:hint="eastAsia" w:ascii="Times New Roman" w:hAnsi="Times New Roman" w:eastAsia="仿宋_GB2312" w:cs="Times New Roman"/>
          <w:b w:val="0"/>
          <w:bCs w:val="0"/>
          <w:color w:val="auto"/>
          <w:kern w:val="2"/>
          <w:sz w:val="32"/>
          <w:szCs w:val="32"/>
          <w:highlight w:val="none"/>
          <w:lang w:val="en-US" w:eastAsia="zh-CN" w:bidi="ar-SA"/>
        </w:rPr>
        <w:t>增速由1-5月的-3.6%转为</w:t>
      </w:r>
      <w:r>
        <w:rPr>
          <w:rFonts w:hint="default" w:ascii="Times New Roman" w:hAnsi="Times New Roman" w:eastAsia="仿宋_GB2312" w:cs="Times New Roman"/>
          <w:b w:val="0"/>
          <w:bCs w:val="0"/>
          <w:color w:val="auto"/>
          <w:kern w:val="2"/>
          <w:sz w:val="32"/>
          <w:szCs w:val="32"/>
          <w:highlight w:val="none"/>
          <w:lang w:val="en-US" w:eastAsia="zh-CN" w:bidi="ar-SA"/>
        </w:rPr>
        <w:t>增长</w:t>
      </w:r>
      <w:r>
        <w:rPr>
          <w:rFonts w:hint="eastAsia" w:ascii="Times New Roman" w:hAnsi="Times New Roman" w:eastAsia="仿宋_GB2312" w:cs="Times New Roman"/>
          <w:b w:val="0"/>
          <w:bCs w:val="0"/>
          <w:color w:val="auto"/>
          <w:kern w:val="2"/>
          <w:sz w:val="32"/>
          <w:szCs w:val="32"/>
          <w:highlight w:val="none"/>
          <w:lang w:val="en-US" w:eastAsia="zh-CN" w:bidi="ar-SA"/>
        </w:rPr>
        <w:t>5.5</w:t>
      </w:r>
      <w:r>
        <w:rPr>
          <w:rFonts w:hint="default" w:ascii="Times New Roman" w:hAnsi="Times New Roman" w:eastAsia="仿宋_GB2312" w:cs="Times New Roman"/>
          <w:b w:val="0"/>
          <w:bCs w:val="0"/>
          <w:color w:val="auto"/>
          <w:kern w:val="2"/>
          <w:sz w:val="32"/>
          <w:szCs w:val="32"/>
          <w:highlight w:val="none"/>
          <w:lang w:val="en-US" w:eastAsia="zh-CN" w:bidi="ar-SA"/>
        </w:rPr>
        <w:t>%（44家限上单位社零额2.06亿元，增长21.3%；中石油和新华书店1.48亿元，下降10.6%）</w:t>
      </w:r>
      <w:r>
        <w:rPr>
          <w:rFonts w:hint="eastAsia" w:ascii="Times New Roman" w:hAnsi="Times New Roman" w:eastAsia="仿宋_GB2312" w:cs="Times New Roman"/>
          <w:b w:val="0"/>
          <w:bCs w:val="0"/>
          <w:color w:val="auto"/>
          <w:kern w:val="2"/>
          <w:sz w:val="32"/>
          <w:szCs w:val="32"/>
          <w:highlight w:val="none"/>
          <w:lang w:val="en-US" w:eastAsia="zh-CN" w:bidi="ar-SA"/>
        </w:rPr>
        <w:t>，由负转正</w:t>
      </w:r>
      <w:r>
        <w:rPr>
          <w:rFonts w:hint="default" w:ascii="Times New Roman" w:hAnsi="Times New Roman" w:eastAsia="仿宋_GB2312" w:cs="Times New Roman"/>
          <w:b w:val="0"/>
          <w:bCs w:val="0"/>
          <w:color w:val="auto"/>
          <w:kern w:val="2"/>
          <w:sz w:val="32"/>
          <w:szCs w:val="32"/>
          <w:highlight w:val="none"/>
          <w:lang w:val="en-US" w:eastAsia="zh-CN" w:bidi="ar-SA"/>
        </w:rPr>
        <w:t>。实现外贸进出口总额</w:t>
      </w:r>
      <w:r>
        <w:rPr>
          <w:rFonts w:hint="eastAsia" w:ascii="Times New Roman" w:hAnsi="Times New Roman" w:eastAsia="仿宋_GB2312" w:cs="Times New Roman"/>
          <w:b w:val="0"/>
          <w:bCs w:val="0"/>
          <w:color w:val="auto"/>
          <w:kern w:val="2"/>
          <w:sz w:val="32"/>
          <w:szCs w:val="32"/>
          <w:highlight w:val="none"/>
          <w:lang w:val="en-US" w:eastAsia="zh-CN" w:bidi="ar-SA"/>
        </w:rPr>
        <w:t>2092.2</w:t>
      </w:r>
      <w:r>
        <w:rPr>
          <w:rFonts w:hint="default" w:ascii="Times New Roman" w:hAnsi="Times New Roman" w:eastAsia="仿宋_GB2312" w:cs="Times New Roman"/>
          <w:b w:val="0"/>
          <w:bCs w:val="0"/>
          <w:color w:val="auto"/>
          <w:kern w:val="2"/>
          <w:sz w:val="32"/>
          <w:szCs w:val="32"/>
          <w:highlight w:val="none"/>
          <w:lang w:val="en-US" w:eastAsia="zh-CN" w:bidi="ar-SA"/>
        </w:rPr>
        <w:t>万元，下降</w:t>
      </w:r>
      <w:r>
        <w:rPr>
          <w:rFonts w:hint="eastAsia" w:ascii="Times New Roman" w:hAnsi="Times New Roman" w:eastAsia="仿宋_GB2312" w:cs="Times New Roman"/>
          <w:b w:val="0"/>
          <w:bCs w:val="0"/>
          <w:color w:val="auto"/>
          <w:kern w:val="2"/>
          <w:sz w:val="32"/>
          <w:szCs w:val="32"/>
          <w:highlight w:val="none"/>
          <w:lang w:val="en-US" w:eastAsia="zh-CN" w:bidi="ar-SA"/>
        </w:rPr>
        <w:t>66</w:t>
      </w:r>
      <w:r>
        <w:rPr>
          <w:rFonts w:hint="default" w:ascii="Times New Roman" w:hAnsi="Times New Roman" w:eastAsia="仿宋_GB2312" w:cs="Times New Roman"/>
          <w:b w:val="0"/>
          <w:bCs w:val="0"/>
          <w:color w:val="auto"/>
          <w:kern w:val="2"/>
          <w:sz w:val="32"/>
          <w:szCs w:val="32"/>
          <w:highlight w:val="none"/>
          <w:lang w:val="en-US" w:eastAsia="zh-CN" w:bidi="ar-SA"/>
        </w:rPr>
        <w:t>.2%。</w:t>
      </w:r>
    </w:p>
    <w:p w14:paraId="6D62A057">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3" w:firstLineChars="200"/>
        <w:textAlignment w:val="top"/>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从零售额看，一是</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金奇丝路化债业务有序推进，江布拉克新增2家网店</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奇鼎金丰本年新增福利院配送订单，带动</w:t>
      </w:r>
      <w:r>
        <w:rPr>
          <w:rFonts w:hint="eastAsia"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粮</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油、食品类</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占限上</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21.9</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下同）</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商品零售额增长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52</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.0%，上拉限上零售额</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8.7</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个百分点</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二是</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空调销售进入旺季，</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联海商贸</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在国补加持下零售额增长34.7%；美美商贸低基数，</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家用电器和音像器材类</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（4.5%）</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商品零售额增长56.6%，上拉限上零售额</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1.8</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个百分点；</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三是</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新入库企业聚百翔填补</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通讯器材类</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（2.5%）</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空白</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，商品零售额增长141.1%，</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上拉限上零售额</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1</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.6个百分点</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四是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6月18日国企化债发放消费券35.5万元，新增车辆销售110辆，带动消费1380万元，川行亚迪、智诚长信、新恒跃零售额分别增长570.2%、89.1%、9.8%，长跨汽车主销小型货车，下拉汽车类2.0个百分点，</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汽车类</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（12.9%）</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商品零售额增长0.9%。</w:t>
      </w:r>
    </w:p>
    <w:p w14:paraId="5A37BE75">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3" w:firstLineChars="200"/>
        <w:textAlignment w:val="top"/>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从餐饮业看，</w:t>
      </w:r>
      <w:r>
        <w:rPr>
          <w:rFonts w:hint="eastAsia" w:ascii="Times New Roman" w:hAnsi="Times New Roman" w:eastAsia="仿宋_GB2312" w:cs="仿宋_GB2312"/>
          <w:b w:val="0"/>
          <w:bCs w:val="0"/>
          <w:color w:val="auto"/>
          <w:kern w:val="2"/>
          <w:sz w:val="32"/>
          <w:szCs w:val="32"/>
          <w:highlight w:val="none"/>
          <w:lang w:val="en-US" w:eastAsia="zh-CN" w:bidi="ar-SA"/>
        </w:rPr>
        <w:t>限上餐饮业营业额增长5.7%。6月持续高温，丰驿文化麦宝乐园客流量减少，加之今年承接培训班次减少，营业额下降31.3%；峰之味团购促销保运转，菜品定价下调，营业额下降23.7%；居民外出就餐提质控费，腰站子、馨园食府营业额分别下降19.0%、18.6%；新入库辉煌酒店净增长，馨园酒店新增自助火锅、外摆夜市，营业额增长119.4%。</w:t>
      </w:r>
    </w:p>
    <w:p w14:paraId="4E5D14E1">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（六）商品房销售降幅收窄</w:t>
      </w:r>
    </w:p>
    <w:p w14:paraId="0806E058">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上半年</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商品房销售面积3.13万平方米，下降17.4%，降幅较</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1-5月</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收窄9.</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个百分点。商品房销售额</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1.27</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亿元，</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下降15.0</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降幅</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较</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1-5月</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收窄8.8个百分点，其中住宅销售额1.</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27</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亿元，</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下降9.6</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%。北山华府、昊泰锦绣雅苑、阳光金水岸等优质改善</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型住房</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项目陆续入市，新房价格小幅上涨，住宅销售均价</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4051</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元/平方米，上涨</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66</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元/平方米</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二手房市场</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受</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刚需</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支撑，交易</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活跃度</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远超新房，</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成交面积增长20.3%，成交额增长25.7%</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二手房交易均价3302元/平方米，增长4.1%，</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住房均价较新房明显偏低，市场呈现“以价换量”特征。</w:t>
      </w:r>
    </w:p>
    <w:p w14:paraId="00E2FDF2">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0" w:firstLineChars="200"/>
        <w:textAlignment w:val="top"/>
        <w:rPr>
          <w:rFonts w:hint="eastAsia" w:ascii="楷体_GB2312" w:hAnsi="楷体_GB2312" w:eastAsia="楷体_GB2312" w:cs="楷体_GB2312"/>
          <w:b w:val="0"/>
          <w:bCs w:val="0"/>
          <w:color w:val="0000FF"/>
          <w:sz w:val="32"/>
          <w:szCs w:val="32"/>
          <w:lang w:val="en-US" w:eastAsia="zh-CN"/>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（七）规上服务业稳步发展</w:t>
      </w:r>
    </w:p>
    <w:p w14:paraId="1B64D999">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0" w:firstLineChars="200"/>
        <w:textAlignment w:val="top"/>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1-5月（错月），19家规上服务业企业营业收入6.36亿元，增长56.6%，其中，</w:t>
      </w:r>
      <w:r>
        <w:rPr>
          <w:rFonts w:hint="eastAsia" w:ascii="Times New Roman" w:hAnsi="Times New Roman" w:eastAsia="仿宋_GB2312" w:cs="仿宋_GB2312"/>
          <w:b w:val="0"/>
          <w:bCs w:val="0"/>
          <w:color w:val="auto"/>
          <w:kern w:val="2"/>
          <w:sz w:val="32"/>
          <w:szCs w:val="32"/>
          <w:highlight w:val="none"/>
          <w:lang w:val="en-US" w:eastAsia="zh-CN" w:bidi="ar-SA"/>
        </w:rPr>
        <w:t>天汇物流、汇通煤炭新签订单，中央储备粮奇台直属库有临储粮竞价销售收入，11家</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交通运输、仓储和邮政业</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“7增4降”，</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营业收入5.05亿元，增长141.3%，交通运输、仓储和邮政业增加值</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6.42</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增长22.3</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；受《社会保险法》规定影响，劳务派遣订单减少，7家</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租赁和商务服务业</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（主营劳务分包和派遣）“2增5降”，</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营业收入1.18亿元，下降38.7%</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营利性服务业增加值</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2.87</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下降17.7</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p>
    <w:p w14:paraId="471B22BF">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0" w:firstLineChars="200"/>
        <w:textAlignment w:val="top"/>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（八）非营利性服务业小幅下降</w:t>
      </w:r>
    </w:p>
    <w:p w14:paraId="1DDB373E">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0" w:firstLineChars="200"/>
        <w:textAlignment w:val="top"/>
        <w:rPr>
          <w:rFonts w:hint="default"/>
          <w:lang w:val="en-US" w:eastAsia="zh-CN"/>
        </w:rPr>
      </w:pP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上半年，县级财政全力保障各级单位从业人员工资应发尽发，111家非营利性服务业单位从业人员工资总额下降1.3%。其中</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水利、环境和公共设施管理业工资总额下降4.4%，教育下降4.3%，卫生和社会工作下降2.3%，公共管理、社会保障和社会组织增长1.2%。非营利性服务业增加值</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21.83</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亿元，占地区生产总值27.</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4</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0.2</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p>
    <w:p w14:paraId="537F611B">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0" w:firstLineChars="200"/>
        <w:textAlignment w:val="top"/>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（九）地方财政增收有力</w:t>
      </w:r>
    </w:p>
    <w:p w14:paraId="48CC2A60">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0" w:firstLineChars="200"/>
        <w:textAlignment w:val="top"/>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地方财政收入10.86亿元，增长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3.5</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%，其中，一般公共预算收入</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10.41</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12.0</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%，基金收入</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0.45</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下降66.7</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%。税收收入</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7.65</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157.3</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%，非税收收入</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2.76</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下降55.3</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%。地方财政支出33.06亿元，增长53.3%，</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其中，</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一般公共预算支出</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25.60</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5.</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0</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%，基金支出7.46亿元，增长591.8%。民生类支出达</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20.55</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亿元，占一般公共预算支出8</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0</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.3%</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p>
    <w:p w14:paraId="2DB0081A">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0" w:firstLineChars="200"/>
        <w:textAlignment w:val="top"/>
        <w:rPr>
          <w:rFonts w:hint="default"/>
          <w:lang w:val="en-US" w:eastAsia="zh-CN"/>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（十）高质量发展要素不断强化</w:t>
      </w:r>
    </w:p>
    <w:p w14:paraId="66B288E5">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3" w:firstLineChars="200"/>
        <w:textAlignment w:val="top"/>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市场规模持续扩大。</w:t>
      </w:r>
      <w:r>
        <w:rPr>
          <w:rFonts w:hint="default" w:ascii="Times New Roman" w:hAnsi="Times New Roman" w:eastAsia="仿宋_GB2312" w:cs="Times New Roman"/>
          <w:b w:val="0"/>
          <w:bCs w:val="0"/>
          <w:color w:val="auto"/>
          <w:kern w:val="2"/>
          <w:sz w:val="32"/>
          <w:szCs w:val="32"/>
          <w:highlight w:val="none"/>
          <w:lang w:val="en-US" w:eastAsia="zh-CN" w:bidi="ar-SA"/>
        </w:rPr>
        <w:t>截至6月底，现存企业</w:t>
      </w:r>
      <w:r>
        <w:rPr>
          <w:rFonts w:hint="eastAsia" w:ascii="Times New Roman" w:hAnsi="Times New Roman" w:eastAsia="仿宋_GB2312" w:cs="Times New Roman"/>
          <w:b w:val="0"/>
          <w:bCs w:val="0"/>
          <w:color w:val="auto"/>
          <w:kern w:val="2"/>
          <w:sz w:val="32"/>
          <w:szCs w:val="32"/>
          <w:highlight w:val="none"/>
          <w:lang w:val="en-US" w:eastAsia="zh-CN" w:bidi="ar-SA"/>
        </w:rPr>
        <w:t>3790</w:t>
      </w:r>
      <w:r>
        <w:rPr>
          <w:rFonts w:hint="default" w:ascii="Times New Roman" w:hAnsi="Times New Roman" w:eastAsia="仿宋_GB2312" w:cs="Times New Roman"/>
          <w:b w:val="0"/>
          <w:bCs w:val="0"/>
          <w:color w:val="auto"/>
          <w:kern w:val="2"/>
          <w:sz w:val="32"/>
          <w:szCs w:val="32"/>
          <w:highlight w:val="none"/>
          <w:lang w:val="en-US" w:eastAsia="zh-CN" w:bidi="ar-SA"/>
        </w:rPr>
        <w:t>户，增长</w:t>
      </w:r>
      <w:r>
        <w:rPr>
          <w:rFonts w:hint="eastAsia" w:ascii="Times New Roman" w:hAnsi="Times New Roman" w:eastAsia="仿宋_GB2312" w:cs="Times New Roman"/>
          <w:b w:val="0"/>
          <w:bCs w:val="0"/>
          <w:color w:val="auto"/>
          <w:kern w:val="2"/>
          <w:sz w:val="32"/>
          <w:szCs w:val="32"/>
          <w:highlight w:val="none"/>
          <w:lang w:val="en-US" w:eastAsia="zh-CN" w:bidi="ar-SA"/>
        </w:rPr>
        <w:t>5.6</w:t>
      </w:r>
      <w:r>
        <w:rPr>
          <w:rFonts w:hint="default" w:ascii="Times New Roman" w:hAnsi="Times New Roman" w:eastAsia="仿宋_GB2312" w:cs="Times New Roman"/>
          <w:b w:val="0"/>
          <w:bCs w:val="0"/>
          <w:color w:val="auto"/>
          <w:kern w:val="2"/>
          <w:sz w:val="32"/>
          <w:szCs w:val="32"/>
          <w:highlight w:val="none"/>
          <w:lang w:val="en-US" w:eastAsia="zh-CN" w:bidi="ar-SA"/>
        </w:rPr>
        <w:t>%，农民专业合作社</w:t>
      </w:r>
      <w:r>
        <w:rPr>
          <w:rFonts w:hint="eastAsia" w:ascii="Times New Roman" w:hAnsi="Times New Roman" w:eastAsia="仿宋_GB2312" w:cs="Times New Roman"/>
          <w:b w:val="0"/>
          <w:bCs w:val="0"/>
          <w:color w:val="auto"/>
          <w:kern w:val="2"/>
          <w:sz w:val="32"/>
          <w:szCs w:val="32"/>
          <w:highlight w:val="none"/>
          <w:lang w:val="en-US" w:eastAsia="zh-CN" w:bidi="ar-SA"/>
        </w:rPr>
        <w:t>512</w:t>
      </w:r>
      <w:r>
        <w:rPr>
          <w:rFonts w:hint="default" w:ascii="Times New Roman" w:hAnsi="Times New Roman" w:eastAsia="仿宋_GB2312" w:cs="Times New Roman"/>
          <w:b w:val="0"/>
          <w:bCs w:val="0"/>
          <w:color w:val="auto"/>
          <w:kern w:val="2"/>
          <w:sz w:val="32"/>
          <w:szCs w:val="32"/>
          <w:highlight w:val="none"/>
          <w:lang w:val="en-US" w:eastAsia="zh-CN" w:bidi="ar-SA"/>
        </w:rPr>
        <w:t>户，增长</w:t>
      </w:r>
      <w:r>
        <w:rPr>
          <w:rFonts w:hint="eastAsia" w:ascii="Times New Roman" w:hAnsi="Times New Roman" w:eastAsia="仿宋_GB2312" w:cs="Times New Roman"/>
          <w:b w:val="0"/>
          <w:bCs w:val="0"/>
          <w:color w:val="auto"/>
          <w:kern w:val="2"/>
          <w:sz w:val="32"/>
          <w:szCs w:val="32"/>
          <w:highlight w:val="none"/>
          <w:lang w:val="en-US" w:eastAsia="zh-CN" w:bidi="ar-SA"/>
        </w:rPr>
        <w:t>4.3</w:t>
      </w:r>
      <w:r>
        <w:rPr>
          <w:rFonts w:hint="default" w:ascii="Times New Roman" w:hAnsi="Times New Roman" w:eastAsia="仿宋_GB2312" w:cs="Times New Roman"/>
          <w:b w:val="0"/>
          <w:bCs w:val="0"/>
          <w:color w:val="auto"/>
          <w:kern w:val="2"/>
          <w:sz w:val="32"/>
          <w:szCs w:val="32"/>
          <w:highlight w:val="none"/>
          <w:lang w:val="en-US" w:eastAsia="zh-CN" w:bidi="ar-SA"/>
        </w:rPr>
        <w:t>%，个体</w:t>
      </w:r>
      <w:r>
        <w:rPr>
          <w:rFonts w:hint="eastAsia" w:ascii="Times New Roman" w:hAnsi="Times New Roman" w:eastAsia="仿宋_GB2312" w:cs="Times New Roman"/>
          <w:b w:val="0"/>
          <w:bCs w:val="0"/>
          <w:color w:val="auto"/>
          <w:kern w:val="2"/>
          <w:sz w:val="32"/>
          <w:szCs w:val="32"/>
          <w:highlight w:val="none"/>
          <w:lang w:val="en-US" w:eastAsia="zh-CN" w:bidi="ar-SA"/>
        </w:rPr>
        <w:t>17218</w:t>
      </w:r>
      <w:r>
        <w:rPr>
          <w:rFonts w:hint="default" w:ascii="Times New Roman" w:hAnsi="Times New Roman" w:eastAsia="仿宋_GB2312" w:cs="Times New Roman"/>
          <w:b w:val="0"/>
          <w:bCs w:val="0"/>
          <w:color w:val="auto"/>
          <w:kern w:val="2"/>
          <w:sz w:val="32"/>
          <w:szCs w:val="32"/>
          <w:highlight w:val="none"/>
          <w:lang w:val="en-US" w:eastAsia="zh-CN" w:bidi="ar-SA"/>
        </w:rPr>
        <w:t>户，增长</w:t>
      </w:r>
      <w:r>
        <w:rPr>
          <w:rFonts w:hint="eastAsia" w:ascii="Times New Roman" w:hAnsi="Times New Roman" w:eastAsia="仿宋_GB2312" w:cs="Times New Roman"/>
          <w:b w:val="0"/>
          <w:bCs w:val="0"/>
          <w:color w:val="auto"/>
          <w:kern w:val="2"/>
          <w:sz w:val="32"/>
          <w:szCs w:val="32"/>
          <w:highlight w:val="none"/>
          <w:lang w:val="en-US" w:eastAsia="zh-CN" w:bidi="ar-SA"/>
        </w:rPr>
        <w:t>3.0</w:t>
      </w:r>
      <w:r>
        <w:rPr>
          <w:rFonts w:hint="default" w:ascii="Times New Roman" w:hAnsi="Times New Roman" w:eastAsia="仿宋_GB2312" w:cs="Times New Roman"/>
          <w:b w:val="0"/>
          <w:bCs w:val="0"/>
          <w:color w:val="auto"/>
          <w:kern w:val="2"/>
          <w:sz w:val="32"/>
          <w:szCs w:val="32"/>
          <w:highlight w:val="none"/>
          <w:lang w:val="en-US" w:eastAsia="zh-CN" w:bidi="ar-SA"/>
        </w:rPr>
        <w:t>%。新登记企业</w:t>
      </w:r>
      <w:r>
        <w:rPr>
          <w:rFonts w:hint="eastAsia" w:ascii="Times New Roman" w:hAnsi="Times New Roman" w:eastAsia="仿宋_GB2312" w:cs="Times New Roman"/>
          <w:b w:val="0"/>
          <w:bCs w:val="0"/>
          <w:color w:val="auto"/>
          <w:kern w:val="2"/>
          <w:sz w:val="32"/>
          <w:szCs w:val="32"/>
          <w:highlight w:val="none"/>
          <w:lang w:val="en-US" w:eastAsia="zh-CN" w:bidi="ar-SA"/>
        </w:rPr>
        <w:t>225</w:t>
      </w:r>
      <w:r>
        <w:rPr>
          <w:rFonts w:hint="default" w:ascii="Times New Roman" w:hAnsi="Times New Roman" w:eastAsia="仿宋_GB2312" w:cs="Times New Roman"/>
          <w:b w:val="0"/>
          <w:bCs w:val="0"/>
          <w:color w:val="auto"/>
          <w:kern w:val="2"/>
          <w:sz w:val="32"/>
          <w:szCs w:val="32"/>
          <w:highlight w:val="none"/>
          <w:lang w:val="en-US" w:eastAsia="zh-CN" w:bidi="ar-SA"/>
        </w:rPr>
        <w:t>户，新登记个体户</w:t>
      </w:r>
      <w:r>
        <w:rPr>
          <w:rFonts w:hint="eastAsia" w:ascii="Times New Roman" w:hAnsi="Times New Roman" w:eastAsia="仿宋_GB2312" w:cs="Times New Roman"/>
          <w:b w:val="0"/>
          <w:bCs w:val="0"/>
          <w:color w:val="auto"/>
          <w:kern w:val="2"/>
          <w:sz w:val="32"/>
          <w:szCs w:val="32"/>
          <w:highlight w:val="none"/>
          <w:lang w:val="en-US" w:eastAsia="zh-CN" w:bidi="ar-SA"/>
        </w:rPr>
        <w:t>963</w:t>
      </w:r>
      <w:r>
        <w:rPr>
          <w:rFonts w:hint="default" w:ascii="Times New Roman" w:hAnsi="Times New Roman" w:eastAsia="仿宋_GB2312" w:cs="Times New Roman"/>
          <w:b w:val="0"/>
          <w:bCs w:val="0"/>
          <w:color w:val="auto"/>
          <w:kern w:val="2"/>
          <w:sz w:val="32"/>
          <w:szCs w:val="32"/>
          <w:highlight w:val="none"/>
          <w:lang w:val="en-US" w:eastAsia="zh-CN" w:bidi="ar-SA"/>
        </w:rPr>
        <w:t>户。</w:t>
      </w:r>
    </w:p>
    <w:p w14:paraId="044DFFA9">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3" w:firstLineChars="200"/>
        <w:textAlignment w:val="top"/>
        <w:rPr>
          <w:rFonts w:hint="default" w:ascii="Times New Roman" w:hAnsi="Times New Roman" w:eastAsia="仿宋_GB2312" w:cs="Times New Roman"/>
          <w:b w:val="0"/>
          <w:bCs w:val="0"/>
          <w:color w:val="0000FF"/>
          <w:kern w:val="2"/>
          <w:sz w:val="32"/>
          <w:szCs w:val="32"/>
          <w:highlight w:val="none"/>
          <w:lang w:val="en-US" w:eastAsia="zh-CN" w:bidi="ar-SA"/>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贷款增速</w:t>
      </w:r>
      <w:r>
        <w:rPr>
          <w:rFonts w:hint="eastAsia"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同比</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提高。</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金融机构各项存款余额2</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38.98</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4.4</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%，各项贷款余额2</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72.50</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8.2</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余额存贷比114.0%。</w:t>
      </w:r>
    </w:p>
    <w:p w14:paraId="5401E754">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3" w:firstLineChars="200"/>
        <w:textAlignment w:val="top"/>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旅游市场持续升温。</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上半年，累计接待国内外游客</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498.31</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万人次，增长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4.7</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%，实现旅游消费</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34.71</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亿元，增长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5.4</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%。其中江布拉克景区接待游客</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31.60</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万人次，增长</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10.8</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%，实现营业收</w:t>
      </w:r>
      <w:r>
        <w:rPr>
          <w:rFonts w:hint="default" w:ascii="Times New Roman" w:hAnsi="Times New Roman" w:eastAsia="仿宋_GB2312" w:cs="Times New Roman"/>
          <w:b w:val="0"/>
          <w:bCs w:val="0"/>
          <w:color w:val="auto"/>
          <w:kern w:val="2"/>
          <w:sz w:val="32"/>
          <w:szCs w:val="32"/>
          <w:highlight w:val="none"/>
          <w:lang w:val="en-US" w:eastAsia="zh-CN" w:bidi="ar-SA"/>
        </w:rPr>
        <w:t>入</w:t>
      </w:r>
      <w:r>
        <w:rPr>
          <w:rFonts w:hint="eastAsia" w:ascii="Times New Roman" w:hAnsi="Times New Roman" w:eastAsia="仿宋_GB2312" w:cs="Times New Roman"/>
          <w:b w:val="0"/>
          <w:bCs w:val="0"/>
          <w:color w:val="auto"/>
          <w:kern w:val="2"/>
          <w:sz w:val="32"/>
          <w:szCs w:val="32"/>
          <w:highlight w:val="none"/>
          <w:lang w:val="en-US" w:eastAsia="zh-CN" w:bidi="ar-SA"/>
        </w:rPr>
        <w:t>0.25亿</w:t>
      </w:r>
      <w:r>
        <w:rPr>
          <w:rFonts w:hint="default" w:ascii="Times New Roman" w:hAnsi="Times New Roman" w:eastAsia="仿宋_GB2312" w:cs="Times New Roman"/>
          <w:b w:val="0"/>
          <w:bCs w:val="0"/>
          <w:color w:val="auto"/>
          <w:kern w:val="2"/>
          <w:sz w:val="32"/>
          <w:szCs w:val="32"/>
          <w:highlight w:val="none"/>
          <w:lang w:val="en-US" w:eastAsia="zh-CN" w:bidi="ar-SA"/>
        </w:rPr>
        <w:t>元，增长</w:t>
      </w:r>
      <w:r>
        <w:rPr>
          <w:rFonts w:hint="eastAsia" w:ascii="Times New Roman" w:hAnsi="Times New Roman" w:eastAsia="仿宋_GB2312" w:cs="Times New Roman"/>
          <w:b w:val="0"/>
          <w:bCs w:val="0"/>
          <w:color w:val="auto"/>
          <w:kern w:val="2"/>
          <w:sz w:val="32"/>
          <w:szCs w:val="32"/>
          <w:highlight w:val="none"/>
          <w:lang w:val="en-US" w:eastAsia="zh-CN" w:bidi="ar-SA"/>
        </w:rPr>
        <w:t>18.0</w:t>
      </w:r>
      <w:r>
        <w:rPr>
          <w:rFonts w:hint="default" w:ascii="Times New Roman" w:hAnsi="Times New Roman" w:eastAsia="仿宋_GB2312" w:cs="Times New Roman"/>
          <w:b w:val="0"/>
          <w:bCs w:val="0"/>
          <w:color w:val="auto"/>
          <w:kern w:val="2"/>
          <w:sz w:val="32"/>
          <w:szCs w:val="32"/>
          <w:highlight w:val="none"/>
          <w:lang w:val="en-US" w:eastAsia="zh-CN" w:bidi="ar-SA"/>
        </w:rPr>
        <w:t>%。</w:t>
      </w:r>
    </w:p>
    <w:p w14:paraId="46AA3DB5">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10" w:lineRule="exact"/>
        <w:ind w:firstLine="643" w:firstLineChars="200"/>
        <w:textAlignment w:val="top"/>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旅客吞吐量加速增长。</w:t>
      </w:r>
      <w:r>
        <w:rPr>
          <w:rFonts w:hint="default" w:ascii="Times New Roman" w:hAnsi="Times New Roman" w:eastAsia="仿宋_GB2312" w:cs="Times New Roman"/>
          <w:b w:val="0"/>
          <w:bCs w:val="0"/>
          <w:color w:val="auto"/>
          <w:kern w:val="2"/>
          <w:sz w:val="32"/>
          <w:szCs w:val="32"/>
          <w:highlight w:val="none"/>
          <w:lang w:val="en-US" w:eastAsia="zh-CN" w:bidi="ar-SA"/>
        </w:rPr>
        <w:t>江布拉克机场航班起降</w:t>
      </w:r>
      <w:r>
        <w:rPr>
          <w:rFonts w:hint="eastAsia" w:ascii="Times New Roman" w:hAnsi="Times New Roman" w:eastAsia="仿宋_GB2312" w:cs="Times New Roman"/>
          <w:b w:val="0"/>
          <w:bCs w:val="0"/>
          <w:color w:val="auto"/>
          <w:kern w:val="2"/>
          <w:sz w:val="32"/>
          <w:szCs w:val="32"/>
          <w:highlight w:val="none"/>
          <w:lang w:val="en-US" w:eastAsia="zh-CN" w:bidi="ar-SA"/>
        </w:rPr>
        <w:t>2413</w:t>
      </w:r>
      <w:r>
        <w:rPr>
          <w:rFonts w:hint="default" w:ascii="Times New Roman" w:hAnsi="Times New Roman" w:eastAsia="仿宋_GB2312" w:cs="Times New Roman"/>
          <w:b w:val="0"/>
          <w:bCs w:val="0"/>
          <w:color w:val="auto"/>
          <w:kern w:val="2"/>
          <w:sz w:val="32"/>
          <w:szCs w:val="32"/>
          <w:highlight w:val="none"/>
          <w:lang w:val="en-US" w:eastAsia="zh-CN" w:bidi="ar-SA"/>
        </w:rPr>
        <w:t>架次，货运量</w:t>
      </w:r>
      <w:r>
        <w:rPr>
          <w:rFonts w:hint="eastAsia" w:ascii="Times New Roman" w:hAnsi="Times New Roman" w:eastAsia="仿宋_GB2312" w:cs="Times New Roman"/>
          <w:b w:val="0"/>
          <w:bCs w:val="0"/>
          <w:color w:val="auto"/>
          <w:kern w:val="2"/>
          <w:sz w:val="32"/>
          <w:szCs w:val="32"/>
          <w:highlight w:val="none"/>
          <w:lang w:val="en-US" w:eastAsia="zh-CN" w:bidi="ar-SA"/>
        </w:rPr>
        <w:t>55.02吨，增长289.9%。</w:t>
      </w:r>
      <w:r>
        <w:rPr>
          <w:rFonts w:hint="default" w:ascii="Times New Roman" w:hAnsi="Times New Roman" w:eastAsia="仿宋_GB2312" w:cs="Times New Roman"/>
          <w:b w:val="0"/>
          <w:bCs w:val="0"/>
          <w:color w:val="auto"/>
          <w:kern w:val="2"/>
          <w:sz w:val="32"/>
          <w:szCs w:val="32"/>
          <w:highlight w:val="none"/>
          <w:lang w:val="en-US" w:eastAsia="zh-CN" w:bidi="ar-SA"/>
        </w:rPr>
        <w:t>旅客吞吐量</w:t>
      </w:r>
      <w:r>
        <w:rPr>
          <w:rFonts w:hint="eastAsia" w:ascii="Times New Roman" w:hAnsi="Times New Roman" w:eastAsia="仿宋_GB2312" w:cs="Times New Roman"/>
          <w:b w:val="0"/>
          <w:bCs w:val="0"/>
          <w:color w:val="auto"/>
          <w:kern w:val="2"/>
          <w:sz w:val="32"/>
          <w:szCs w:val="32"/>
          <w:highlight w:val="none"/>
          <w:lang w:val="en-US" w:eastAsia="zh-CN" w:bidi="ar-SA"/>
        </w:rPr>
        <w:t>12.85</w:t>
      </w:r>
      <w:r>
        <w:rPr>
          <w:rFonts w:hint="default" w:ascii="Times New Roman" w:hAnsi="Times New Roman" w:eastAsia="仿宋_GB2312" w:cs="Times New Roman"/>
          <w:b w:val="0"/>
          <w:bCs w:val="0"/>
          <w:color w:val="auto"/>
          <w:kern w:val="2"/>
          <w:sz w:val="32"/>
          <w:szCs w:val="32"/>
          <w:highlight w:val="none"/>
          <w:lang w:val="en-US" w:eastAsia="zh-CN" w:bidi="ar-SA"/>
        </w:rPr>
        <w:t>万人次</w:t>
      </w:r>
      <w:r>
        <w:rPr>
          <w:rFonts w:hint="eastAsia" w:ascii="Times New Roman" w:hAnsi="Times New Roman" w:eastAsia="仿宋_GB2312" w:cs="Times New Roman"/>
          <w:b w:val="0"/>
          <w:bCs w:val="0"/>
          <w:color w:val="auto"/>
          <w:kern w:val="2"/>
          <w:sz w:val="32"/>
          <w:szCs w:val="32"/>
          <w:highlight w:val="none"/>
          <w:lang w:val="en-US" w:eastAsia="zh-CN" w:bidi="ar-SA"/>
        </w:rPr>
        <w:t>，增长10.3%</w:t>
      </w:r>
      <w:r>
        <w:rPr>
          <w:rFonts w:hint="default" w:ascii="Times New Roman" w:hAnsi="Times New Roman" w:eastAsia="仿宋_GB2312" w:cs="Times New Roman"/>
          <w:b w:val="0"/>
          <w:bCs w:val="0"/>
          <w:color w:val="auto"/>
          <w:kern w:val="2"/>
          <w:sz w:val="32"/>
          <w:szCs w:val="32"/>
          <w:highlight w:val="none"/>
          <w:lang w:val="en-US" w:eastAsia="zh-CN" w:bidi="ar-SA"/>
        </w:rPr>
        <w:t>，其中，进港</w:t>
      </w:r>
      <w:r>
        <w:rPr>
          <w:rFonts w:hint="eastAsia" w:ascii="Times New Roman" w:hAnsi="Times New Roman" w:eastAsia="仿宋_GB2312" w:cs="Times New Roman"/>
          <w:b w:val="0"/>
          <w:bCs w:val="0"/>
          <w:color w:val="auto"/>
          <w:kern w:val="2"/>
          <w:sz w:val="32"/>
          <w:szCs w:val="32"/>
          <w:highlight w:val="none"/>
          <w:lang w:val="en-US" w:eastAsia="zh-CN" w:bidi="ar-SA"/>
        </w:rPr>
        <w:t>6.96</w:t>
      </w:r>
      <w:r>
        <w:rPr>
          <w:rFonts w:hint="default" w:ascii="Times New Roman" w:hAnsi="Times New Roman" w:eastAsia="仿宋_GB2312" w:cs="Times New Roman"/>
          <w:b w:val="0"/>
          <w:bCs w:val="0"/>
          <w:color w:val="auto"/>
          <w:kern w:val="2"/>
          <w:sz w:val="32"/>
          <w:szCs w:val="32"/>
          <w:highlight w:val="none"/>
          <w:lang w:val="en-US" w:eastAsia="zh-CN" w:bidi="ar-SA"/>
        </w:rPr>
        <w:t>万人次、出港</w:t>
      </w:r>
      <w:r>
        <w:rPr>
          <w:rFonts w:hint="eastAsia" w:ascii="Times New Roman" w:hAnsi="Times New Roman" w:eastAsia="仿宋_GB2312" w:cs="Times New Roman"/>
          <w:b w:val="0"/>
          <w:bCs w:val="0"/>
          <w:color w:val="auto"/>
          <w:kern w:val="2"/>
          <w:sz w:val="32"/>
          <w:szCs w:val="32"/>
          <w:highlight w:val="none"/>
          <w:lang w:val="en-US" w:eastAsia="zh-CN" w:bidi="ar-SA"/>
        </w:rPr>
        <w:t>5.89</w:t>
      </w:r>
      <w:r>
        <w:rPr>
          <w:rFonts w:hint="default" w:ascii="Times New Roman" w:hAnsi="Times New Roman" w:eastAsia="仿宋_GB2312" w:cs="Times New Roman"/>
          <w:b w:val="0"/>
          <w:bCs w:val="0"/>
          <w:color w:val="auto"/>
          <w:kern w:val="2"/>
          <w:sz w:val="32"/>
          <w:szCs w:val="32"/>
          <w:highlight w:val="none"/>
          <w:lang w:val="en-US" w:eastAsia="zh-CN" w:bidi="ar-SA"/>
        </w:rPr>
        <w:t>万人次。</w:t>
      </w:r>
    </w:p>
    <w:p w14:paraId="121500A5">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left="630" w:leftChars="0"/>
        <w:textAlignment w:val="top"/>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三、存在的问题</w:t>
      </w:r>
    </w:p>
    <w:p w14:paraId="5834CAE7">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default"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地区生产总值增长4.1%，距年初目标（6.0%）差1.9个百分点。三次产业分别增长-2.4%、10.7%、1.8%，呈现“一产乏力、二产领跑、三产回稳”的运行特征。在地区生产总值10个大类中工业和交通运输、仓储业增加值上拉地区生产总值5.3个百分点，农林牧渔业、建筑业、批发和零售业、营利性服务业4个大类下拉1.3个百分点。</w:t>
      </w:r>
    </w:p>
    <w:p w14:paraId="2EBD3BE0">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highlight w:val="none"/>
          <w:shd w:val="clear" w:fill="FFFFFF"/>
          <w:lang w:val="en-US" w:eastAsia="zh-CN" w:bidi="ar-SA"/>
          <w14:textFill>
            <w14:solidFill>
              <w14:schemeClr w14:val="tx1"/>
            </w14:solidFill>
          </w14:textFill>
        </w:rPr>
        <w:t>（一）第一产业方面。</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水资源供需矛盾制约种植业发展，实行“以水定地、休耕轮作”后，小麦种植面积较同期减少15万亩，高温天气造成农作物欠收，预计小麦单产较同期减少30.38公斤/亩左右。同时，畜牧业整体低迷，猪、牛、羊出栏分别下降35.0%、17.7%、6.3%，造成上半年总产值负增长。</w:t>
      </w:r>
    </w:p>
    <w:p w14:paraId="65E42147">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Times New Roman" w:hAnsi="Times New Roman" w:eastAsia="仿宋_GB2312" w:cs="仿宋_GB2312"/>
          <w:b w:val="0"/>
          <w:bCs w:val="0"/>
          <w:color w:val="0000FF"/>
          <w:kern w:val="2"/>
          <w:sz w:val="32"/>
          <w:szCs w:val="32"/>
          <w:highlight w:val="none"/>
          <w:lang w:val="en-US" w:eastAsia="zh-CN" w:bidi="ar-SA"/>
        </w:rPr>
      </w:pPr>
      <w:r>
        <w:rPr>
          <w:rFonts w:hint="eastAsia" w:ascii="楷体_GB2312" w:hAnsi="楷体_GB2312" w:eastAsia="楷体_GB2312" w:cs="楷体_GB2312"/>
          <w:b w:val="0"/>
          <w:bCs w:val="0"/>
          <w:color w:val="000000" w:themeColor="text1"/>
          <w:kern w:val="2"/>
          <w:sz w:val="32"/>
          <w:szCs w:val="32"/>
          <w:highlight w:val="none"/>
          <w:shd w:val="clear" w:fill="FFFFFF"/>
          <w:lang w:val="en-US" w:eastAsia="zh-CN" w:bidi="ar-SA"/>
          <w14:textFill>
            <w14:solidFill>
              <w14:schemeClr w14:val="tx1"/>
            </w14:solidFill>
          </w14:textFill>
        </w:rPr>
        <w:t>（二）第二产业方面。</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工业：一是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城市供排水今年市政绿化310万方用水未结算（单价1元/立方计算），供水量下降2.2%；蓝山屯河设备升级后重复用水增加，外购水减少，奇兴水务供水量下降3.4%，自来水供应业增加值下降1.5%。</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二是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蓝山屯河BDO、PTMEG价格持续下跌，产量分别下降1.0%、5.5%；景华聿孟产值（占化学行业2.1%）下降66.3%，新能源汽车快速发展，锂电池原材料碳酸锂价格上涨1.5倍，赫润环保碳酸锂产量增长96.5%，增幅无法抵消BDO、PTMEG降幅，化学原料和化学制品制造业下降3.8%，下拉工业1.0百分点。</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三是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新能源项目建设节奏放缓，骏晟能源累计产量下降76.2%，金属制品业增加值下降76.9%，下拉工业3.3百分点。</w:t>
      </w:r>
      <w:r>
        <w:rPr>
          <w:rFonts w:hint="eastAsia" w:ascii="Times New Roman" w:hAnsi="Times New Roman" w:eastAsia="仿宋_GB2312" w:cs="仿宋_GB2312"/>
          <w:b/>
          <w:bCs/>
          <w:color w:val="auto"/>
          <w:kern w:val="2"/>
          <w:sz w:val="32"/>
          <w:szCs w:val="32"/>
          <w:highlight w:val="none"/>
          <w:lang w:val="en-US" w:eastAsia="zh-CN" w:bidi="ar-SA"/>
        </w:rPr>
        <w:t>建筑业：一是</w:t>
      </w:r>
      <w:r>
        <w:rPr>
          <w:rFonts w:hint="eastAsia" w:ascii="Times New Roman" w:hAnsi="Times New Roman" w:eastAsia="仿宋_GB2312" w:cs="仿宋_GB2312"/>
          <w:b w:val="0"/>
          <w:bCs w:val="0"/>
          <w:color w:val="auto"/>
          <w:kern w:val="2"/>
          <w:sz w:val="32"/>
          <w:szCs w:val="32"/>
          <w:highlight w:val="none"/>
          <w:lang w:val="en-US" w:eastAsia="zh-CN" w:bidi="ar-SA"/>
        </w:rPr>
        <w:t>25家建筑企业中方正建筑安装、银都建设等11家企业产值下降，下拉建筑业总产值26.5个百分点；新奇工程、皖通建筑安装等11家停产企业下拉建筑业2.8个百分点。</w:t>
      </w:r>
      <w:r>
        <w:rPr>
          <w:rFonts w:hint="eastAsia" w:ascii="Times New Roman" w:hAnsi="Times New Roman" w:eastAsia="仿宋_GB2312" w:cs="仿宋_GB2312"/>
          <w:b/>
          <w:bCs/>
          <w:color w:val="auto"/>
          <w:kern w:val="2"/>
          <w:sz w:val="32"/>
          <w:szCs w:val="32"/>
          <w:highlight w:val="none"/>
          <w:lang w:val="en-US" w:eastAsia="zh-CN" w:bidi="ar-SA"/>
        </w:rPr>
        <w:t>二是</w:t>
      </w:r>
      <w:r>
        <w:rPr>
          <w:rFonts w:hint="eastAsia" w:ascii="Times New Roman" w:hAnsi="Times New Roman" w:eastAsia="仿宋_GB2312" w:cs="仿宋_GB2312"/>
          <w:b w:val="0"/>
          <w:bCs w:val="0"/>
          <w:color w:val="auto"/>
          <w:kern w:val="2"/>
          <w:sz w:val="32"/>
          <w:szCs w:val="32"/>
          <w:highlight w:val="none"/>
          <w:lang w:val="en-US" w:eastAsia="zh-CN" w:bidi="ar-SA"/>
        </w:rPr>
        <w:t>企业签订合同额下降9.5%，其中本年新签合同额下降29.4%。企业合同额多为以前年度中标工程，新承揽工程量少，下半年回升压力大。</w:t>
      </w:r>
    </w:p>
    <w:p w14:paraId="657423F9">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highlight w:val="none"/>
          <w:shd w:val="clear" w:fill="FFFFFF"/>
          <w:lang w:val="en-US" w:eastAsia="zh-CN" w:bidi="ar-SA"/>
          <w14:textFill>
            <w14:solidFill>
              <w14:schemeClr w14:val="tx1"/>
            </w14:solidFill>
          </w14:textFill>
        </w:rPr>
        <w:t>（三）第三产业方面。</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尽管限上消费增速加快，但消费市场“表面回暖、内生偏弱”的特征明显。</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一是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消费增长来源单一。限上消费回暖高度依赖粮油食品（上半年零售额增长52.0%，占限上零售额21.9%）、家用电器和音像器材类（增长56.6%，占4.5%）等传统刚需品类；金银珠宝类、手机等新兴消费品合计占比不足4%。</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二是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居民消费意愿不足。一方面居民收入水平较低且增速放缓，一季度，城镇居民人均可支配收入10993元，低于全州315元，增速由“十四五”期间的平均增长5.5%放缓至一季度的5.2%；农村居民人均可支配收入803元，低于全州2827元，增速由“十四五”期间的平均增长8.4%放缓至一季度的7.8%。另一方面消费意愿偏低，6月末，金融机构住户存款增长9.2%，而住户中长期消费贷款下降1.7%，存款与消费贷款增速形成明显剪刀差，成为制约消费市场持续复苏的深层根源。</w:t>
      </w:r>
    </w:p>
    <w:p w14:paraId="7E4701A8">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highlight w:val="none"/>
          <w:shd w:val="clear" w:fill="FFFFFF"/>
          <w:lang w:val="en-US" w:eastAsia="zh-CN" w:bidi="ar-SA"/>
          <w14:textFill>
            <w14:solidFill>
              <w14:schemeClr w14:val="tx1"/>
            </w14:solidFill>
          </w14:textFill>
        </w:rPr>
        <w:t>（四）投资方面。</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一是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“十四五”时期，投资的快速增长主要依赖工业投资拉动，上半年，工业投资增长7.4%，比1-5月（44.5%）回落37.1个百分点，工业投资主要依靠石油工业拉动，剔除后工业投资下降84.3%。</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二是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民生投资连续两年下降，下降55.9%，下拉全部投资1.3个百分点。</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三是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新开工项目投资6.22亿元，较同期下降10.8%。有效投资接续乏力，项目储备不足与施工缓慢问题并存。</w:t>
      </w:r>
    </w:p>
    <w:p w14:paraId="302E86AF">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黑体" w:hAnsi="黑体" w:eastAsia="黑体" w:cs="黑体"/>
          <w:color w:val="000000" w:themeColor="text1"/>
          <w:kern w:val="0"/>
          <w:sz w:val="32"/>
          <w:szCs w:val="32"/>
          <w:highlight w:val="none"/>
          <w:lang w:val="en-US" w:eastAsia="zh-CN" w:bidi="ar"/>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bidi="ar"/>
          <w14:textFill>
            <w14:solidFill>
              <w14:schemeClr w14:val="tx1"/>
            </w14:solidFill>
          </w14:textFill>
        </w:rPr>
        <w:t>四、对策建议</w:t>
      </w:r>
    </w:p>
    <w:p w14:paraId="2C74991D">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i w:val="0"/>
          <w:caps w:val="0"/>
          <w:color w:val="auto"/>
          <w:spacing w:val="0"/>
          <w:kern w:val="2"/>
          <w:sz w:val="32"/>
          <w:szCs w:val="32"/>
          <w:shd w:val="clear" w:fill="FFFFFF"/>
          <w:lang w:val="en-US" w:eastAsia="zh-CN" w:bidi="ar-SA"/>
        </w:rPr>
        <w:t>（一）锚定目标攻坚克难，全力补齐地区生产总值核算指标短板。</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针对部分地区生产总值核算指标深度回落等问题，紧盯31项支撑指标，对交通运输周转量、建筑业总产值、营利性服务业营收、行政事业单位工资总额等下行指标，增强工作前瞻性和主动性，强化指标监测预警和部门协同联动，细化攻坚举措，逐项补齐短板，推动地区生产总值增速达到年度预期目标，实现在全州位次稳步前移。</w:t>
      </w:r>
    </w:p>
    <w:p w14:paraId="2412FDE7">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snapToGrid/>
        <w:spacing w:line="520" w:lineRule="exact"/>
        <w:ind w:firstLine="640" w:firstLineChars="200"/>
        <w:textAlignment w:val="top"/>
        <w:rPr>
          <w:rFonts w:hint="eastAsia" w:ascii="楷体_GB2312" w:hAnsi="楷体_GB2312" w:eastAsia="楷体_GB2312" w:cs="楷体_GB2312"/>
          <w:b w:val="0"/>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highlight w:val="none"/>
          <w:lang w:val="en-US" w:eastAsia="zh-CN" w:bidi="ar-SA"/>
          <w14:textFill>
            <w14:solidFill>
              <w14:schemeClr w14:val="tx1"/>
            </w14:solidFill>
          </w14:textFill>
        </w:rPr>
        <w:t>（二）抓实秋粮田间管理，培优提质畜牧产业。</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一是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紧盯玉米等秋粮作物拔节、抽穗关键生长期，落实水肥精准调控、病虫害绿色统防统治等田管措施，依靠单产提升弥补面积调减影响，保障秋粮稳产。</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二是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推广高标准农田节水滴灌、水肥一体化技术，提升农田灌溉水利用效率，在水资源承载力范围内优化粮食种植布局。</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三是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 xml:space="preserve">支持规模养殖场实施标准化升级改造，提升繁育效率与牛、羊出栏体重，摊薄单位养殖成本。  </w:t>
      </w:r>
    </w:p>
    <w:p w14:paraId="5235DD83">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val="0"/>
        <w:snapToGrid w:val="0"/>
        <w:spacing w:line="510" w:lineRule="exact"/>
        <w:ind w:firstLine="640" w:firstLineChars="200"/>
        <w:textAlignment w:val="top"/>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highlight w:val="none"/>
          <w:lang w:val="en-US" w:eastAsia="zh-CN" w:bidi="ar-SA"/>
          <w14:textFill>
            <w14:solidFill>
              <w14:schemeClr w14:val="tx1"/>
            </w14:solidFill>
          </w14:textFill>
        </w:rPr>
        <w:t>（三）筑牢工业经济根基，精准滴灌纾困解难。</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一是</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确保新能源企业按时升规纳统，</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7月新入统2家企业（昌吉古尔班通古特沙漠基地新能源开发有限公司奇台国网能源分公司、奇台辰羽分公司）预计新增产值0.6亿元，增加值0.39亿元，上拉规上工业3.7个百分点。下半年预计入统昌吉古尔班通古特沙漠基地新能源开发有限公司奇台皖能分公司、中电投奇台分公司、追风能源、恒众新能源、盛鼎新能源5家风光电企业，预计新增产值1.6亿元，增加值1.0亿元，上拉规上工业7.2个百分点；紧盯腾源石油8月初复工复产，全年产量达7.0万吨以上。</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二是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针对规上工业企业减停产面偏高的问题，精准破解企业生产经营堵点难点，推动减产企业稳产扩产、停产企业尽快复工复产，最大限度挽回产值损失。</w:t>
      </w:r>
    </w:p>
    <w:p w14:paraId="2C1B03EB">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val="0"/>
        <w:snapToGrid w:val="0"/>
        <w:spacing w:line="510" w:lineRule="exact"/>
        <w:ind w:firstLine="640" w:firstLineChars="200"/>
        <w:textAlignment w:val="top"/>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highlight w:val="none"/>
          <w:lang w:val="en-US" w:eastAsia="zh-CN" w:bidi="ar-SA"/>
          <w14:textFill>
            <w14:solidFill>
              <w14:schemeClr w14:val="tx1"/>
            </w14:solidFill>
          </w14:textFill>
        </w:rPr>
        <w:t>（四）激活消费扩容融合，释放内需市场潜力。</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当前，扩大内需是稳定经济增长、推动高质量发展的关键举措。短期来看，需通过政策精准发力、主体培育增效、消费场景激活等，稳定市场预期、释放消费潜力；长期来看，消费增长取决于消费能力增强和收入预期改善。</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一是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发展“高考后经济”，鼓励各大限上贸易企业谋划，推出针对准大学生的优惠活动，尤其是开学大件“手机-平板-笔记本电脑”及智能手表、耳机、拉杆箱等商品的促销。关注暑期旅游消费，充分利用江布拉克文旅优势，打造短途度假、研学、乡村夜游首选地，打通“文旅流量”向“零售增量”转化的通道。</w:t>
      </w:r>
      <w:r>
        <w:rPr>
          <w:rFonts w:hint="eastAsia" w:ascii="Times New Roman" w:hAnsi="Times New Roman" w:eastAsia="仿宋_GB2312" w:cs="仿宋_GB2312"/>
          <w:b/>
          <w:bCs/>
          <w:color w:val="000000" w:themeColor="text1"/>
          <w:kern w:val="2"/>
          <w:sz w:val="32"/>
          <w:szCs w:val="32"/>
          <w:highlight w:val="none"/>
          <w:lang w:val="en-US" w:eastAsia="zh-CN" w:bidi="ar-SA"/>
          <w14:textFill>
            <w14:solidFill>
              <w14:schemeClr w14:val="tx1"/>
            </w14:solidFill>
          </w14:textFill>
        </w:rPr>
        <w:t>二是</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加强部门协作，全面摸排辖区内符合升限条件的网络零售企业，重点扶持一批具备一定规模和发展潜力的优质电商企业，推动其升限纳统，形成新的增量。</w:t>
      </w:r>
    </w:p>
    <w:p w14:paraId="1DE7A790">
      <w:pPr>
        <w:keepNext w:val="0"/>
        <w:keepLines w:val="0"/>
        <w:pageBreakBefore w:val="0"/>
        <w:widowControl w:val="0"/>
        <w:numPr>
          <w:ilvl w:val="0"/>
          <w:numId w:val="0"/>
        </w:numPr>
        <w:pBdr>
          <w:top w:val="none" w:color="000000" w:sz="0" w:space="0"/>
          <w:left w:val="none" w:color="000000" w:sz="0" w:space="9"/>
          <w:bottom w:val="none" w:color="000000" w:sz="0" w:space="31"/>
          <w:right w:val="none" w:color="000000" w:sz="0" w:space="11"/>
        </w:pBdr>
        <w:kinsoku/>
        <w:wordWrap/>
        <w:overflowPunct/>
        <w:topLinePunct w:val="0"/>
        <w:autoSpaceDE/>
        <w:autoSpaceDN/>
        <w:bidi w:val="0"/>
        <w:adjustRightInd w:val="0"/>
        <w:snapToGrid w:val="0"/>
        <w:spacing w:line="510" w:lineRule="exact"/>
        <w:ind w:firstLine="640" w:firstLineChars="200"/>
        <w:textAlignment w:val="top"/>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val="0"/>
          <w:bCs w:val="0"/>
          <w:color w:val="000000" w:themeColor="text1"/>
          <w:kern w:val="2"/>
          <w:sz w:val="32"/>
          <w:szCs w:val="32"/>
          <w:highlight w:val="none"/>
          <w:lang w:val="en-US" w:eastAsia="zh-CN" w:bidi="ar-SA"/>
          <w14:textFill>
            <w14:solidFill>
              <w14:schemeClr w14:val="tx1"/>
            </w14:solidFill>
          </w14:textFill>
        </w:rPr>
        <w:t>（五）狠抓投资增效破局，扩大有效投资动能。</w:t>
      </w:r>
      <w:r>
        <w:rPr>
          <w:rFonts w:hint="eastAsia" w:ascii="Times New Roman" w:hAnsi="Times New Roman" w:eastAsia="仿宋_GB2312" w:cs="仿宋_GB2312"/>
          <w:b w:val="0"/>
          <w:bCs w:val="0"/>
          <w:color w:val="000000" w:themeColor="text1"/>
          <w:kern w:val="2"/>
          <w:sz w:val="32"/>
          <w:szCs w:val="32"/>
          <w:highlight w:val="none"/>
          <w:lang w:val="en-US" w:eastAsia="zh-CN" w:bidi="ar-SA"/>
          <w14:textFill>
            <w14:solidFill>
              <w14:schemeClr w14:val="tx1"/>
            </w14:solidFill>
          </w14:textFill>
        </w:rPr>
        <w:t>紧盯大基地、州国投180万千瓦等完工项目工程结算进度，持续稳定释放投资；积极申报国能煤制气、天池能源煤制气50万千瓦绿电直连示范项目；加快推进新备案立新250万千瓦新能源项目办理前期手续并达到开工条件，持续做大新能源投资体量。抢抓施工黄金期，紧盯新特硅基200万千瓦风电、7个乡镇引调水等区州重点项目提速建设，全力推动赫润环保二期、纳美钠离子电池等新建项目加快进度，加速推进汇宸人造金刚石、汇芯聚鼎智能装备等产业项目落地。重点攻坚准东供水二期、G679-乌拉斯台口岸等重点项目，常态化跟踪建设进度、跟进投资释放，持续挖掘新增投资，培育固投新增长点。</w:t>
      </w:r>
    </w:p>
    <w:p w14:paraId="43F234A0">
      <w:pPr>
        <w:pStyle w:val="2"/>
        <w:rPr>
          <w:rFonts w:hint="eastAsia"/>
          <w:lang w:val="en-US" w:eastAsia="zh-CN"/>
        </w:rPr>
      </w:pPr>
    </w:p>
    <w:p w14:paraId="041C579E">
      <w:pPr>
        <w:pStyle w:val="2"/>
        <w:rPr>
          <w:rFonts w:hint="default"/>
          <w:lang w:val="en-US" w:eastAsia="zh-CN"/>
        </w:rPr>
      </w:pPr>
    </w:p>
    <w:p w14:paraId="4934B43C">
      <w:pPr>
        <w:rPr>
          <w:rFonts w:hint="default"/>
          <w:lang w:val="en-US" w:eastAsia="zh-CN"/>
        </w:rPr>
      </w:pPr>
    </w:p>
    <w:p w14:paraId="0157EF5E">
      <w:pPr>
        <w:pStyle w:val="2"/>
        <w:rPr>
          <w:rFonts w:hint="default"/>
          <w:lang w:val="en-US" w:eastAsia="zh-CN"/>
        </w:rPr>
      </w:pPr>
    </w:p>
    <w:p w14:paraId="55871467">
      <w:pPr>
        <w:rPr>
          <w:rFonts w:hint="default"/>
          <w:lang w:val="en-US" w:eastAsia="zh-CN"/>
        </w:rPr>
      </w:pPr>
    </w:p>
    <w:tbl>
      <w:tblPr>
        <w:tblStyle w:val="9"/>
        <w:tblpPr w:leftFromText="180" w:rightFromText="180" w:vertAnchor="text" w:horzAnchor="page" w:tblpX="1652" w:tblpY="1640"/>
        <w:tblOverlap w:val="never"/>
        <w:tblW w:w="5000"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061"/>
      </w:tblGrid>
      <w:tr w14:paraId="4C92F1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000" w:type="pct"/>
            <w:tcBorders>
              <w:tl2br w:val="nil"/>
              <w:tr2bl w:val="nil"/>
            </w:tcBorders>
            <w:vAlign w:val="top"/>
          </w:tcPr>
          <w:p w14:paraId="615A56F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i w:val="0"/>
                <w:caps w:val="0"/>
                <w:color w:val="auto"/>
                <w:spacing w:val="0"/>
                <w:sz w:val="28"/>
                <w:szCs w:val="28"/>
                <w:highlight w:val="none"/>
                <w:u w:val="none"/>
                <w:shd w:val="clear" w:fill="FFFFFF"/>
                <w:vertAlign w:val="baseline"/>
                <w:lang w:val="en-US" w:eastAsia="zh-CN"/>
              </w:rPr>
            </w:pPr>
            <w:r>
              <w:rPr>
                <w:rFonts w:hint="eastAsia" w:ascii="仿宋_GB2312" w:hAnsi="仿宋_GB2312" w:eastAsia="仿宋_GB2312" w:cs="仿宋_GB2312"/>
                <w:b/>
                <w:bCs w:val="0"/>
                <w:i w:val="0"/>
                <w:caps w:val="0"/>
                <w:color w:val="auto"/>
                <w:spacing w:val="0"/>
                <w:sz w:val="28"/>
                <w:szCs w:val="28"/>
                <w:highlight w:val="none"/>
                <w:u w:val="none"/>
                <w:shd w:val="clear" w:fill="FFFFFF"/>
                <w:lang w:val="en-US" w:eastAsia="zh-CN"/>
              </w:rPr>
              <w:t>撰稿：</w:t>
            </w:r>
            <w:r>
              <w:rPr>
                <w:rFonts w:hint="eastAsia" w:ascii="仿宋_GB2312" w:hAnsi="仿宋_GB2312" w:eastAsia="仿宋_GB2312" w:cs="仿宋_GB2312"/>
                <w:b w:val="0"/>
                <w:bCs/>
                <w:i w:val="0"/>
                <w:caps w:val="0"/>
                <w:color w:val="auto"/>
                <w:spacing w:val="0"/>
                <w:sz w:val="28"/>
                <w:szCs w:val="28"/>
                <w:highlight w:val="none"/>
                <w:u w:val="none"/>
                <w:shd w:val="clear" w:fill="FFFFFF"/>
                <w:lang w:val="en-US" w:eastAsia="zh-CN"/>
              </w:rPr>
              <w:t xml:space="preserve">顾凤云、王莹旭                   </w:t>
            </w:r>
            <w:r>
              <w:rPr>
                <w:rFonts w:hint="eastAsia" w:ascii="仿宋_GB2312" w:hAnsi="仿宋_GB2312" w:eastAsia="仿宋_GB2312" w:cs="仿宋_GB2312"/>
                <w:b/>
                <w:bCs w:val="0"/>
                <w:i w:val="0"/>
                <w:caps w:val="0"/>
                <w:color w:val="auto"/>
                <w:spacing w:val="0"/>
                <w:sz w:val="28"/>
                <w:szCs w:val="28"/>
                <w:highlight w:val="none"/>
                <w:u w:val="none"/>
                <w:shd w:val="clear" w:fill="FFFFFF"/>
                <w:lang w:val="en-US" w:eastAsia="zh-CN"/>
              </w:rPr>
              <w:t>初审：</w:t>
            </w:r>
            <w:r>
              <w:rPr>
                <w:rFonts w:hint="eastAsia" w:ascii="仿宋_GB2312" w:hAnsi="仿宋_GB2312" w:eastAsia="仿宋_GB2312" w:cs="仿宋_GB2312"/>
                <w:b w:val="0"/>
                <w:bCs/>
                <w:i w:val="0"/>
                <w:caps w:val="0"/>
                <w:color w:val="auto"/>
                <w:spacing w:val="0"/>
                <w:sz w:val="28"/>
                <w:szCs w:val="28"/>
                <w:highlight w:val="none"/>
                <w:u w:val="none"/>
                <w:shd w:val="clear" w:fill="FFFFFF"/>
                <w:lang w:val="en-US" w:eastAsia="zh-CN"/>
              </w:rPr>
              <w:t xml:space="preserve">贾鑫   </w:t>
            </w:r>
            <w:r>
              <w:rPr>
                <w:rFonts w:hint="eastAsia" w:ascii="仿宋_GB2312" w:hAnsi="仿宋_GB2312" w:eastAsia="仿宋_GB2312" w:cs="仿宋_GB2312"/>
                <w:b/>
                <w:bCs w:val="0"/>
                <w:i w:val="0"/>
                <w:caps w:val="0"/>
                <w:color w:val="auto"/>
                <w:spacing w:val="0"/>
                <w:sz w:val="28"/>
                <w:szCs w:val="28"/>
                <w:highlight w:val="none"/>
                <w:u w:val="none"/>
                <w:shd w:val="clear" w:fill="FFFFFF"/>
                <w:lang w:val="en-US" w:eastAsia="zh-CN"/>
              </w:rPr>
              <w:t>终审：</w:t>
            </w:r>
            <w:r>
              <w:rPr>
                <w:rFonts w:hint="eastAsia" w:ascii="仿宋_GB2312" w:hAnsi="仿宋_GB2312" w:eastAsia="仿宋_GB2312" w:cs="仿宋_GB2312"/>
                <w:b w:val="0"/>
                <w:bCs/>
                <w:i w:val="0"/>
                <w:caps w:val="0"/>
                <w:color w:val="auto"/>
                <w:spacing w:val="0"/>
                <w:sz w:val="28"/>
                <w:szCs w:val="28"/>
                <w:highlight w:val="none"/>
                <w:u w:val="none"/>
                <w:shd w:val="clear" w:fill="FFFFFF"/>
                <w:lang w:val="en-US" w:eastAsia="zh-CN"/>
              </w:rPr>
              <w:t>王丽霞</w:t>
            </w:r>
          </w:p>
        </w:tc>
      </w:tr>
      <w:tr w14:paraId="0A189FD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000" w:type="pct"/>
            <w:tcBorders>
              <w:tl2br w:val="nil"/>
              <w:tr2bl w:val="nil"/>
            </w:tcBorders>
            <w:vAlign w:val="top"/>
          </w:tcPr>
          <w:p w14:paraId="527569E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i w:val="0"/>
                <w:caps w:val="0"/>
                <w:color w:val="auto"/>
                <w:spacing w:val="0"/>
                <w:sz w:val="28"/>
                <w:szCs w:val="28"/>
                <w:highlight w:val="none"/>
                <w:u w:val="none"/>
                <w:shd w:val="clear" w:fill="FFFFFF"/>
                <w:lang w:val="en-US" w:eastAsia="zh-CN"/>
              </w:rPr>
            </w:pPr>
            <w:r>
              <w:rPr>
                <w:rFonts w:hint="eastAsia" w:ascii="仿宋_GB2312" w:hAnsi="仿宋_GB2312" w:eastAsia="仿宋_GB2312" w:cs="仿宋_GB2312"/>
                <w:b w:val="0"/>
                <w:bCs/>
                <w:i w:val="0"/>
                <w:caps w:val="0"/>
                <w:color w:val="auto"/>
                <w:spacing w:val="0"/>
                <w:sz w:val="28"/>
                <w:szCs w:val="28"/>
                <w:highlight w:val="none"/>
                <w:u w:val="none"/>
                <w:shd w:val="clear" w:fill="FFFFFF"/>
                <w:lang w:val="en-US" w:eastAsia="zh-CN"/>
              </w:rPr>
              <w:t>奇台县统计局                               2026年7月21日印发</w:t>
            </w:r>
          </w:p>
        </w:tc>
      </w:tr>
    </w:tbl>
    <w:p w14:paraId="5DB6B2DA">
      <w:pPr>
        <w:pStyle w:val="2"/>
        <w:rPr>
          <w:rFonts w:hint="eastAsia"/>
          <w:color w:val="0000FF"/>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MT Extra"/>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altName w:val="DejaVu Math TeX Gyre"/>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B9379">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70A15">
                          <w:pPr>
                            <w:pStyle w:val="4"/>
                            <w:rPr>
                              <w:rFonts w:hint="eastAsia" w:ascii="仿宋_GB2312" w:hAnsi="仿宋_GB2312" w:eastAsia="仿宋_GB2312" w:cs="仿宋_GB2312"/>
                              <w:sz w:val="24"/>
                              <w:szCs w:val="40"/>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970A15">
                    <w:pPr>
                      <w:pStyle w:val="4"/>
                      <w:rPr>
                        <w:rFonts w:hint="eastAsia" w:ascii="仿宋_GB2312" w:hAnsi="仿宋_GB2312" w:eastAsia="仿宋_GB2312" w:cs="仿宋_GB2312"/>
                        <w:sz w:val="24"/>
                        <w:szCs w:val="40"/>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CFC042"/>
    <w:multiLevelType w:val="singleLevel"/>
    <w:tmpl w:val="87CFC042"/>
    <w:lvl w:ilvl="0" w:tentative="0">
      <w:start w:val="1"/>
      <w:numFmt w:val="chineseCounting"/>
      <w:suff w:val="nothing"/>
      <w:lvlText w:val="%1、"/>
      <w:lvlJc w:val="left"/>
      <w:pPr>
        <w:ind w:left="-10"/>
      </w:pPr>
      <w:rPr>
        <w:rFonts w:hint="eastAsia"/>
      </w:rPr>
    </w:lvl>
  </w:abstractNum>
  <w:abstractNum w:abstractNumId="1">
    <w:nsid w:val="94AE2319"/>
    <w:multiLevelType w:val="singleLevel"/>
    <w:tmpl w:val="94AE2319"/>
    <w:lvl w:ilvl="0" w:tentative="0">
      <w:start w:val="2"/>
      <w:numFmt w:val="chineseCounting"/>
      <w:suff w:val="nothing"/>
      <w:lvlText w:val="（%1）"/>
      <w:lvlJc w:val="left"/>
      <w:rPr>
        <w:rFonts w:hint="eastAsia"/>
      </w:rPr>
    </w:lvl>
  </w:abstractNum>
  <w:abstractNum w:abstractNumId="2">
    <w:nsid w:val="69DCBD28"/>
    <w:multiLevelType w:val="singleLevel"/>
    <w:tmpl w:val="69DCBD2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1F7A39"/>
    <w:rsid w:val="000C0D67"/>
    <w:rsid w:val="00222B45"/>
    <w:rsid w:val="008F48A7"/>
    <w:rsid w:val="00A0648A"/>
    <w:rsid w:val="00C05557"/>
    <w:rsid w:val="00DE55EB"/>
    <w:rsid w:val="0105472C"/>
    <w:rsid w:val="01457469"/>
    <w:rsid w:val="014C2442"/>
    <w:rsid w:val="01630975"/>
    <w:rsid w:val="016C1863"/>
    <w:rsid w:val="01885FDD"/>
    <w:rsid w:val="019C3329"/>
    <w:rsid w:val="01B51D18"/>
    <w:rsid w:val="01B86C7F"/>
    <w:rsid w:val="01F440B7"/>
    <w:rsid w:val="02027BF4"/>
    <w:rsid w:val="02110CF8"/>
    <w:rsid w:val="02AF5F07"/>
    <w:rsid w:val="02B57E67"/>
    <w:rsid w:val="032F34AF"/>
    <w:rsid w:val="034F1899"/>
    <w:rsid w:val="03B00232"/>
    <w:rsid w:val="03CA19A8"/>
    <w:rsid w:val="03DC0926"/>
    <w:rsid w:val="03FE20AF"/>
    <w:rsid w:val="04021A22"/>
    <w:rsid w:val="0418144F"/>
    <w:rsid w:val="04AF486A"/>
    <w:rsid w:val="04B944C7"/>
    <w:rsid w:val="05371B2A"/>
    <w:rsid w:val="0537511C"/>
    <w:rsid w:val="058D3483"/>
    <w:rsid w:val="05BC0BF8"/>
    <w:rsid w:val="05BE6E9B"/>
    <w:rsid w:val="066034DA"/>
    <w:rsid w:val="066E1F8C"/>
    <w:rsid w:val="06A27BF1"/>
    <w:rsid w:val="06CB2CA8"/>
    <w:rsid w:val="06E236C9"/>
    <w:rsid w:val="06FC6373"/>
    <w:rsid w:val="07716FC5"/>
    <w:rsid w:val="077768FB"/>
    <w:rsid w:val="079B7937"/>
    <w:rsid w:val="08B8037D"/>
    <w:rsid w:val="08C109C0"/>
    <w:rsid w:val="08D30DA5"/>
    <w:rsid w:val="09312A54"/>
    <w:rsid w:val="09555973"/>
    <w:rsid w:val="099A78CF"/>
    <w:rsid w:val="09A20C80"/>
    <w:rsid w:val="0A2D1250"/>
    <w:rsid w:val="0AD054CA"/>
    <w:rsid w:val="0B044923"/>
    <w:rsid w:val="0B3166EB"/>
    <w:rsid w:val="0B4B3C48"/>
    <w:rsid w:val="0B752658"/>
    <w:rsid w:val="0B8D1EAF"/>
    <w:rsid w:val="0BA13D00"/>
    <w:rsid w:val="0BA733FC"/>
    <w:rsid w:val="0BF83E31"/>
    <w:rsid w:val="0C1868D1"/>
    <w:rsid w:val="0CA376FE"/>
    <w:rsid w:val="0CE507DA"/>
    <w:rsid w:val="0D377E75"/>
    <w:rsid w:val="0D4800D9"/>
    <w:rsid w:val="0D5605EF"/>
    <w:rsid w:val="0D6D1CF6"/>
    <w:rsid w:val="0D8C1DAA"/>
    <w:rsid w:val="0E1518A1"/>
    <w:rsid w:val="0E1E25B6"/>
    <w:rsid w:val="0E3F7627"/>
    <w:rsid w:val="0E70025A"/>
    <w:rsid w:val="0E8C5FF9"/>
    <w:rsid w:val="0E982CE8"/>
    <w:rsid w:val="0ED501AD"/>
    <w:rsid w:val="0EF231D3"/>
    <w:rsid w:val="0EFC7F25"/>
    <w:rsid w:val="0F78156E"/>
    <w:rsid w:val="0FCB6166"/>
    <w:rsid w:val="0FEC0DFC"/>
    <w:rsid w:val="102342D5"/>
    <w:rsid w:val="103B0824"/>
    <w:rsid w:val="10441FC9"/>
    <w:rsid w:val="10895559"/>
    <w:rsid w:val="108E3427"/>
    <w:rsid w:val="10CF30B3"/>
    <w:rsid w:val="11C17160"/>
    <w:rsid w:val="11D0690B"/>
    <w:rsid w:val="129964E4"/>
    <w:rsid w:val="129A3A0C"/>
    <w:rsid w:val="12C31F3B"/>
    <w:rsid w:val="142118CB"/>
    <w:rsid w:val="14582DB8"/>
    <w:rsid w:val="14842AF8"/>
    <w:rsid w:val="14C645AA"/>
    <w:rsid w:val="14D46EE9"/>
    <w:rsid w:val="15897ECC"/>
    <w:rsid w:val="15CE7BFA"/>
    <w:rsid w:val="168632DD"/>
    <w:rsid w:val="16866A87"/>
    <w:rsid w:val="16FD0446"/>
    <w:rsid w:val="17371532"/>
    <w:rsid w:val="1876442F"/>
    <w:rsid w:val="18845835"/>
    <w:rsid w:val="188979C3"/>
    <w:rsid w:val="191B1996"/>
    <w:rsid w:val="1958461E"/>
    <w:rsid w:val="19F2719F"/>
    <w:rsid w:val="19F426A2"/>
    <w:rsid w:val="19F83BEC"/>
    <w:rsid w:val="19FD2812"/>
    <w:rsid w:val="1A717C3A"/>
    <w:rsid w:val="1B2F6F4E"/>
    <w:rsid w:val="1B6A0F8A"/>
    <w:rsid w:val="1BC86DFF"/>
    <w:rsid w:val="1BD81A35"/>
    <w:rsid w:val="1D3044E5"/>
    <w:rsid w:val="1D4A2F5B"/>
    <w:rsid w:val="1D6357BE"/>
    <w:rsid w:val="1D835ABE"/>
    <w:rsid w:val="1D906CE1"/>
    <w:rsid w:val="1DAC6342"/>
    <w:rsid w:val="1E2E44E7"/>
    <w:rsid w:val="1E333F6A"/>
    <w:rsid w:val="1E924213"/>
    <w:rsid w:val="1EC17A9D"/>
    <w:rsid w:val="1F555068"/>
    <w:rsid w:val="1FDD48E0"/>
    <w:rsid w:val="201479B0"/>
    <w:rsid w:val="201F0788"/>
    <w:rsid w:val="20633032"/>
    <w:rsid w:val="20AB4A54"/>
    <w:rsid w:val="20B764F1"/>
    <w:rsid w:val="212C6012"/>
    <w:rsid w:val="2187050F"/>
    <w:rsid w:val="218C2EE9"/>
    <w:rsid w:val="218D67AF"/>
    <w:rsid w:val="225563C4"/>
    <w:rsid w:val="22EC5858"/>
    <w:rsid w:val="23593C8E"/>
    <w:rsid w:val="24747913"/>
    <w:rsid w:val="24D41DA5"/>
    <w:rsid w:val="25223279"/>
    <w:rsid w:val="252C0BFF"/>
    <w:rsid w:val="25BE4B99"/>
    <w:rsid w:val="25D826DD"/>
    <w:rsid w:val="25E023B3"/>
    <w:rsid w:val="25E25090"/>
    <w:rsid w:val="261D6994"/>
    <w:rsid w:val="26285DB1"/>
    <w:rsid w:val="26945036"/>
    <w:rsid w:val="27374F25"/>
    <w:rsid w:val="27615D27"/>
    <w:rsid w:val="2808546B"/>
    <w:rsid w:val="280B61C0"/>
    <w:rsid w:val="282B48ED"/>
    <w:rsid w:val="28521D7E"/>
    <w:rsid w:val="28E506E8"/>
    <w:rsid w:val="291D5E12"/>
    <w:rsid w:val="29B15C84"/>
    <w:rsid w:val="2A1921BC"/>
    <w:rsid w:val="2AA57505"/>
    <w:rsid w:val="2AAD001C"/>
    <w:rsid w:val="2B2576D7"/>
    <w:rsid w:val="2B5D713D"/>
    <w:rsid w:val="2BA3549B"/>
    <w:rsid w:val="2C292EE8"/>
    <w:rsid w:val="2C9B6EB0"/>
    <w:rsid w:val="2D063E06"/>
    <w:rsid w:val="2D165068"/>
    <w:rsid w:val="2D2345C3"/>
    <w:rsid w:val="2D4A4E5E"/>
    <w:rsid w:val="2E784C3A"/>
    <w:rsid w:val="2EE12975"/>
    <w:rsid w:val="2F642257"/>
    <w:rsid w:val="2F660A7F"/>
    <w:rsid w:val="2FBB13DF"/>
    <w:rsid w:val="301C4C5C"/>
    <w:rsid w:val="302C2998"/>
    <w:rsid w:val="30702CF3"/>
    <w:rsid w:val="30A60FDC"/>
    <w:rsid w:val="31673974"/>
    <w:rsid w:val="317342A3"/>
    <w:rsid w:val="32114347"/>
    <w:rsid w:val="322B0542"/>
    <w:rsid w:val="32E4768D"/>
    <w:rsid w:val="3417368F"/>
    <w:rsid w:val="34812513"/>
    <w:rsid w:val="34B67532"/>
    <w:rsid w:val="34BB3A10"/>
    <w:rsid w:val="34BC4DC2"/>
    <w:rsid w:val="34D279B7"/>
    <w:rsid w:val="34E77BE5"/>
    <w:rsid w:val="352D48C0"/>
    <w:rsid w:val="356460DC"/>
    <w:rsid w:val="35D772BD"/>
    <w:rsid w:val="37090CD6"/>
    <w:rsid w:val="38A17D33"/>
    <w:rsid w:val="38A36879"/>
    <w:rsid w:val="38E54012"/>
    <w:rsid w:val="390B3F2E"/>
    <w:rsid w:val="391E4EFE"/>
    <w:rsid w:val="3955535C"/>
    <w:rsid w:val="399B4BCE"/>
    <w:rsid w:val="39BB40E5"/>
    <w:rsid w:val="39CF638B"/>
    <w:rsid w:val="3A014237"/>
    <w:rsid w:val="3AA51415"/>
    <w:rsid w:val="3C1F0B07"/>
    <w:rsid w:val="3CC91C33"/>
    <w:rsid w:val="3CD0070F"/>
    <w:rsid w:val="3CD249E3"/>
    <w:rsid w:val="3CEA17F6"/>
    <w:rsid w:val="3D642BCD"/>
    <w:rsid w:val="3DA47C31"/>
    <w:rsid w:val="3DB26881"/>
    <w:rsid w:val="3E6E464D"/>
    <w:rsid w:val="3EE35E8A"/>
    <w:rsid w:val="3F7755AE"/>
    <w:rsid w:val="3FDD4DB5"/>
    <w:rsid w:val="3FF55DC1"/>
    <w:rsid w:val="403B4F3B"/>
    <w:rsid w:val="405603D8"/>
    <w:rsid w:val="40D87E63"/>
    <w:rsid w:val="41806235"/>
    <w:rsid w:val="41920333"/>
    <w:rsid w:val="41D03DC2"/>
    <w:rsid w:val="42790B27"/>
    <w:rsid w:val="427E2D85"/>
    <w:rsid w:val="43565063"/>
    <w:rsid w:val="435E3AF3"/>
    <w:rsid w:val="43AA61CA"/>
    <w:rsid w:val="44545407"/>
    <w:rsid w:val="44FF683E"/>
    <w:rsid w:val="4507764A"/>
    <w:rsid w:val="454B2225"/>
    <w:rsid w:val="45892025"/>
    <w:rsid w:val="45FD6187"/>
    <w:rsid w:val="46084AF2"/>
    <w:rsid w:val="46357BC6"/>
    <w:rsid w:val="46A500BF"/>
    <w:rsid w:val="4706451D"/>
    <w:rsid w:val="4708379A"/>
    <w:rsid w:val="478974CA"/>
    <w:rsid w:val="47B70BA3"/>
    <w:rsid w:val="47DC3348"/>
    <w:rsid w:val="49304CE2"/>
    <w:rsid w:val="4AA31BD1"/>
    <w:rsid w:val="4B1D3732"/>
    <w:rsid w:val="4B2B4837"/>
    <w:rsid w:val="4B370461"/>
    <w:rsid w:val="4C1D68B0"/>
    <w:rsid w:val="4C544BC7"/>
    <w:rsid w:val="4CE45131"/>
    <w:rsid w:val="4CF621D2"/>
    <w:rsid w:val="4D221D9C"/>
    <w:rsid w:val="4D3B0164"/>
    <w:rsid w:val="4D914EFC"/>
    <w:rsid w:val="4E6B02FD"/>
    <w:rsid w:val="4EA81E38"/>
    <w:rsid w:val="4EF94AC3"/>
    <w:rsid w:val="4EFE0DA9"/>
    <w:rsid w:val="4F334FFF"/>
    <w:rsid w:val="4F581E5B"/>
    <w:rsid w:val="4F6A5098"/>
    <w:rsid w:val="4F8C5821"/>
    <w:rsid w:val="4F8C5C02"/>
    <w:rsid w:val="4FBE2059"/>
    <w:rsid w:val="4FE21E3E"/>
    <w:rsid w:val="50897987"/>
    <w:rsid w:val="50B84DFB"/>
    <w:rsid w:val="50C26E7C"/>
    <w:rsid w:val="514B23EB"/>
    <w:rsid w:val="515D5589"/>
    <w:rsid w:val="51922560"/>
    <w:rsid w:val="525E6F8F"/>
    <w:rsid w:val="52CB057E"/>
    <w:rsid w:val="53004553"/>
    <w:rsid w:val="535D6C3B"/>
    <w:rsid w:val="536612C6"/>
    <w:rsid w:val="54764971"/>
    <w:rsid w:val="54982400"/>
    <w:rsid w:val="54AF6DFD"/>
    <w:rsid w:val="54F46459"/>
    <w:rsid w:val="55201AD0"/>
    <w:rsid w:val="558E0125"/>
    <w:rsid w:val="55F133C1"/>
    <w:rsid w:val="55F55CFB"/>
    <w:rsid w:val="56206DD9"/>
    <w:rsid w:val="56216D7B"/>
    <w:rsid w:val="565C63D6"/>
    <w:rsid w:val="565D343D"/>
    <w:rsid w:val="56825922"/>
    <w:rsid w:val="573026AA"/>
    <w:rsid w:val="575C71FF"/>
    <w:rsid w:val="5765708C"/>
    <w:rsid w:val="57736809"/>
    <w:rsid w:val="57A336F8"/>
    <w:rsid w:val="57D067BD"/>
    <w:rsid w:val="57D44803"/>
    <w:rsid w:val="58684F91"/>
    <w:rsid w:val="58DE42EE"/>
    <w:rsid w:val="58E67648"/>
    <w:rsid w:val="58E86435"/>
    <w:rsid w:val="58F522C5"/>
    <w:rsid w:val="59240279"/>
    <w:rsid w:val="59A41176"/>
    <w:rsid w:val="59C04E8F"/>
    <w:rsid w:val="59FF3B7C"/>
    <w:rsid w:val="5A7C48C2"/>
    <w:rsid w:val="5B0C3C5C"/>
    <w:rsid w:val="5B1F7A39"/>
    <w:rsid w:val="5B203C59"/>
    <w:rsid w:val="5B596DD3"/>
    <w:rsid w:val="5B79451F"/>
    <w:rsid w:val="5BDA79C2"/>
    <w:rsid w:val="5BE31267"/>
    <w:rsid w:val="5C1D00AB"/>
    <w:rsid w:val="5C813C0A"/>
    <w:rsid w:val="5C8F4D96"/>
    <w:rsid w:val="5D84417A"/>
    <w:rsid w:val="5DB306A6"/>
    <w:rsid w:val="5E0F1DD2"/>
    <w:rsid w:val="5F0F1EB2"/>
    <w:rsid w:val="5F570541"/>
    <w:rsid w:val="5FC70EB1"/>
    <w:rsid w:val="6016128F"/>
    <w:rsid w:val="60425CA8"/>
    <w:rsid w:val="60446048"/>
    <w:rsid w:val="6098059B"/>
    <w:rsid w:val="60B65EFA"/>
    <w:rsid w:val="60C1494C"/>
    <w:rsid w:val="611F2AAF"/>
    <w:rsid w:val="61250DED"/>
    <w:rsid w:val="613C1A16"/>
    <w:rsid w:val="613E75F5"/>
    <w:rsid w:val="614D672E"/>
    <w:rsid w:val="61694BD1"/>
    <w:rsid w:val="6173696E"/>
    <w:rsid w:val="619E54DB"/>
    <w:rsid w:val="629F1E28"/>
    <w:rsid w:val="62BF22A8"/>
    <w:rsid w:val="63B401A2"/>
    <w:rsid w:val="646E2AD5"/>
    <w:rsid w:val="646E5E05"/>
    <w:rsid w:val="64941109"/>
    <w:rsid w:val="64EB3F99"/>
    <w:rsid w:val="65696B12"/>
    <w:rsid w:val="664B3B29"/>
    <w:rsid w:val="66D14050"/>
    <w:rsid w:val="674D4C9E"/>
    <w:rsid w:val="67517E13"/>
    <w:rsid w:val="68515557"/>
    <w:rsid w:val="686065CC"/>
    <w:rsid w:val="6886741B"/>
    <w:rsid w:val="69B1759B"/>
    <w:rsid w:val="6A3938D4"/>
    <w:rsid w:val="6AD956DB"/>
    <w:rsid w:val="6B1524D1"/>
    <w:rsid w:val="6B211820"/>
    <w:rsid w:val="6B5862AA"/>
    <w:rsid w:val="6BAA2154"/>
    <w:rsid w:val="6BC86FE2"/>
    <w:rsid w:val="6C06486F"/>
    <w:rsid w:val="6C072801"/>
    <w:rsid w:val="6C1A3DE9"/>
    <w:rsid w:val="6C340216"/>
    <w:rsid w:val="6DC30922"/>
    <w:rsid w:val="6DE40E56"/>
    <w:rsid w:val="6E200CBB"/>
    <w:rsid w:val="6E9338DB"/>
    <w:rsid w:val="6EBB0EBA"/>
    <w:rsid w:val="6F2236F7"/>
    <w:rsid w:val="6F6B34E8"/>
    <w:rsid w:val="6FF85C4A"/>
    <w:rsid w:val="6FFB2C9C"/>
    <w:rsid w:val="705F156B"/>
    <w:rsid w:val="70A2077B"/>
    <w:rsid w:val="70E03929"/>
    <w:rsid w:val="70EA11CE"/>
    <w:rsid w:val="71243B52"/>
    <w:rsid w:val="716A6042"/>
    <w:rsid w:val="721C3EE7"/>
    <w:rsid w:val="723F3FFF"/>
    <w:rsid w:val="72646C38"/>
    <w:rsid w:val="72AC4633"/>
    <w:rsid w:val="72BA3A58"/>
    <w:rsid w:val="72BC100D"/>
    <w:rsid w:val="734801F8"/>
    <w:rsid w:val="73C43DFB"/>
    <w:rsid w:val="73D1105F"/>
    <w:rsid w:val="74B4693F"/>
    <w:rsid w:val="74DB4F33"/>
    <w:rsid w:val="74FB517C"/>
    <w:rsid w:val="75000AE1"/>
    <w:rsid w:val="759E113C"/>
    <w:rsid w:val="75AB4EDB"/>
    <w:rsid w:val="75D77FE2"/>
    <w:rsid w:val="766841BB"/>
    <w:rsid w:val="76E81647"/>
    <w:rsid w:val="77824491"/>
    <w:rsid w:val="779546A4"/>
    <w:rsid w:val="77A47413"/>
    <w:rsid w:val="77EC1A8E"/>
    <w:rsid w:val="78152E10"/>
    <w:rsid w:val="783223C0"/>
    <w:rsid w:val="78722C21"/>
    <w:rsid w:val="793A2BF2"/>
    <w:rsid w:val="7982520A"/>
    <w:rsid w:val="79B53AA7"/>
    <w:rsid w:val="79C627D6"/>
    <w:rsid w:val="7B3D3E06"/>
    <w:rsid w:val="7BE86FD9"/>
    <w:rsid w:val="7C41270E"/>
    <w:rsid w:val="7CBD0367"/>
    <w:rsid w:val="7D08162E"/>
    <w:rsid w:val="7D38737D"/>
    <w:rsid w:val="7EC37FF0"/>
    <w:rsid w:val="7EF511DA"/>
    <w:rsid w:val="7F0C3174"/>
    <w:rsid w:val="7F47020C"/>
    <w:rsid w:val="7F9E6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2"/>
    <w:basedOn w:val="1"/>
    <w:next w:val="1"/>
    <w:qFormat/>
    <w:uiPriority w:val="0"/>
    <w:pPr>
      <w:ind w:left="420" w:leftChars="200"/>
    </w:p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正文首行缩进 21"/>
    <w:basedOn w:val="13"/>
    <w:qFormat/>
    <w:uiPriority w:val="0"/>
    <w:pPr>
      <w:ind w:firstLine="420" w:firstLineChars="200"/>
    </w:pPr>
  </w:style>
  <w:style w:type="paragraph" w:customStyle="1" w:styleId="13">
    <w:name w:val="正文文本缩进1"/>
    <w:basedOn w:val="1"/>
    <w:qFormat/>
    <w:uiPriority w:val="0"/>
    <w:pPr>
      <w:ind w:left="420" w:left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24037;&#19994;&#22686;&#36895;&#26368;&#2603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49396081947989"/>
          <c:y val="0.0299956840742339"/>
          <c:w val="0.870236842105263"/>
          <c:h val="0.59337962962963"/>
        </c:manualLayout>
      </c:layout>
      <c:barChart>
        <c:barDir val="col"/>
        <c:grouping val="clustered"/>
        <c:varyColors val="0"/>
        <c:ser>
          <c:idx val="0"/>
          <c:order val="0"/>
          <c:tx>
            <c:strRef>
              <c:f>[工业增速最新.xls]Sheet2!$B$1</c:f>
              <c:strCache>
                <c:ptCount val="1"/>
                <c:pt idx="0">
                  <c:v>绝对量（亿元）</c:v>
                </c:pt>
              </c:strCache>
            </c:strRef>
          </c:tx>
          <c:spPr>
            <a:solidFill>
              <a:schemeClr val="accent1">
                <a:lumMod val="40000"/>
                <a:lumOff val="60000"/>
              </a:schemeClr>
            </a:solidFill>
            <a:ln>
              <a:noFill/>
            </a:ln>
            <a:effectLst/>
          </c:spPr>
          <c:invertIfNegative val="0"/>
          <c:dLbls>
            <c:dLbl>
              <c:idx val="0"/>
              <c:layout>
                <c:manualLayout>
                  <c:x val="0.00196592398427261"/>
                  <c:y val="-0.087397496763055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96592398427261"/>
                  <c:y val="-0.090634441087613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12700" cmpd="sng">
                <a:solidFill>
                  <a:schemeClr val="accent1"/>
                </a:solidFill>
                <a:prstDash val="sysDot"/>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[工业增速最新.xls]Sheet2!$A$2:$A$9</c:f>
              <c:strCache>
                <c:ptCount val="8"/>
                <c:pt idx="0">
                  <c:v>昌吉市</c:v>
                </c:pt>
                <c:pt idx="1">
                  <c:v>准东开发区</c:v>
                </c:pt>
                <c:pt idx="2">
                  <c:v>阜康市</c:v>
                </c:pt>
                <c:pt idx="3">
                  <c:v>呼图壁县</c:v>
                </c:pt>
                <c:pt idx="4">
                  <c:v>玛纳斯县</c:v>
                </c:pt>
                <c:pt idx="5">
                  <c:v>奇台县</c:v>
                </c:pt>
                <c:pt idx="6">
                  <c:v>吉木萨尔县</c:v>
                </c:pt>
                <c:pt idx="7">
                  <c:v>木垒县</c:v>
                </c:pt>
              </c:strCache>
            </c:strRef>
          </c:cat>
          <c:val>
            <c:numRef>
              <c:f>[工业增速最新.xls]Sheet2!$B$2:$B$9</c:f>
              <c:numCache>
                <c:formatCode>0.00_ </c:formatCode>
                <c:ptCount val="8"/>
                <c:pt idx="0">
                  <c:v>387.28</c:v>
                </c:pt>
                <c:pt idx="1">
                  <c:v>380.78</c:v>
                </c:pt>
                <c:pt idx="2">
                  <c:v>138.45</c:v>
                </c:pt>
                <c:pt idx="3">
                  <c:v>76.3</c:v>
                </c:pt>
                <c:pt idx="4">
                  <c:v>97.1</c:v>
                </c:pt>
                <c:pt idx="5">
                  <c:v>79.54</c:v>
                </c:pt>
                <c:pt idx="6">
                  <c:v>35.67</c:v>
                </c:pt>
                <c:pt idx="7">
                  <c:v>58.46</c:v>
                </c:pt>
              </c:numCache>
            </c:numRef>
          </c:val>
        </c:ser>
        <c:dLbls>
          <c:showLegendKey val="0"/>
          <c:showVal val="0"/>
          <c:showCatName val="0"/>
          <c:showSerName val="0"/>
          <c:showPercent val="0"/>
          <c:showBubbleSize val="0"/>
        </c:dLbls>
        <c:gapWidth val="219"/>
        <c:overlap val="-27"/>
        <c:axId val="887136113"/>
        <c:axId val="389171744"/>
      </c:barChart>
      <c:lineChart>
        <c:grouping val="standard"/>
        <c:varyColors val="0"/>
        <c:ser>
          <c:idx val="1"/>
          <c:order val="1"/>
          <c:tx>
            <c:strRef>
              <c:f>[工业增速最新.xls]Sheet2!$C$1</c:f>
              <c:strCache>
                <c:ptCount val="1"/>
                <c:pt idx="0">
                  <c:v>增速（%）</c:v>
                </c:pt>
              </c:strCache>
            </c:strRef>
          </c:tx>
          <c:spPr>
            <a:ln w="28575" cap="rnd" cmpd="sng" algn="ctr">
              <a:solidFill>
                <a:schemeClr val="accent2">
                  <a:lumMod val="40000"/>
                  <a:lumOff val="60000"/>
                </a:schemeClr>
              </a:solidFill>
              <a:prstDash val="solid"/>
              <a:round/>
            </a:ln>
            <a:effectLst/>
          </c:spPr>
          <c:marker>
            <c:symbol val="none"/>
          </c:marker>
          <c:dLbls>
            <c:dLbl>
              <c:idx val="0"/>
              <c:layout>
                <c:manualLayout>
                  <c:x val="-0.0530799475753604"/>
                  <c:y val="-0.012947777298230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5045871559633"/>
                  <c:y val="0.048554164868364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335526315789474"/>
                  <c:y val="-0.027777777777777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798785955714974"/>
                  <c:y val="-0.01041666666666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75"/>
                  <c:y val="-0.042429446602407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295897427053873"/>
                  <c:y val="-0.0679758308157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260536662757812"/>
                  <c:y val="-0.045552498441471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[工业增速最新.xls]Sheet2!$A$2:$A$9</c:f>
              <c:strCache>
                <c:ptCount val="8"/>
                <c:pt idx="0">
                  <c:v>昌吉市</c:v>
                </c:pt>
                <c:pt idx="1">
                  <c:v>准东开发区</c:v>
                </c:pt>
                <c:pt idx="2">
                  <c:v>阜康市</c:v>
                </c:pt>
                <c:pt idx="3">
                  <c:v>呼图壁县</c:v>
                </c:pt>
                <c:pt idx="4">
                  <c:v>玛纳斯县</c:v>
                </c:pt>
                <c:pt idx="5">
                  <c:v>奇台县</c:v>
                </c:pt>
                <c:pt idx="6">
                  <c:v>吉木萨尔县</c:v>
                </c:pt>
                <c:pt idx="7">
                  <c:v>木垒县</c:v>
                </c:pt>
              </c:strCache>
            </c:strRef>
          </c:cat>
          <c:val>
            <c:numRef>
              <c:f>[工业增速最新.xls]Sheet2!$C$2:$C$9</c:f>
              <c:numCache>
                <c:formatCode>0.0_ </c:formatCode>
                <c:ptCount val="8"/>
                <c:pt idx="0">
                  <c:v>5</c:v>
                </c:pt>
                <c:pt idx="1">
                  <c:v>5.8</c:v>
                </c:pt>
                <c:pt idx="2">
                  <c:v>1.3</c:v>
                </c:pt>
                <c:pt idx="3">
                  <c:v>-2.1</c:v>
                </c:pt>
                <c:pt idx="4">
                  <c:v>4.9</c:v>
                </c:pt>
                <c:pt idx="5">
                  <c:v>4.1</c:v>
                </c:pt>
                <c:pt idx="6">
                  <c:v>3</c:v>
                </c:pt>
                <c:pt idx="7">
                  <c:v>6.7</c:v>
                </c:pt>
              </c:numCache>
            </c:numRef>
          </c:val>
          <c:smooth val="0"/>
        </c:ser>
        <c:dLbls>
          <c:showLegendKey val="0"/>
          <c:showVal val="0"/>
          <c:showCatName val="0"/>
          <c:showSerName val="0"/>
          <c:showPercent val="0"/>
          <c:showBubbleSize val="0"/>
        </c:dLbls>
        <c:marker val="0"/>
        <c:smooth val="0"/>
        <c:axId val="799630275"/>
        <c:axId val="656552366"/>
      </c:lineChart>
      <c:catAx>
        <c:axId val="88713611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9171744"/>
        <c:crosses val="autoZero"/>
        <c:auto val="1"/>
        <c:lblAlgn val="ctr"/>
        <c:lblOffset val="100"/>
        <c:noMultiLvlLbl val="0"/>
      </c:catAx>
      <c:valAx>
        <c:axId val="389171744"/>
        <c:scaling>
          <c:orientation val="minMax"/>
          <c:max val="800"/>
          <c:min val="0"/>
        </c:scaling>
        <c:delete val="0"/>
        <c:axPos val="l"/>
        <c:majorGridlines>
          <c:spPr>
            <a:ln w="9525" cap="flat" cmpd="sng" algn="ctr">
              <a:solidFill>
                <a:schemeClr val="lt1">
                  <a:lumMod val="90200"/>
                </a:schemeClr>
              </a:solidFill>
              <a:prstDash val="solid"/>
              <a:round/>
            </a:ln>
            <a:effectLst/>
          </c:spPr>
        </c:majorGridlines>
        <c:numFmt formatCode="0.00_ "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136113"/>
        <c:crosses val="autoZero"/>
        <c:crossBetween val="between"/>
        <c:majorUnit val="100"/>
      </c:valAx>
      <c:catAx>
        <c:axId val="799630275"/>
        <c:scaling>
          <c:orientation val="minMax"/>
        </c:scaling>
        <c:delete val="1"/>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595959">
                    <a:alpha val="100000"/>
                  </a:srgbClr>
                </a:solidFill>
                <a:latin typeface="+mn-lt"/>
                <a:ea typeface="+mn-ea"/>
                <a:cs typeface="+mn-cs"/>
              </a:defRPr>
            </a:pPr>
          </a:p>
        </c:txPr>
        <c:crossAx val="656552366"/>
        <c:crosses val="autoZero"/>
        <c:auto val="1"/>
        <c:lblAlgn val="ctr"/>
        <c:lblOffset val="100"/>
        <c:noMultiLvlLbl val="0"/>
      </c:catAx>
      <c:valAx>
        <c:axId val="656552366"/>
        <c:scaling>
          <c:orientation val="minMax"/>
          <c:max val="11"/>
        </c:scaling>
        <c:delete val="0"/>
        <c:axPos val="r"/>
        <c:numFmt formatCode="0.0_ " sourceLinked="1"/>
        <c:majorTickMark val="out"/>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9630275"/>
        <c:crosses val="max"/>
        <c:crossBetween val="between"/>
        <c:majorUnit val="2"/>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b2a8d92-7dcf-4897-b27b-926541e69eec}"/>
      </c:ext>
    </c:extLst>
  </c:chart>
  <c:spPr>
    <a:solidFill>
      <a:schemeClr val="bg1"/>
    </a:solidFill>
    <a:ln w="12700" cap="flat" cmpd="sng" algn="ctr">
      <a:noFill/>
      <a:prstDash val="sysDot"/>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6</TotalTime>
  <ScaleCrop>false</ScaleCrop>
  <LinksUpToDate>false</LinksUpToDate>
  <CharactersWithSpaces>0</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2025-03-10T10:26:00Z</dcterms:created>
  <dc:creator>Administrator</dc:creator>
  <cp:lastModifiedBy>lenovo</cp:lastModifiedBy>
  <cp:lastPrinted>2026-07-21T02:24:00Z</cp:lastPrinted>
  <dcterms:modified xsi:type="dcterms:W3CDTF">2026-07-24T09:51:37Z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A0DA199451794D15BB836413172ABA18_13</vt:lpwstr>
  </property>
</Properties>
</file>