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81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72B32"/>
          <w:spacing w:val="0"/>
          <w:sz w:val="33"/>
          <w:szCs w:val="33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272B32"/>
          <w:spacing w:val="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关于印发奇台县农田残膜治理十条措施的通知</w:t>
      </w:r>
      <w:bookmarkEnd w:id="0"/>
    </w:p>
    <w:p w14:paraId="0838BF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奇政办规〔2026〕2号</w:t>
      </w:r>
    </w:p>
    <w:p w14:paraId="3D6A3C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各乡镇人民政府，各有关单位：</w:t>
      </w:r>
    </w:p>
    <w:p w14:paraId="4D8812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《奇台县农田残膜治理十条措施》已经奇台县第十八届人民政府第74次常务会议审议通过，现印发你们，请认真贯彻执行。</w:t>
      </w:r>
    </w:p>
    <w:p w14:paraId="71443F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奇台县人民政府办公室</w:t>
      </w:r>
    </w:p>
    <w:p w14:paraId="06EF30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2026年4月9日     </w:t>
      </w:r>
    </w:p>
    <w:p w14:paraId="721F61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奇台县农田残膜治理十条措施</w:t>
      </w:r>
    </w:p>
    <w:p w14:paraId="0C60C1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为进一步加强农田残膜治理，防治农业面源污染，保护农业生态环境，推进农业绿色高质量发展，持续巩固提升中央生态环保督察反馈问题整改成效，结合我县实际，制定本措施。</w:t>
      </w:r>
    </w:p>
    <w:p w14:paraId="08A93D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一、明确回收主体。严格按照《新疆维吾尔自治区农田地膜管理条例》相关规定，全面落实“谁污染谁治理、谁使用谁回收”原则。乡（镇）、村两级切实履行属地监管责任，建立农田残膜回收定期监测和春秋播前专项验收工作机制。将残膜回收履约金纳入土地承包经营合同或土地经营权流转合同，并规范收缴残膜回收履约金，确保经农村土地流转交易大厅流转的土地残膜回收履约金收缴率达100%。因地制宜做好农民承包地、国有农用地残膜回收履约金的收缴，确保残膜回收有资金保障。</w:t>
      </w:r>
    </w:p>
    <w:p w14:paraId="2EF6E5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二、推广替代技术。聚焦源头减量，分类推进地膜替代与技术升级。优先在玉米等难以回收作物上规模化推广全生物降解地膜，确保降解性能与作物生长期匹配，从源头减少残膜残留。在水资源保障充足区域，大力推广无膜种植技术，通过典型引领建立无膜示范区，逐步降低地膜依赖度，减少后期治理成本。</w:t>
      </w:r>
    </w:p>
    <w:p w14:paraId="2B18EF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三、规范验收流程。按照“不收膜不犁地、不收膜不补贴” 原则，实行农户、农机经营者、村委会、乡（镇）四方联动验收制度。农户自行或委托第三方回收残膜，农机经营者保证回收质量，村委会全覆盖核验，乡（镇）负责最终认定。验收合格的出具凭证，不合格的限期整改，未完成整改不得犁地、不予补贴。</w:t>
      </w:r>
    </w:p>
    <w:p w14:paraId="5C173E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四、强化宣传培训。将生态卫士职责纳入村规民约，把《中华人民共和国土壤污染防治法》《新疆维吾尔自治区农田地膜管理条例》等纳入高素质农民培育核心内容，重点培训标准化用膜、适期揭膜等关键技术，切实提升农民规范回收残膜实操能力。依托线上线下多渠道开展治理宣传活动，凝聚“污染由千家万户造成、治理需千家万户参与”的共识，推动农田残膜回收成为群众的自觉行为。</w:t>
      </w:r>
    </w:p>
    <w:p w14:paraId="1A4E05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五、管控机械作业。由农业农村局牵头，全面推行农田残膜“两不犁地”管控机制，即地膜未捡拾干净不犁地、地膜未运送至临时堆放点或回收企业堆场不犁地。作业地块须经核验达标方可开展后续农事。强化农机监管，对违规作业的农机户或合作社，列入社会化服务黑名单，取消其承接各类农业项目的资格。</w:t>
      </w:r>
    </w:p>
    <w:p w14:paraId="336252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六、建立挂钩机制。由农业农村局统筹，将残膜回收成效与农业项目补贴政策、乡村振兴项目申报直接挂钩。对未按要求完成残膜回收的村集体、农民专业合作社，取消下一年度农业项目资金补贴申请资格和乡村振兴项目分配资格，列入污染治理“黑名单”，实行重点监管。对拒不履行残膜回收义务的个人、家庭农场等主体，乡（镇）、村不得推荐其享受粮食大面积单产提升、粮食绿色高质高效等相关奖补资金，禁止其在全县范围内参与土地承包流转，不予退还残膜回收保证金，并同步列入污染治理黑名单，形成惩戒有力、监管到位、约束有效的治理合力。</w:t>
      </w:r>
    </w:p>
    <w:p w14:paraId="213F00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七、统筹机械配置。县农业农村局统筹残膜回收机械供需对接工作，引进推广最新款残膜回收机械，组织开展高效回收机械现场演示活动。面向种植大户、合作社推荐优质高效机型。鼓励经营主体自主购机，规范作业流程，推行自主回收模式，切实降低回收成本，推动机械化回收全域覆盖，全面提升回收效率与作业质量。</w:t>
      </w:r>
    </w:p>
    <w:p w14:paraId="211029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八、严格执法监管。提升执法队伍和人员的执法能力水平，加强农田地膜监督检查执法，加强农业农村、生态环境、市场监督等部门的联合执法，加大生产、销售、使用、回收等关键环节检查，严厉查处掩埋焚烧残膜、未回收先犁地、拒不回收残膜等污染耕地行为，持续开展典型案件的警示教育，利用典型案件专题片和曝光立案处理的典型案件进行宣传教育、以案释法、以案示警。</w:t>
      </w:r>
    </w:p>
    <w:p w14:paraId="4F1402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九、完善责任机制。在全县范围内全面实施残膜回收净土工程，将治理地膜污染工作作为社会公益性任务，把治理地膜污染工作作为部门、乡（镇）、村干部履职的重要内容，列入日常工作清单，促使各级领导加强对地膜污染的整治力度。</w:t>
      </w:r>
    </w:p>
    <w:p w14:paraId="4C58E7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72B32"/>
          <w:spacing w:val="0"/>
          <w:sz w:val="19"/>
          <w:szCs w:val="19"/>
          <w:bdr w:val="none" w:color="auto" w:sz="0" w:space="0"/>
          <w:shd w:val="clear" w:fill="FFFFFF"/>
        </w:rPr>
        <w:t>十、优化服务指导。县委农办成立县农田残膜回收指导小组，下沉一线开展技术收指导与进度跟踪，实时掌握各乡镇工作推进情况。对回收进度相对连续滞后的乡镇，由县委、县政府分管领导对乡镇主要领导进行约谈，通过层层传导压力，切实推动残膜回收工作落地见效。</w:t>
      </w:r>
    </w:p>
    <w:p w14:paraId="6DC375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</w:p>
    <w:p w14:paraId="5E9C2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D569F"/>
    <w:rsid w:val="3C1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2026-05-12T11:54:00Z</dcterms:created>
  <dc:creator>Administrator</dc:creator>
  <cp:lastModifiedBy>Administrator</cp:lastModifiedBy>
  <dcterms:modified xsi:type="dcterms:W3CDTF">2026-05-12T11:55:34Z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0D789AF2060A4EF6ABDC9D6A9FDF3976_11</vt:lpwstr>
  </property>
</Properties>
</file>