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项目名称：</w:t>
      </w:r>
      <w:r>
        <w:rPr>
          <w:rFonts w:hint="eastAsia" w:hAnsi="宋体" w:eastAsia="仿宋_GB2312" w:cs="宋体"/>
          <w:color w:val="auto"/>
          <w:kern w:val="0"/>
          <w:sz w:val="36"/>
          <w:szCs w:val="36"/>
          <w:lang w:eastAsia="zh-CN"/>
        </w:rPr>
        <w:t>奇台县路灯电费</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实施单位（公章）：奇台县住房和城乡建设局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主管部门（公章）：奇台县住房和城乡建设局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时念龄</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24</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一）贯彻落实执行国家、自治区、州关于建设事业（包括城市建设、村镇建设、建筑业、工程建设、住宅和房地产业、勘察设计咨询业、市政公用事业等）的方针、政策和法律、法规，研究拟定全县建设事业发展战略和中长期规划，并组织实施；对全县建设事业进行行业管理。</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二）组织实施工程建设实施阶段的国家标准、地方标准、全国统一定额和行业标准；组织制定工程建设实施阶段的全县统一标准、建设工期定额、建设用地指标、经济参数和工程造价管理制度，与县发改委等部门联合发布；监督指导各类工程建设标准定额的实施。</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（三）指导全县建筑业活动，培育规范建筑市场；指导监督建筑市场准入，管理工程招投标、工程监理、工程质量和施工安全；制定勘察、设计、施工监理和相关中介服务管理规章并监督实施。</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四）指导全县城市和村镇建设，负责城市供排水、节水、燃气、热力、市政设施、城市公共客运、园林绿化、市容环卫、等行业管理；负责县境内重点风景名胜区的保护监督工作；指导城市规划区内地下水的开发利用和保护；指导城市市容环境治理和城建监察工作；管理城市建设档案。研究拟定村镇建设发展战略、政策措施并监督实施；组织实施村镇建设试点；指导村镇基础设施建设，指导受灾地区村镇重建和大型建设项目地区的村镇迁建工作。</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（五）指导全县住宅建设和城镇住房制度改革工作；负责住宅和房地产业的行业管理、房屋拆迁管理；指导城镇土地使用权有偿转让和开发利用工作；指导和规范房地产市场。</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（六）负责组织实施各类房屋建筑及其附属设施和城市市政工程的抗震设计规范，审核、审批抗震防灾规划，组织实施抗震加固方案和抗震设防技术改造；指导城市地下空间的开发和利用。</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（七）负责组织编制全县建设行业科技发展战略、中长期规划、重点项目计划；组织建设行业重大科技项目攻关合作交流、技术创新和成果推广应用工作。</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（八）指导和管理建设行业的职工培训和继续教育工作，负责建设系统的社团管理工作。</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（九）负责组织开展建设行业的对外经济技术合作；引导县内企业开拓外地建筑市场和房地产市场，指导协调建设企业对外工程承包和建筑劳务工作。</w:t>
      </w:r>
    </w:p>
    <w:p>
      <w:pPr>
        <w:spacing w:beforeLines="0" w:afterLines="0"/>
        <w:ind w:firstLine="624" w:firstLineChars="200"/>
        <w:jc w:val="left"/>
        <w:rPr>
          <w:rStyle w:val="17"/>
          <w:rFonts w:ascii="楷体" w:hAnsi="楷体" w:eastAsia="楷体"/>
          <w:spacing w:val="-4"/>
          <w:sz w:val="32"/>
          <w:szCs w:val="32"/>
          <w:highlight w:val="yellow"/>
        </w:rPr>
      </w:pPr>
      <w:r>
        <w:rPr>
          <w:rStyle w:val="17"/>
          <w:rFonts w:hint="eastAsia" w:ascii="仿宋" w:hAnsi="仿宋" w:eastAsia="仿宋"/>
          <w:b w:val="0"/>
          <w:spacing w:val="-4"/>
          <w:sz w:val="32"/>
          <w:szCs w:val="32"/>
          <w:highlight w:val="none"/>
          <w:lang w:val="en-US" w:eastAsia="zh-CN"/>
        </w:rPr>
        <w:t>（十）承办县人民政府交办的其他事项。</w:t>
      </w:r>
      <w:r>
        <w:rPr>
          <w:rStyle w:val="17"/>
          <w:rFonts w:hint="eastAsia" w:ascii="楷体" w:hAnsi="楷体" w:eastAsia="楷体"/>
          <w:b w:val="0"/>
          <w:bCs w:val="0"/>
          <w:spacing w:val="-4"/>
          <w:sz w:val="32"/>
          <w:szCs w:val="32"/>
          <w:highlight w:val="none"/>
          <w:lang w:eastAsia="zh-CN"/>
        </w:rPr>
        <w:t>　</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beforeLines="0" w:afterLines="0"/>
        <w:ind w:firstLine="624" w:firstLineChars="200"/>
        <w:jc w:val="left"/>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奇台县路灯电费资金主要用于奇台县城区主次道路路灯电费缴纳，该项目2018年1月起实施，12月完成工程进度100%，该项目资金是保障我县道路路灯照明正常运行，2018年城区主次道路5462盏路灯正常运行。</w:t>
      </w:r>
    </w:p>
    <w:p>
      <w:pPr>
        <w:spacing w:beforeLines="0" w:afterLines="0"/>
        <w:ind w:firstLine="624" w:firstLineChars="200"/>
        <w:jc w:val="left"/>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24" w:firstLineChars="200"/>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奇台县路灯电费，该项目总投入</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316.3329万元，其中县财政拨款安排316.3329万元。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624" w:firstLineChars="200"/>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该项目资金</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316.3329万元，全部用于项目建设。</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24" w:firstLineChars="200"/>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该项目资金管理严格按照奇台县政府投资项目资金拨付审批管理制度执行。</w:t>
      </w:r>
    </w:p>
    <w:p>
      <w:pPr>
        <w:spacing w:line="540" w:lineRule="exact"/>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hint="eastAsia"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640"/>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该项目是保障奇台县城区道路路灯正常运行，2018年共完成城区道路路灯5462盏电费缴纳。</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640"/>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该项目严格按照奇台县电费管理制度缴纳电费。</w:t>
      </w:r>
    </w:p>
    <w:p>
      <w:pPr>
        <w:spacing w:line="540" w:lineRule="exact"/>
        <w:ind w:firstLine="624" w:firstLineChars="20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ind w:firstLine="627" w:firstLineChars="200"/>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624" w:firstLineChars="200"/>
        <w:rPr>
          <w:rStyle w:val="17"/>
          <w:rFonts w:ascii="仿宋" w:hAnsi="仿宋" w:eastAsia="仿宋"/>
          <w:b w:val="0"/>
          <w:color w:val="000000" w:themeColor="text1"/>
          <w:spacing w:val="-4"/>
          <w:sz w:val="32"/>
          <w:szCs w:val="32"/>
          <w:highlight w:val="none"/>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奇台县路灯电费，</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2018年共缴纳城区道路路灯5462盏电费，项目属于公益性建设项目，无收益。项目完成后</w:t>
      </w: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达到设计预期效果。</w:t>
      </w:r>
    </w:p>
    <w:p>
      <w:pPr>
        <w:numPr>
          <w:ilvl w:val="0"/>
          <w:numId w:val="1"/>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项目绩效目标未完成原因分析</w:t>
      </w:r>
    </w:p>
    <w:p>
      <w:pPr>
        <w:numPr>
          <w:ilvl w:val="0"/>
          <w:numId w:val="0"/>
        </w:numPr>
        <w:spacing w:line="540" w:lineRule="exact"/>
        <w:ind w:firstLine="627" w:firstLineChars="200"/>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7" w:firstLineChars="200"/>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Style w:val="17"/>
          <w:rFonts w:hint="eastAsia" w:ascii="仿宋" w:hAnsi="仿宋" w:eastAsia="仿宋"/>
          <w:b w:val="0"/>
          <w:color w:val="auto"/>
          <w:spacing w:val="-4"/>
          <w:sz w:val="32"/>
          <w:szCs w:val="32"/>
          <w:highlight w:val="none"/>
          <w:lang w:eastAsia="zh-CN"/>
        </w:rPr>
      </w:pPr>
      <w:r>
        <w:rPr>
          <w:rStyle w:val="17"/>
          <w:rFonts w:hint="eastAsia" w:ascii="仿宋" w:hAnsi="仿宋" w:eastAsia="仿宋"/>
          <w:b w:val="0"/>
          <w:color w:val="auto"/>
          <w:spacing w:val="-4"/>
          <w:sz w:val="32"/>
          <w:szCs w:val="32"/>
          <w:highlight w:val="none"/>
          <w:lang w:eastAsia="zh-CN"/>
        </w:rPr>
        <w:t>该项目在实施过程中，严格按照电费管理制度。</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numPr>
          <w:ilvl w:val="0"/>
          <w:numId w:val="0"/>
        </w:numPr>
        <w:spacing w:line="540" w:lineRule="exact"/>
        <w:ind w:firstLine="624" w:firstLineChars="200"/>
        <w:rPr>
          <w:rStyle w:val="17"/>
          <w:rFonts w:hint="eastAsia" w:ascii="黑体" w:hAnsi="黑体" w:eastAsia="黑体"/>
          <w:b w:val="0"/>
          <w:color w:val="000000" w:themeColor="text1"/>
          <w:spacing w:val="-4"/>
          <w:sz w:val="32"/>
          <w:szCs w:val="32"/>
          <w:lang w:val="en-US" w:eastAsia="zh-CN"/>
          <w14:textFill>
            <w14:solidFill>
              <w14:schemeClr w14:val="tx1"/>
            </w14:solidFill>
          </w14:textFill>
        </w:rPr>
      </w:pPr>
      <w:r>
        <w:rPr>
          <w:rStyle w:val="17"/>
          <w:rFonts w:hint="eastAsia" w:ascii="仿宋" w:hAnsi="仿宋" w:eastAsia="仿宋"/>
          <w:b w:val="0"/>
          <w:color w:val="auto"/>
          <w:spacing w:val="-4"/>
          <w:sz w:val="32"/>
          <w:szCs w:val="32"/>
          <w:highlight w:val="none"/>
          <w:lang w:val="en-US" w:eastAsia="zh-CN"/>
        </w:rPr>
        <w:t>项目在实施过程中，项目达到预期效果，资金使用合理</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《自治州财政项目支出绩效自评表》</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tbl>
      <w:tblPr>
        <w:tblStyle w:val="19"/>
        <w:tblW w:w="9020" w:type="dxa"/>
        <w:jc w:val="center"/>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jc w:val="center"/>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67" w:hRule="atLeast"/>
          <w:jc w:val="center"/>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奇台县路灯电费</w:t>
            </w:r>
          </w:p>
        </w:tc>
      </w:tr>
      <w:tr>
        <w:tblPrEx>
          <w:tblLayout w:type="fixed"/>
          <w:tblCellMar>
            <w:top w:w="0" w:type="dxa"/>
            <w:left w:w="108" w:type="dxa"/>
            <w:bottom w:w="0" w:type="dxa"/>
            <w:right w:w="108" w:type="dxa"/>
          </w:tblCellMar>
        </w:tblPrEx>
        <w:trPr>
          <w:trHeight w:val="435" w:hRule="atLeast"/>
          <w:jc w:val="center"/>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奇台县住房和城乡建设局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jc w:val="center"/>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316.3329万元</w:t>
            </w:r>
            <w:r>
              <w:rPr>
                <w:rFonts w:hint="eastAsia" w:ascii="宋体" w:hAnsi="宋体" w:cs="宋体"/>
                <w:color w:val="000000" w:themeColor="text1"/>
                <w:kern w:val="0"/>
                <w:sz w:val="20"/>
                <w:szCs w:val="20"/>
                <w14:textFill>
                  <w14:solidFill>
                    <w14:schemeClr w14:val="tx1"/>
                  </w14:solidFill>
                </w14:textFill>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316.3329万元</w:t>
            </w:r>
            <w:r>
              <w:rPr>
                <w:rFonts w:hint="eastAsia" w:ascii="宋体" w:hAnsi="宋体" w:cs="宋体"/>
                <w:color w:val="000000" w:themeColor="text1"/>
                <w:kern w:val="0"/>
                <w:sz w:val="20"/>
                <w:szCs w:val="20"/>
                <w14:textFill>
                  <w14:solidFill>
                    <w14:schemeClr w14:val="tx1"/>
                  </w14:solidFill>
                </w14:textFill>
              </w:rPr>
              <w:t>　</w:t>
            </w:r>
          </w:p>
        </w:tc>
      </w:tr>
      <w:tr>
        <w:tblPrEx>
          <w:tblLayout w:type="fixed"/>
          <w:tblCellMar>
            <w:top w:w="0" w:type="dxa"/>
            <w:left w:w="108" w:type="dxa"/>
            <w:bottom w:w="0" w:type="dxa"/>
            <w:right w:w="108" w:type="dxa"/>
          </w:tblCellMar>
        </w:tblPrEx>
        <w:trPr>
          <w:trHeight w:val="509" w:hRule="atLeas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316.3329万元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316.3329万元</w:t>
            </w:r>
          </w:p>
        </w:tc>
      </w:tr>
      <w:tr>
        <w:tblPrEx>
          <w:tblLayout w:type="fixed"/>
          <w:tblCellMar>
            <w:top w:w="0" w:type="dxa"/>
            <w:left w:w="108" w:type="dxa"/>
            <w:bottom w:w="0" w:type="dxa"/>
            <w:right w:w="108" w:type="dxa"/>
          </w:tblCellMar>
        </w:tblPrEx>
        <w:trPr>
          <w:trHeight w:val="433" w:hRule="atLeas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bookmarkStart w:id="0" w:name="_GoBack"/>
            <w:bookmarkEnd w:id="0"/>
          </w:p>
        </w:tc>
      </w:tr>
      <w:tr>
        <w:tblPrEx>
          <w:tblLayout w:type="fixed"/>
          <w:tblCellMar>
            <w:top w:w="0" w:type="dxa"/>
            <w:left w:w="108" w:type="dxa"/>
            <w:bottom w:w="0" w:type="dxa"/>
            <w:right w:w="108" w:type="dxa"/>
          </w:tblCellMar>
        </w:tblPrEx>
        <w:trPr>
          <w:trHeight w:val="450" w:hRule="atLeast"/>
          <w:jc w:val="center"/>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实际完成目标</w:t>
            </w:r>
          </w:p>
        </w:tc>
      </w:tr>
      <w:tr>
        <w:tblPrEx>
          <w:tblLayout w:type="fixed"/>
          <w:tblCellMar>
            <w:top w:w="0" w:type="dxa"/>
            <w:left w:w="108" w:type="dxa"/>
            <w:bottom w:w="0" w:type="dxa"/>
            <w:right w:w="108" w:type="dxa"/>
          </w:tblCellMar>
        </w:tblPrEx>
        <w:trPr>
          <w:trHeight w:val="1110" w:hRule="atLeas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p>
            <w:pPr>
              <w:widowControl/>
              <w:jc w:val="left"/>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计划完成城区主次道路路灯</w:t>
            </w:r>
            <w:r>
              <w:rPr>
                <w:rFonts w:hint="eastAsia" w:ascii="宋体" w:hAnsi="宋体" w:cs="宋体"/>
                <w:color w:val="000000" w:themeColor="text1"/>
                <w:kern w:val="0"/>
                <w:sz w:val="20"/>
                <w:szCs w:val="20"/>
                <w:lang w:val="en-US" w:eastAsia="zh-CN"/>
                <w14:textFill>
                  <w14:solidFill>
                    <w14:schemeClr w14:val="tx1"/>
                  </w14:solidFill>
                </w14:textFill>
              </w:rPr>
              <w:t>5462盏电费缴纳</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color w:val="000000" w:themeColor="text1"/>
                <w:kern w:val="0"/>
                <w:sz w:val="20"/>
                <w:szCs w:val="20"/>
                <w:lang w:eastAsia="zh-CN"/>
                <w14:textFill>
                  <w14:solidFill>
                    <w14:schemeClr w14:val="tx1"/>
                  </w14:solidFill>
                </w14:textFill>
              </w:rPr>
            </w:pPr>
          </w:p>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eastAsia="zh-CN"/>
                <w14:textFill>
                  <w14:solidFill>
                    <w14:schemeClr w14:val="tx1"/>
                  </w14:solidFill>
                </w14:textFill>
              </w:rPr>
              <w:t>完成完成城区主次道路路灯</w:t>
            </w:r>
            <w:r>
              <w:rPr>
                <w:rFonts w:hint="eastAsia" w:ascii="宋体" w:hAnsi="宋体" w:cs="宋体"/>
                <w:color w:val="000000" w:themeColor="text1"/>
                <w:kern w:val="0"/>
                <w:sz w:val="20"/>
                <w:szCs w:val="20"/>
                <w:lang w:val="en-US" w:eastAsia="zh-CN"/>
                <w14:textFill>
                  <w14:solidFill>
                    <w14:schemeClr w14:val="tx1"/>
                  </w14:solidFill>
                </w14:textFill>
              </w:rPr>
              <w:t>5462盏电费缴纳，完成目标100%</w:t>
            </w:r>
          </w:p>
        </w:tc>
      </w:tr>
      <w:tr>
        <w:tblPrEx>
          <w:tblLayout w:type="fixed"/>
          <w:tblCellMar>
            <w:top w:w="0" w:type="dxa"/>
            <w:left w:w="108" w:type="dxa"/>
            <w:bottom w:w="0" w:type="dxa"/>
            <w:right w:w="108" w:type="dxa"/>
          </w:tblCellMar>
        </w:tblPrEx>
        <w:trPr>
          <w:trHeight w:val="720" w:hRule="atLeast"/>
          <w:jc w:val="center"/>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计划</w:t>
            </w:r>
            <w:r>
              <w:rPr>
                <w:rFonts w:hint="eastAsia" w:ascii="宋体" w:hAnsi="宋体" w:cs="宋体"/>
                <w:color w:val="000000" w:themeColor="text1"/>
                <w:kern w:val="0"/>
                <w:sz w:val="20"/>
                <w:szCs w:val="20"/>
                <w:lang w:eastAsia="zh-CN"/>
                <w14:textFill>
                  <w14:solidFill>
                    <w14:schemeClr w14:val="tx1"/>
                  </w14:solidFill>
                </w14:textFill>
              </w:rPr>
              <w:t>完成城区主次道路路灯</w:t>
            </w:r>
            <w:r>
              <w:rPr>
                <w:rFonts w:hint="eastAsia" w:ascii="宋体" w:hAnsi="宋体" w:cs="宋体"/>
                <w:color w:val="000000" w:themeColor="text1"/>
                <w:kern w:val="0"/>
                <w:sz w:val="20"/>
                <w:szCs w:val="20"/>
                <w:lang w:val="en-US" w:eastAsia="zh-CN"/>
                <w14:textFill>
                  <w14:solidFill>
                    <w14:schemeClr w14:val="tx1"/>
                  </w14:solidFill>
                </w14:textFill>
              </w:rPr>
              <w:t>5462盏电费缴纳</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r>
              <w:rPr>
                <w:rFonts w:hint="eastAsia" w:ascii="宋体" w:hAnsi="宋体" w:cs="宋体"/>
                <w:color w:val="000000" w:themeColor="text1"/>
                <w:kern w:val="0"/>
                <w:sz w:val="20"/>
                <w:szCs w:val="20"/>
                <w:lang w:eastAsia="zh-CN"/>
                <w14:textFill>
                  <w14:solidFill>
                    <w14:schemeClr w14:val="tx1"/>
                  </w14:solidFill>
                </w14:textFill>
              </w:rPr>
              <w:t>完成城区主次道路路灯</w:t>
            </w:r>
            <w:r>
              <w:rPr>
                <w:rFonts w:hint="eastAsia" w:ascii="宋体" w:hAnsi="宋体" w:cs="宋体"/>
                <w:color w:val="000000" w:themeColor="text1"/>
                <w:kern w:val="0"/>
                <w:sz w:val="20"/>
                <w:szCs w:val="20"/>
                <w:lang w:val="en-US" w:eastAsia="zh-CN"/>
                <w14:textFill>
                  <w14:solidFill>
                    <w14:schemeClr w14:val="tx1"/>
                  </w14:solidFill>
                </w14:textFill>
              </w:rPr>
              <w:t>电费缴纳</w:t>
            </w:r>
            <w:r>
              <w:rPr>
                <w:rFonts w:hint="eastAsia" w:ascii="宋体" w:hAnsi="宋体" w:cs="宋体"/>
                <w:kern w:val="0"/>
                <w:sz w:val="20"/>
                <w:szCs w:val="20"/>
                <w:lang w:eastAsia="zh-CN"/>
              </w:rPr>
              <w:t>≥</w:t>
            </w:r>
            <w:r>
              <w:rPr>
                <w:rFonts w:hint="eastAsia" w:ascii="宋体" w:hAnsi="宋体" w:cs="宋体"/>
                <w:color w:val="000000" w:themeColor="text1"/>
                <w:kern w:val="0"/>
                <w:sz w:val="20"/>
                <w:szCs w:val="20"/>
                <w:lang w:val="en-US" w:eastAsia="zh-CN"/>
                <w14:textFill>
                  <w14:solidFill>
                    <w14:schemeClr w14:val="tx1"/>
                  </w14:solidFill>
                </w14:textFill>
              </w:rPr>
              <w:t>5462盏</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工程验收合格率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工程量完成率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配套设施完成率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lang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工程按期完成率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lang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 xml:space="preserve"> 4：</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工程完工率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lang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 xml:space="preserve"> 5：</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日常巡查维修及时率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工程单位建设成本</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316.3329万元</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设计功能实现率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基础设施完好率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隐患消除情况</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消除隐患</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综合利用率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受益群众满意度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bl>
    <w:p>
      <w:pPr>
        <w:spacing w:line="540" w:lineRule="exact"/>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RomanS">
    <w:altName w:val="Vrinda"/>
    <w:panose1 w:val="02000400000000000000"/>
    <w:charset w:val="00"/>
    <w:family w:val="auto"/>
    <w:pitch w:val="default"/>
    <w:sig w:usb0="00000000" w:usb1="00000000" w:usb2="00000000" w:usb3="00000000" w:csb0="000001FF" w:csb1="00000000"/>
  </w:font>
  <w:font w:name="Arial">
    <w:panose1 w:val="020B0604020202020204"/>
    <w:charset w:val="00"/>
    <w:family w:val="auto"/>
    <w:pitch w:val="default"/>
    <w:sig w:usb0="E0002AFF" w:usb1="C0007843" w:usb2="00000009" w:usb3="00000000" w:csb0="400001FF" w:csb1="FFFF0000"/>
  </w:font>
  <w:font w:name="Arial Unicode MS">
    <w:altName w:val="宋体"/>
    <w:panose1 w:val="020B0604020202020204"/>
    <w:charset w:val="86"/>
    <w:family w:val="auto"/>
    <w:pitch w:val="default"/>
    <w:sig w:usb0="00000000" w:usb1="00000000" w:usb2="0000003F" w:usb3="00000000" w:csb0="603F01FF" w:csb1="FFFF0000"/>
  </w:font>
  <w:font w:name="Arial Rounded MT Bold">
    <w:altName w:val="Arial"/>
    <w:panose1 w:val="020F0704030504030204"/>
    <w:charset w:val="00"/>
    <w:family w:val="auto"/>
    <w:pitch w:val="default"/>
    <w:sig w:usb0="00000000" w:usb1="00000000" w:usb2="00000000" w:usb3="00000000" w:csb0="20000001" w:csb1="00000000"/>
  </w:font>
  <w:font w:name="Shruti">
    <w:panose1 w:val="020B0502040204020203"/>
    <w:charset w:val="00"/>
    <w:family w:val="auto"/>
    <w:pitch w:val="default"/>
    <w:sig w:usb0="00040003"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Vrinda">
    <w:panose1 w:val="020B0502040204020203"/>
    <w:charset w:val="00"/>
    <w:family w:val="auto"/>
    <w:pitch w:val="default"/>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BF312"/>
    <w:multiLevelType w:val="singleLevel"/>
    <w:tmpl w:val="233BF31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30745EB"/>
    <w:rsid w:val="043542C7"/>
    <w:rsid w:val="04AA6A25"/>
    <w:rsid w:val="0945691E"/>
    <w:rsid w:val="0C075763"/>
    <w:rsid w:val="0CFE70EC"/>
    <w:rsid w:val="10CD2143"/>
    <w:rsid w:val="11DA0264"/>
    <w:rsid w:val="13AB5F61"/>
    <w:rsid w:val="144C5BDC"/>
    <w:rsid w:val="14EB6237"/>
    <w:rsid w:val="1539446E"/>
    <w:rsid w:val="195A58AB"/>
    <w:rsid w:val="1A950D56"/>
    <w:rsid w:val="1F482DAB"/>
    <w:rsid w:val="22010074"/>
    <w:rsid w:val="230B0024"/>
    <w:rsid w:val="239F2520"/>
    <w:rsid w:val="247D459E"/>
    <w:rsid w:val="27054359"/>
    <w:rsid w:val="27EA245B"/>
    <w:rsid w:val="2BA47E85"/>
    <w:rsid w:val="33552A57"/>
    <w:rsid w:val="351C31EE"/>
    <w:rsid w:val="3EBB39C8"/>
    <w:rsid w:val="40706353"/>
    <w:rsid w:val="48FD78DF"/>
    <w:rsid w:val="4E226803"/>
    <w:rsid w:val="4F694650"/>
    <w:rsid w:val="563D22B4"/>
    <w:rsid w:val="5EA412A1"/>
    <w:rsid w:val="5F847E8A"/>
    <w:rsid w:val="606A30C9"/>
    <w:rsid w:val="61C03B24"/>
    <w:rsid w:val="626440BE"/>
    <w:rsid w:val="671A5F88"/>
    <w:rsid w:val="67D22671"/>
    <w:rsid w:val="6A0C7AAD"/>
    <w:rsid w:val="6C8E34E1"/>
    <w:rsid w:val="70870DE2"/>
    <w:rsid w:val="70E70FBA"/>
    <w:rsid w:val="72306BF9"/>
    <w:rsid w:val="75ED07BA"/>
    <w:rsid w:val="7AEE04CB"/>
    <w:rsid w:val="7F287D98"/>
    <w:rsid w:val="7F831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1366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2019-01-24T08:21:24Z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