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华文中宋" w:cs="Times New Roman"/>
          <w:b/>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eastAsia="zh-CN"/>
        </w:rPr>
        <w:t>奇台县财政局</w:t>
      </w:r>
      <w:r>
        <w:rPr>
          <w:rFonts w:hint="default" w:ascii="Times New Roman" w:hAnsi="Times New Roman" w:eastAsia="方正小标宋_GBK" w:cs="Times New Roman"/>
          <w:kern w:val="0"/>
          <w:sz w:val="48"/>
          <w:szCs w:val="48"/>
          <w:highlight w:val="none"/>
        </w:rPr>
        <w:t>项目支出绩效评价</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华文中宋" w:cs="Times New Roman"/>
          <w:b/>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kern w:val="0"/>
          <w:sz w:val="30"/>
          <w:szCs w:val="30"/>
          <w:highlight w:val="none"/>
        </w:rPr>
      </w:pPr>
    </w:p>
    <w:p>
      <w:pPr>
        <w:pStyle w:val="10"/>
        <w:keepNext w:val="0"/>
        <w:keepLines w:val="0"/>
        <w:pageBreakBefore w:val="0"/>
        <w:widowControl w:val="0"/>
        <w:kinsoku/>
        <w:wordWrap/>
        <w:overflowPunct/>
        <w:topLinePunct w:val="0"/>
        <w:autoSpaceDE/>
        <w:autoSpaceDN/>
        <w:bidi w:val="0"/>
        <w:adjustRightInd/>
        <w:snapToGrid/>
        <w:spacing w:before="0" w:after="0" w:line="560" w:lineRule="exact"/>
        <w:rPr>
          <w:rFonts w:hint="default" w:ascii="Times New Roman" w:hAnsi="Times New Roman" w:cs="Times New Roman"/>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项目名称：2024年财政运行各类服务费</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奇台县财政局</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奇台县人民政府</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何新正</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9</w:t>
      </w:r>
      <w:r>
        <w:rPr>
          <w:rFonts w:hint="default" w:ascii="Times New Roman" w:hAnsi="Times New Roman" w:eastAsia="仿宋_GB2312" w:cs="Times New Roman"/>
          <w:kern w:val="0"/>
          <w:sz w:val="36"/>
          <w:szCs w:val="36"/>
          <w:highlight w:val="none"/>
        </w:rPr>
        <w:t>日</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kern w:val="0"/>
          <w:sz w:val="30"/>
          <w:szCs w:val="30"/>
          <w:highlight w:val="none"/>
        </w:rPr>
      </w:pPr>
    </w:p>
    <w:p>
      <w:pPr>
        <w:keepNext w:val="0"/>
        <w:keepLines w:val="0"/>
        <w:pageBreakBefore w:val="0"/>
        <w:widowControl w:val="0"/>
        <w:kinsoku/>
        <w:wordWrap/>
        <w:overflowPunct/>
        <w:topLinePunct w:val="0"/>
        <w:autoSpaceDE/>
        <w:autoSpaceDN/>
        <w:bidi w:val="0"/>
        <w:adjustRightInd/>
        <w:snapToGrid/>
        <w:spacing w:line="560" w:lineRule="exact"/>
        <w:rPr>
          <w:rStyle w:val="16"/>
          <w:rFonts w:hint="default" w:ascii="Times New Roman" w:hAnsi="Times New Roman" w:eastAsia="黑体" w:cs="Times New Roman"/>
          <w:b w:val="0"/>
          <w:spacing w:val="-4"/>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rPr>
          <w:rStyle w:val="16"/>
          <w:rFonts w:hint="default" w:ascii="Times New Roman" w:hAnsi="Times New Roman" w:eastAsia="黑体" w:cs="Times New Roman"/>
          <w:b w:val="0"/>
          <w:spacing w:val="-4"/>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rPr>
          <w:rStyle w:val="16"/>
          <w:rFonts w:hint="default" w:ascii="Times New Roman" w:hAnsi="Times New Roman" w:eastAsia="黑体" w:cs="Times New Roman"/>
          <w:b w:val="0"/>
          <w:spacing w:val="-4"/>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Style w:val="1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仿宋_GB2312" w:hAnsi="仿宋_GB2312" w:eastAsia="仿宋_GB2312" w:cs="仿宋_GB2312"/>
          <w:b w:val="0"/>
          <w:bCs w:val="0"/>
          <w:color w:val="auto"/>
          <w:szCs w:val="32"/>
          <w:highlight w:val="none"/>
          <w:lang w:val="en-US" w:eastAsia="zh-CN"/>
        </w:rPr>
        <w:t>奇台县财政局以开展党纪学习教育为契机，坚持依法理财，加强预算管理，深化财政改革，强化财政资源统筹，努力增加财政收入，兜牢基层“三保”底线，防范化解财政运行风险，紧贴民生推动高质量发展，财政运行总体平稳。</w:t>
      </w:r>
      <w:r>
        <w:rPr>
          <w:rFonts w:hint="eastAsia" w:ascii="Times New Roman" w:hAnsi="Times New Roman" w:eastAsia="仿宋_GB2312" w:cs="Times New Roman"/>
          <w:b w:val="0"/>
          <w:bCs w:val="0"/>
          <w:kern w:val="2"/>
          <w:sz w:val="32"/>
          <w:szCs w:val="32"/>
          <w:highlight w:val="none"/>
          <w:lang w:val="en-US" w:eastAsia="zh-CN" w:bidi="ar-SA"/>
        </w:rPr>
        <w:t>为保障单位工作正常的开展，提高工作人员的积极性，进行支付企业的系统运维费及企业的服务费。</w:t>
      </w:r>
    </w:p>
    <w:p>
      <w:pPr>
        <w:pStyle w:val="1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仿宋_GB2312" w:hAnsi="仿宋_GB2312" w:eastAsia="仿宋_GB2312" w:cs="仿宋_GB2312"/>
          <w:b w:val="0"/>
          <w:bCs w:val="0"/>
          <w:color w:val="auto"/>
          <w:kern w:val="28"/>
          <w:sz w:val="32"/>
          <w:szCs w:val="32"/>
          <w:highlight w:val="none"/>
          <w:lang w:val="en-US" w:eastAsia="zh-CN" w:bidi="ar-SA"/>
        </w:rPr>
      </w:pPr>
      <w:r>
        <w:rPr>
          <w:rFonts w:hint="default" w:ascii="仿宋_GB2312" w:hAnsi="仿宋_GB2312" w:eastAsia="仿宋_GB2312" w:cs="仿宋_GB2312"/>
          <w:b w:val="0"/>
          <w:bCs w:val="0"/>
          <w:color w:val="auto"/>
          <w:kern w:val="28"/>
          <w:sz w:val="32"/>
          <w:szCs w:val="32"/>
          <w:highlight w:val="none"/>
          <w:lang w:val="en-US" w:eastAsia="zh-CN" w:bidi="ar-SA"/>
        </w:rPr>
        <w:t>项目主要内容：</w:t>
      </w:r>
      <w:r>
        <w:rPr>
          <w:rFonts w:hint="eastAsia" w:ascii="仿宋_GB2312" w:hAnsi="仿宋_GB2312" w:eastAsia="仿宋_GB2312" w:cs="仿宋_GB2312"/>
          <w:b w:val="0"/>
          <w:bCs w:val="0"/>
          <w:color w:val="auto"/>
          <w:kern w:val="28"/>
          <w:sz w:val="32"/>
          <w:szCs w:val="32"/>
          <w:highlight w:val="none"/>
          <w:lang w:val="en-US" w:eastAsia="zh-CN" w:bidi="ar-SA"/>
        </w:rPr>
        <w:t>该项目资金180万元，用于</w:t>
      </w:r>
      <w:r>
        <w:rPr>
          <w:rFonts w:hint="default" w:ascii="仿宋_GB2312" w:hAnsi="仿宋_GB2312" w:eastAsia="仿宋_GB2312" w:cs="仿宋_GB2312"/>
          <w:b w:val="0"/>
          <w:bCs w:val="0"/>
          <w:color w:val="auto"/>
          <w:kern w:val="28"/>
          <w:sz w:val="32"/>
          <w:szCs w:val="32"/>
          <w:highlight w:val="none"/>
          <w:lang w:val="en-US" w:eastAsia="zh-CN" w:bidi="ar-SA"/>
        </w:rPr>
        <w:t>支付企业的系统运维费及企业的服务费，保障单位工作正常的开展，提高工作人员的积极性。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eastAsia" w:ascii="Times New Roman" w:hAnsi="Times New Roman" w:eastAsia="仿宋_GB2312" w:cs="Times New Roman"/>
          <w:b w:val="0"/>
          <w:bCs w:val="0"/>
          <w:kern w:val="2"/>
          <w:sz w:val="32"/>
          <w:szCs w:val="32"/>
          <w:highlight w:val="none"/>
          <w:lang w:val="en-US" w:eastAsia="zh-CN" w:bidi="ar-SA"/>
        </w:rPr>
        <w:t>支付企业的运维费及服务费，运维费5家40.82万元，服务费12家139.13万元，资金拨付准确率达到100%，资金拨付及时率达到100%，有效保障了单位正常运转。</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179.95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99.97</w:t>
      </w:r>
      <w:r>
        <w:rPr>
          <w:rFonts w:hint="default" w:ascii="Times New Roman" w:hAnsi="Times New Roman" w:eastAsia="仿宋_GB2312" w:cs="Times New Roman"/>
          <w:sz w:val="32"/>
          <w:szCs w:val="32"/>
          <w:highlight w:val="none"/>
          <w:lang w:val="en-US" w:eastAsia="zh-CN"/>
        </w:rPr>
        <w:t>%，主要用于：为各预算单位更好的开展财务采购工作，完成预算管理一体化系统建设，加强财政内部网络安全和保密，保障财政资金支付安全。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 xml:space="preserve">    </w:t>
      </w:r>
      <w:r>
        <w:rPr>
          <w:rFonts w:hint="eastAsia" w:ascii="Times New Roman" w:hAnsi="Times New Roman" w:eastAsia="仿宋_GB2312" w:cs="Times New Roman"/>
          <w:sz w:val="32"/>
          <w:szCs w:val="32"/>
          <w:highlight w:val="none"/>
          <w:lang w:val="en-US" w:eastAsia="zh-CN"/>
        </w:rPr>
        <w:t>进行支付企业的运维费及服务费，运维费3家，服务费11家，资金拨付准确率达到100%，资金拨付及时率达到100%，有效保障了单位正常运转。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根据合同履行进度，及时进行资金拨付。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eastAsia="仿宋_GB2312" w:cs="Times New Roman"/>
          <w:sz w:val="32"/>
          <w:szCs w:val="32"/>
          <w:highlight w:val="none"/>
          <w:lang w:val="en-US" w:eastAsia="zh-CN"/>
        </w:rPr>
        <w:t>推动绩效评价工作提质增效，持续提升财政政策资金效能。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sz w:val="32"/>
          <w:szCs w:val="32"/>
          <w:highlight w:val="none"/>
          <w:lang w:val="en-US" w:eastAsia="zh-CN"/>
        </w:rPr>
        <w:t>数量指标、质量指标、时效指标、经济成本指标、社会效益指标、满意度指标</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w:t>
      </w:r>
      <w:r>
        <w:rPr>
          <w:rFonts w:hint="eastAsia" w:eastAsia="仿宋_GB2312" w:cs="Times New Roman"/>
          <w:sz w:val="32"/>
          <w:szCs w:val="32"/>
          <w:highlight w:val="none"/>
          <w:lang w:val="en-US" w:eastAsia="zh-CN"/>
        </w:rPr>
        <w:t>整合台账、服务记录、财务凭证、满意度调查等多渠道数据，确保客观全面。横向对比同类项目成本效益差异分析、纵向跟踪资金拨付进度与目标完成率的匹配性，通过交叉对比数据消除数据偏差。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w:t>
      </w:r>
      <w:r>
        <w:rPr>
          <w:rFonts w:hint="eastAsia" w:eastAsia="仿宋_GB2312" w:cs="Times New Roman"/>
          <w:sz w:val="32"/>
          <w:szCs w:val="32"/>
          <w:highlight w:val="none"/>
          <w:lang w:val="en-US" w:eastAsia="zh-CN"/>
        </w:rPr>
        <w:t>包括服务内容、资金规模、实施周期等基础信息，</w:t>
      </w:r>
      <w:r>
        <w:rPr>
          <w:rFonts w:hint="default" w:ascii="Times New Roman" w:hAnsi="Times New Roman" w:eastAsia="仿宋_GB2312" w:cs="Times New Roman"/>
          <w:sz w:val="32"/>
          <w:szCs w:val="32"/>
          <w:highlight w:val="none"/>
          <w:lang w:val="en-US" w:eastAsia="zh-CN"/>
        </w:rPr>
        <w:t>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w:t>
      </w:r>
      <w:r>
        <w:rPr>
          <w:rFonts w:hint="eastAsia" w:eastAsia="仿宋_GB2312" w:cs="Times New Roman"/>
          <w:sz w:val="32"/>
          <w:szCs w:val="32"/>
          <w:highlight w:val="none"/>
          <w:lang w:val="en-US" w:eastAsia="zh-CN"/>
        </w:rPr>
        <w:t>针对性的</w:t>
      </w:r>
      <w:r>
        <w:rPr>
          <w:rFonts w:hint="default" w:ascii="Times New Roman" w:hAnsi="Times New Roman" w:eastAsia="仿宋_GB2312" w:cs="Times New Roman"/>
          <w:sz w:val="32"/>
          <w:szCs w:val="32"/>
          <w:highlight w:val="none"/>
          <w:lang w:val="en-US" w:eastAsia="zh-CN"/>
        </w:rPr>
        <w:t>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w:t>
      </w:r>
      <w:r>
        <w:rPr>
          <w:rFonts w:hint="eastAsia" w:eastAsia="仿宋_GB2312" w:cs="Times New Roman"/>
          <w:sz w:val="32"/>
          <w:szCs w:val="32"/>
          <w:highlight w:val="none"/>
          <w:lang w:val="en-US" w:eastAsia="zh-CN"/>
        </w:rPr>
        <w:t>开展绩效管理相关培训，</w:t>
      </w:r>
      <w:r>
        <w:rPr>
          <w:rFonts w:hint="default" w:ascii="Times New Roman" w:hAnsi="Times New Roman" w:eastAsia="仿宋_GB2312" w:cs="Times New Roman"/>
          <w:sz w:val="32"/>
          <w:szCs w:val="32"/>
          <w:highlight w:val="none"/>
          <w:lang w:val="en-US" w:eastAsia="zh-CN"/>
        </w:rPr>
        <w:t>不断提升评价工作的质量和水平，</w:t>
      </w:r>
      <w:r>
        <w:rPr>
          <w:rFonts w:hint="eastAsia" w:eastAsia="仿宋_GB2312" w:cs="Times New Roman"/>
          <w:sz w:val="32"/>
          <w:szCs w:val="32"/>
          <w:highlight w:val="none"/>
          <w:lang w:val="en-US" w:eastAsia="zh-CN"/>
        </w:rPr>
        <w:t>通过制度约束、技术赋能、公开透明等实现财政资金效能最大化，</w:t>
      </w:r>
      <w:r>
        <w:rPr>
          <w:rFonts w:hint="default" w:ascii="Times New Roman" w:hAnsi="Times New Roman" w:eastAsia="仿宋_GB2312" w:cs="Times New Roman"/>
          <w:sz w:val="32"/>
          <w:szCs w:val="32"/>
          <w:highlight w:val="none"/>
          <w:lang w:val="en-US" w:eastAsia="zh-CN"/>
        </w:rPr>
        <w:t>以更好地服务于项目的管理和优化。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绩效评价的首要目的是客观衡量项目实施的实际成效与预期目标的契合程度。</w:t>
      </w:r>
      <w:r>
        <w:rPr>
          <w:rFonts w:hint="default" w:ascii="Times New Roman" w:hAnsi="Times New Roman" w:eastAsia="仿宋_GB2312" w:cs="Times New Roman"/>
          <w:sz w:val="32"/>
          <w:szCs w:val="32"/>
          <w:highlight w:val="none"/>
        </w:rPr>
        <w:t>通过对</w:t>
      </w:r>
      <w:r>
        <w:rPr>
          <w:rFonts w:hint="eastAsia" w:eastAsia="仿宋_GB2312" w:cs="Times New Roman"/>
          <w:sz w:val="32"/>
          <w:szCs w:val="32"/>
          <w:highlight w:val="none"/>
          <w:lang w:eastAsia="zh-CN"/>
        </w:rPr>
        <w:t>通过对</w:t>
      </w:r>
      <w:r>
        <w:rPr>
          <w:rFonts w:hint="default" w:ascii="Times New Roman" w:hAnsi="Times New Roman" w:eastAsia="仿宋_GB2312" w:cs="Times New Roman"/>
          <w:sz w:val="32"/>
          <w:szCs w:val="32"/>
          <w:highlight w:val="none"/>
        </w:rPr>
        <w:t>数量指标、质量指标、时效指标、经济成本指标、社会效益指标、满意度指标等</w:t>
      </w:r>
      <w:r>
        <w:rPr>
          <w:rFonts w:hint="eastAsia" w:eastAsia="仿宋_GB2312" w:cs="Times New Roman"/>
          <w:sz w:val="32"/>
          <w:szCs w:val="32"/>
          <w:highlight w:val="none"/>
          <w:lang w:eastAsia="zh-CN"/>
        </w:rPr>
        <w:t>关键</w:t>
      </w:r>
      <w:r>
        <w:rPr>
          <w:rFonts w:hint="default" w:ascii="Times New Roman" w:hAnsi="Times New Roman" w:eastAsia="仿宋_GB2312" w:cs="Times New Roman"/>
          <w:sz w:val="32"/>
          <w:szCs w:val="32"/>
          <w:highlight w:val="none"/>
        </w:rPr>
        <w:t>维度</w:t>
      </w:r>
      <w:r>
        <w:rPr>
          <w:rFonts w:hint="eastAsia" w:eastAsia="仿宋_GB2312" w:cs="Times New Roman"/>
          <w:sz w:val="32"/>
          <w:szCs w:val="32"/>
          <w:highlight w:val="none"/>
          <w:lang w:eastAsia="zh-CN"/>
        </w:rPr>
        <w:t>进行分析</w:t>
      </w:r>
      <w:r>
        <w:rPr>
          <w:rFonts w:hint="default" w:ascii="Times New Roman" w:hAnsi="Times New Roman" w:eastAsia="仿宋_GB2312" w:cs="Times New Roman"/>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绩效评价通过分析资金使用的经济性、效率性和效益型，识别资源配置中的</w:t>
      </w:r>
      <w:r>
        <w:rPr>
          <w:rFonts w:hint="default" w:ascii="Times New Roman" w:hAnsi="Times New Roman" w:eastAsia="仿宋_GB2312" w:cs="Times New Roman"/>
          <w:sz w:val="32"/>
          <w:szCs w:val="32"/>
          <w:highlight w:val="none"/>
        </w:rPr>
        <w:t>冗余</w:t>
      </w:r>
      <w:r>
        <w:rPr>
          <w:rFonts w:hint="eastAsia" w:eastAsia="仿宋_GB2312" w:cs="Times New Roman"/>
          <w:sz w:val="32"/>
          <w:szCs w:val="32"/>
          <w:highlight w:val="none"/>
          <w:lang w:eastAsia="zh-CN"/>
        </w:rPr>
        <w:t>或低效环节，</w:t>
      </w:r>
      <w:r>
        <w:rPr>
          <w:rFonts w:hint="default" w:ascii="Times New Roman" w:hAnsi="Times New Roman" w:eastAsia="仿宋_GB2312" w:cs="Times New Roman"/>
          <w:sz w:val="32"/>
          <w:szCs w:val="32"/>
          <w:highlight w:val="none"/>
        </w:rPr>
        <w:t>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强化资金使用靶向性和精准性，</w:t>
      </w:r>
      <w:r>
        <w:rPr>
          <w:rFonts w:hint="default" w:ascii="Times New Roman" w:hAnsi="Times New Roman" w:eastAsia="仿宋_GB2312" w:cs="Times New Roman"/>
          <w:sz w:val="32"/>
          <w:szCs w:val="32"/>
          <w:highlight w:val="none"/>
        </w:rPr>
        <w:t>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绩效评价通过明确责任主体、公开评价结果，</w:t>
      </w:r>
      <w:r>
        <w:rPr>
          <w:rFonts w:hint="default" w:ascii="Times New Roman" w:hAnsi="Times New Roman" w:eastAsia="仿宋_GB2312" w:cs="Times New Roman"/>
          <w:sz w:val="32"/>
          <w:szCs w:val="32"/>
          <w:highlight w:val="none"/>
        </w:rPr>
        <w:t>借助绩效评价结果对项目管理过程进行监督与问责，促使项目管理者增强责任意识，主动优化管理流程，完善内部控制机制，</w:t>
      </w:r>
      <w:r>
        <w:rPr>
          <w:rFonts w:hint="eastAsia" w:eastAsia="仿宋_GB2312" w:cs="Times New Roman"/>
          <w:sz w:val="32"/>
          <w:szCs w:val="32"/>
          <w:highlight w:val="none"/>
          <w:lang w:eastAsia="zh-CN"/>
        </w:rPr>
        <w:t>压实主体责任，</w:t>
      </w:r>
      <w:r>
        <w:rPr>
          <w:rFonts w:hint="default" w:ascii="Times New Roman" w:hAnsi="Times New Roman" w:eastAsia="仿宋_GB2312" w:cs="Times New Roman"/>
          <w:sz w:val="32"/>
          <w:szCs w:val="32"/>
          <w:highlight w:val="none"/>
        </w:rPr>
        <w:t>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绩效评价积累的客观数据与问题清单，能够为财政政策调整和预算分配提供关键依据。</w:t>
      </w: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绩效评价不仅是对过去工作的总结，更是推动未来优化的起点，</w:t>
      </w:r>
      <w:r>
        <w:rPr>
          <w:rFonts w:hint="default" w:ascii="Times New Roman" w:hAnsi="Times New Roman" w:eastAsia="仿宋_GB2312" w:cs="Times New Roman"/>
          <w:sz w:val="32"/>
          <w:szCs w:val="32"/>
          <w:highlight w:val="none"/>
        </w:rPr>
        <w:t>基于绩效评价发现的问题与不足，提出针对性的改进建议与措施，引导项目</w:t>
      </w:r>
      <w:r>
        <w:rPr>
          <w:rFonts w:hint="eastAsia" w:eastAsia="仿宋_GB2312" w:cs="Times New Roman"/>
          <w:sz w:val="32"/>
          <w:szCs w:val="32"/>
          <w:highlight w:val="none"/>
          <w:lang w:eastAsia="zh-CN"/>
        </w:rPr>
        <w:t>单位优化服务流程设计</w:t>
      </w:r>
      <w:r>
        <w:rPr>
          <w:rFonts w:hint="default" w:ascii="Times New Roman" w:hAnsi="Times New Roman" w:eastAsia="仿宋_GB2312" w:cs="Times New Roman"/>
          <w:sz w:val="32"/>
          <w:szCs w:val="32"/>
          <w:highlight w:val="none"/>
        </w:rPr>
        <w:t>，持续优化项目实施方案，加强过程监控与质量把控，形成项目绩效持续改进的良性循环，</w:t>
      </w:r>
      <w:r>
        <w:rPr>
          <w:rFonts w:hint="eastAsia" w:eastAsia="仿宋_GB2312" w:cs="Times New Roman"/>
          <w:sz w:val="32"/>
          <w:szCs w:val="32"/>
          <w:highlight w:val="none"/>
          <w:lang w:eastAsia="zh-CN"/>
        </w:rPr>
        <w:t>提升项目实施主体的专业能力，为持续改进注入内生动力</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w:t>
      </w:r>
      <w:r>
        <w:rPr>
          <w:rFonts w:hint="eastAsia" w:eastAsia="仿宋_GB2312" w:cs="Times New Roman"/>
          <w:sz w:val="32"/>
          <w:szCs w:val="32"/>
          <w:highlight w:val="none"/>
          <w:lang w:eastAsia="zh-CN"/>
        </w:rPr>
        <w:t>通过效果评估锁定问题，通过效率提升优化资源分配，通过责任落实强化约束，</w:t>
      </w:r>
      <w:r>
        <w:rPr>
          <w:rFonts w:hint="default" w:ascii="Times New Roman" w:hAnsi="Times New Roman" w:eastAsia="仿宋_GB2312" w:cs="Times New Roman"/>
          <w:sz w:val="32"/>
          <w:szCs w:val="32"/>
          <w:highlight w:val="none"/>
        </w:rPr>
        <w:t>旨在通过科学、严谨的评价工作，为项目管理与决策提供全方位、深层次的支持，推动项目在预算约束下实现高质量、可持续发展，充分发挥财政资金的经济效益与社会效益</w:t>
      </w:r>
      <w:r>
        <w:rPr>
          <w:rFonts w:hint="eastAsia" w:eastAsia="仿宋_GB2312" w:cs="Times New Roman"/>
          <w:sz w:val="32"/>
          <w:szCs w:val="32"/>
          <w:highlight w:val="none"/>
          <w:lang w:eastAsia="zh-CN"/>
        </w:rPr>
        <w:t>，确保财政资金真正服务于公共利益最大化</w:t>
      </w:r>
      <w:r>
        <w:rPr>
          <w:rFonts w:hint="default" w:ascii="Times New Roman" w:hAnsi="Times New Roman" w:eastAsia="仿宋_GB2312" w:cs="Times New Roman"/>
          <w:sz w:val="32"/>
          <w:szCs w:val="32"/>
          <w:highlight w:val="none"/>
        </w:rPr>
        <w:t>。</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本项目预算绩效评价报告的评价对象是2024年财政运行各类服务费及其预算执行情况。该项目由</w:t>
      </w:r>
      <w:r>
        <w:rPr>
          <w:rFonts w:hint="eastAsia" w:ascii="Times New Roman" w:hAnsi="Times New Roman" w:eastAsia="仿宋_GB2312" w:cs="Times New Roman"/>
          <w:b w:val="0"/>
          <w:bCs w:val="0"/>
          <w:highlight w:val="none"/>
          <w:lang w:eastAsia="zh-CN"/>
        </w:rPr>
        <w:t>奇台县财政局</w:t>
      </w:r>
      <w:r>
        <w:rPr>
          <w:rFonts w:hint="default" w:ascii="Times New Roman" w:hAnsi="Times New Roman" w:eastAsia="仿宋_GB2312" w:cs="Times New Roman"/>
          <w:b w:val="0"/>
          <w:bCs w:val="0"/>
          <w:highlight w:val="none"/>
        </w:rPr>
        <w:t>负责实施，旨在支付企业的运维费及服务费，运维费3家，服务费11家，资金拨付准确率达到100%，资金拨付及时率达到100%，有效保障了单位正常运转。项目预算涵盖从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180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计划标准指以预先制定的目标、计划、预算、定额等作为评价标准。</w:t>
      </w:r>
    </w:p>
    <w:p>
      <w:pPr>
        <w:pStyle w:val="10"/>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、项目管理专业人员组成，确保从多角度、全方位对项目绩效进行评价。</w:t>
      </w:r>
      <w:r>
        <w:rPr>
          <w:rFonts w:hint="eastAsia" w:eastAsia="仿宋_GB2312" w:cs="Times New Roman"/>
          <w:sz w:val="32"/>
          <w:szCs w:val="32"/>
          <w:highlight w:val="none"/>
          <w:lang w:eastAsia="zh-CN"/>
        </w:rPr>
        <w:t>明确职分工，制定评价方案，明确评价范围、时间节点、方法工具及预算安排</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w:t>
      </w:r>
      <w:r>
        <w:rPr>
          <w:rFonts w:hint="eastAsia" w:eastAsia="仿宋_GB2312" w:cs="Times New Roman"/>
          <w:sz w:val="32"/>
          <w:szCs w:val="32"/>
          <w:highlight w:val="none"/>
          <w:lang w:eastAsia="zh-CN"/>
        </w:rPr>
        <w:t>预算执行表</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资金拨付凭证、服务合同</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验收报告</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受益对象满意度调查</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w:t>
      </w:r>
      <w:r>
        <w:rPr>
          <w:rFonts w:hint="eastAsia" w:eastAsia="仿宋_GB2312" w:cs="Times New Roman"/>
          <w:sz w:val="32"/>
          <w:szCs w:val="32"/>
          <w:highlight w:val="none"/>
          <w:lang w:eastAsia="zh-CN"/>
        </w:rPr>
        <w:t>通过交叉对比确保数据真实</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对收集到的数据进行了分析。通过对各项绩效指标的实际完成情况与预期目标进行对比，计算出指标的达成率，并结合指标权重进行综合评分，从而得出项目的整体绩效评价结果。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2024年财政运行各类服务费</w:t>
      </w:r>
      <w:r>
        <w:rPr>
          <w:rFonts w:hint="default" w:ascii="Times New Roman" w:hAnsi="Times New Roman" w:eastAsia="仿宋_GB2312" w:cs="Times New Roman"/>
          <w:sz w:val="32"/>
          <w:szCs w:val="32"/>
          <w:highlight w:val="none"/>
        </w:rPr>
        <w:t>在资金拨付准确率、资金拨付及时率等方面表现出色，达到了预期的标准与要求。同时，项目也在</w:t>
      </w:r>
      <w:r>
        <w:rPr>
          <w:rFonts w:hint="eastAsia" w:eastAsia="仿宋_GB2312" w:cs="Times New Roman"/>
          <w:color w:val="auto"/>
          <w:sz w:val="32"/>
          <w:szCs w:val="32"/>
          <w:highlight w:val="none"/>
          <w:lang w:eastAsia="zh-CN"/>
        </w:rPr>
        <w:t>服务管理方面</w:t>
      </w:r>
      <w:r>
        <w:rPr>
          <w:rFonts w:hint="default" w:ascii="Times New Roman" w:hAnsi="Times New Roman" w:eastAsia="仿宋_GB2312" w:cs="Times New Roman"/>
          <w:sz w:val="32"/>
          <w:szCs w:val="32"/>
          <w:highlight w:val="none"/>
        </w:rPr>
        <w:t>取得了显著的成效，如提高全县各预算单位内控、票据、预算执行、政府采购、预决算公开工作的精准度等。</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奇台县财政局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从项目效益的角度来看，本项目不仅实现了预期的社会效益等方面产生了积极的影响。具体而言，保障单位正常运转等方面的提升，为项目的利益相关者带来了实实在在的利益。</w:t>
      </w:r>
    </w:p>
    <w:p>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综上所述，2024年财政运行各类服务费在绩效评价中表现出色，达到了项目的预期目标，并在多个方面取得了显著的成效。</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w:t>
      </w:r>
      <w:r>
        <w:rPr>
          <w:rFonts w:hint="eastAsia" w:eastAsia="仿宋_GB2312" w:cs="Times New Roman"/>
          <w:sz w:val="32"/>
          <w:szCs w:val="32"/>
          <w:highlight w:val="none"/>
          <w:lang w:val="en-US" w:eastAsia="zh-CN"/>
        </w:rPr>
        <w:t>单位业务要求</w:t>
      </w:r>
      <w:r>
        <w:rPr>
          <w:rFonts w:hint="default" w:ascii="Times New Roman" w:hAnsi="Times New Roman" w:eastAsia="仿宋_GB2312" w:cs="Times New Roman"/>
          <w:sz w:val="32"/>
          <w:szCs w:val="32"/>
          <w:highlight w:val="none"/>
          <w:lang w:val="en-US" w:eastAsia="zh-CN"/>
        </w:rPr>
        <w:t>，围绕本年度工作重点和工作计划制定经费预算，属于公共财政支持范围。本项目与部门内部其他相关项目不重复。部门发展规划及职能文件等归档完整。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w:t>
      </w:r>
      <w:r>
        <w:rPr>
          <w:rFonts w:hint="default" w:ascii="Times New Roman" w:hAnsi="Times New Roman" w:eastAsia="仿宋_GB2312" w:cs="Times New Roman"/>
          <w:sz w:val="32"/>
          <w:szCs w:val="32"/>
          <w:highlight w:val="none"/>
          <w:lang w:val="en-US" w:eastAsia="zh-CN"/>
        </w:rPr>
        <w:t>工作计划和经费预算，经过与部门项目分管领导沟通、筛选确定经费预算计划，确定最终预算方案。项目的审批文件、材料符合相关要求，</w:t>
      </w:r>
      <w:r>
        <w:rPr>
          <w:rFonts w:hint="default" w:ascii="仿宋_GB2312" w:hAnsi="仿宋_GB2312" w:eastAsia="仿宋_GB2312" w:cs="仿宋_GB2312"/>
          <w:b w:val="0"/>
          <w:bCs w:val="0"/>
          <w:kern w:val="2"/>
          <w:sz w:val="32"/>
          <w:szCs w:val="32"/>
          <w:highlight w:val="none"/>
          <w:lang w:val="en-US" w:eastAsia="zh-CN" w:bidi="ar-SA"/>
        </w:rPr>
        <w:t>项目事前经过必要的可行性研究、绩效评估、集体决策，保障了程序的规范性</w:t>
      </w:r>
      <w:r>
        <w:rPr>
          <w:rFonts w:hint="default" w:ascii="仿宋_GB2312" w:hAnsi="仿宋_GB2312" w:eastAsia="仿宋_GB2312" w:cs="仿宋_GB2312"/>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在预算编制过程中，通过优化资源配置、提高资金使用效率等措施，确保项目在有限的预算内取得最大的经济效益。</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具体而言，资金分配紧密结合了项目的特点与实际情况，同时，我们也注重了资金的均衡分配，避免了资源浪费与资金闲置。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w:t>
      </w:r>
      <w:r>
        <w:rPr>
          <w:rFonts w:hint="default" w:ascii="Times New Roman" w:hAnsi="Times New Roman" w:eastAsia="仿宋_GB2312" w:cs="Times New Roman"/>
          <w:sz w:val="32"/>
          <w:szCs w:val="32"/>
          <w:highlight w:val="none"/>
          <w:lang w:val="en-US" w:eastAsia="zh-CN"/>
        </w:rPr>
        <w:t>指</w:t>
      </w:r>
      <w:r>
        <w:rPr>
          <w:rFonts w:hint="default" w:ascii="Times New Roman" w:hAnsi="Times New Roman" w:eastAsia="仿宋_GB2312" w:cs="Times New Roman"/>
          <w:sz w:val="32"/>
          <w:szCs w:val="32"/>
          <w:highlight w:val="none"/>
          <w:lang w:val="en-US" w:eastAsia="zh-CN"/>
        </w:rPr>
        <w:t>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179.95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99.97</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本项目的资金使用严格遵循了《中华人民共和国会计法》、</w:t>
      </w:r>
      <w:r>
        <w:rPr>
          <w:rFonts w:hint="eastAsia" w:eastAsia="仿宋_GB2312" w:cs="Times New Roman"/>
          <w:sz w:val="32"/>
          <w:szCs w:val="32"/>
          <w:highlight w:val="none"/>
          <w:lang w:eastAsia="zh-CN"/>
        </w:rPr>
        <w:t>《中华人民共和国预算法》、</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中华人民共和国政府采购法</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《行政事业单位内部控制规范》</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w:t>
      </w:r>
      <w:r>
        <w:rPr>
          <w:rFonts w:hint="eastAsia" w:eastAsia="仿宋_GB2312" w:cs="Times New Roman"/>
          <w:sz w:val="32"/>
          <w:szCs w:val="32"/>
          <w:highlight w:val="none"/>
          <w:lang w:eastAsia="zh-CN"/>
        </w:rPr>
        <w:t>根据《奇台县财政局制度汇编》、</w:t>
      </w:r>
      <w:r>
        <w:rPr>
          <w:rFonts w:hint="default" w:ascii="Times New Roman" w:hAnsi="Times New Roman" w:eastAsia="仿宋_GB2312" w:cs="Times New Roman"/>
          <w:sz w:val="32"/>
          <w:szCs w:val="32"/>
          <w:highlight w:val="none"/>
          <w:lang w:eastAsia="zh-CN"/>
        </w:rPr>
        <w:t>《中华人民共和国会计法》、</w:t>
      </w:r>
      <w:r>
        <w:rPr>
          <w:rFonts w:hint="eastAsia" w:eastAsia="仿宋_GB2312" w:cs="Times New Roman"/>
          <w:sz w:val="32"/>
          <w:szCs w:val="32"/>
          <w:highlight w:val="none"/>
          <w:lang w:eastAsia="zh-CN"/>
        </w:rPr>
        <w:t>《中华人民共和国预算法》、</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中华人民共和国政府采购法</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等为</w:t>
      </w:r>
      <w:r>
        <w:rPr>
          <w:rFonts w:hint="default" w:ascii="Times New Roman" w:hAnsi="Times New Roman" w:eastAsia="仿宋_GB2312" w:cs="Times New Roman"/>
          <w:sz w:val="32"/>
          <w:szCs w:val="32"/>
          <w:highlight w:val="none"/>
          <w:lang w:eastAsia="zh-CN"/>
        </w:rPr>
        <w:t>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keepNext w:val="0"/>
        <w:keepLines w:val="0"/>
        <w:pageBreakBefore w:val="0"/>
        <w:widowControl w:val="0"/>
        <w:numPr>
          <w:ilvl w:val="0"/>
          <w:numId w:val="4"/>
        </w:numPr>
        <w:kinsoku/>
        <w:wordWrap/>
        <w:overflowPunct/>
        <w:topLinePunct w:val="0"/>
        <w:autoSpaceDE/>
        <w:autoSpaceDN/>
        <w:bidi w:val="0"/>
        <w:adjustRightInd/>
        <w:snapToGrid/>
        <w:spacing w:after="0"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52.23</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具体产出指标完成情况如下：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指标1：支付运维企业数，指标值：&gt;=3家，实际完成值：=5家，指标完成率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166.67%</w:t>
      </w:r>
      <w:r>
        <w:rPr>
          <w:rFonts w:hint="default" w:ascii="Times New Roman" w:hAnsi="Times New Roman" w:eastAsia="仿宋_GB2312" w:cs="Times New Roman"/>
          <w:sz w:val="32"/>
          <w:szCs w:val="32"/>
          <w:highlight w:val="none"/>
          <w:lang w:eastAsia="zh-CN"/>
        </w:rPr>
        <w:t>，偏差原因：实际支付企业数比计划多两家</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下年度做好预算并严格执行。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：支付服务企业数</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&gt;=11家，</w:t>
      </w:r>
      <w:r>
        <w:rPr>
          <w:rFonts w:hint="default" w:ascii="Times New Roman" w:hAnsi="Times New Roman" w:eastAsia="仿宋_GB2312" w:cs="Times New Roman"/>
          <w:sz w:val="32"/>
          <w:szCs w:val="32"/>
          <w:highlight w:val="none"/>
        </w:rPr>
        <w:t>实际完成值：=12家</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：109.09%，</w:t>
      </w:r>
      <w:r>
        <w:rPr>
          <w:rFonts w:hint="default" w:ascii="Times New Roman" w:hAnsi="Times New Roman" w:eastAsia="仿宋_GB2312" w:cs="Times New Roman"/>
          <w:sz w:val="32"/>
          <w:szCs w:val="32"/>
          <w:highlight w:val="none"/>
          <w:lang w:eastAsia="zh-CN"/>
        </w:rPr>
        <w:t>偏差原因：实际支付企业数比计划多一家</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下年度做好预算并严格执行。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资金拨付准确率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指标值：=100%</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实际完成值：=100%</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100%</w:t>
      </w:r>
      <w:r>
        <w:rPr>
          <w:rFonts w:hint="eastAsia" w:ascii="Times New Roman" w:hAnsi="Times New Roman" w:eastAsia="仿宋_GB2312" w:cs="Times New Roman"/>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指标1：资金拨付及时率，指标值：=100%，实际完成值：=100%，指标完成率：100%。</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指标1：运维费成本，指标值：&lt;=40.4万元，实际完成值：=40.82万元，指标完成率：</w:t>
      </w:r>
      <w:r>
        <w:rPr>
          <w:rFonts w:hint="eastAsia" w:ascii="Times New Roman" w:hAnsi="Times New Roman" w:eastAsia="仿宋_GB2312" w:cs="Times New Roman"/>
          <w:sz w:val="32"/>
          <w:szCs w:val="32"/>
          <w:highlight w:val="none"/>
          <w:lang w:val="en-US" w:eastAsia="zh-CN"/>
        </w:rPr>
        <w:t>101.04</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偏差原因：实际支付金额比计划多0.42万元</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改进措施：下年度做好预算并严格执行。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：服务费成本，指标值：&lt;=139.6万元，实际完成值：=139.13万元，指标完成率：</w:t>
      </w:r>
      <w:r>
        <w:rPr>
          <w:rFonts w:hint="eastAsia" w:ascii="Times New Roman" w:hAnsi="Times New Roman" w:eastAsia="仿宋_GB2312" w:cs="Times New Roman"/>
          <w:sz w:val="32"/>
          <w:szCs w:val="32"/>
          <w:highlight w:val="none"/>
          <w:lang w:val="en-US" w:eastAsia="zh-CN"/>
        </w:rPr>
        <w:t>99.66</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偏差原因：实际支付金额比计划少0.47万元。</w:t>
      </w:r>
      <w:r>
        <w:rPr>
          <w:rFonts w:hint="eastAsia" w:eastAsia="仿宋_GB2312" w:cs="Times New Roman"/>
          <w:sz w:val="32"/>
          <w:szCs w:val="32"/>
          <w:highlight w:val="none"/>
          <w:lang w:val="en-US" w:eastAsia="zh-CN"/>
        </w:rPr>
        <w:t>改进措施：下年度做好预算并严格执行。</w:t>
      </w:r>
    </w:p>
    <w:p>
      <w:pPr>
        <w:pStyle w:val="12"/>
        <w:keepNext w:val="0"/>
        <w:keepLines w:val="0"/>
        <w:pageBreakBefore w:val="0"/>
        <w:widowControl w:val="0"/>
        <w:numPr>
          <w:ilvl w:val="0"/>
          <w:numId w:val="4"/>
        </w:numPr>
        <w:kinsoku/>
        <w:wordWrap/>
        <w:overflowPunct/>
        <w:topLinePunct w:val="0"/>
        <w:autoSpaceDE/>
        <w:autoSpaceDN/>
        <w:bidi w:val="0"/>
        <w:adjustRightInd/>
        <w:snapToGrid/>
        <w:spacing w:after="0"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w:t>
      </w:r>
      <w:r>
        <w:rPr>
          <w:rFonts w:hint="default" w:ascii="Times New Roman" w:hAnsi="Times New Roman" w:eastAsia="仿宋_GB2312" w:cs="Times New Roman"/>
          <w:sz w:val="32"/>
          <w:szCs w:val="32"/>
          <w:highlight w:val="none"/>
          <w:lang w:val="en-US" w:eastAsia="zh-CN"/>
        </w:rPr>
        <w:t>社会效益指标和</w:t>
      </w:r>
      <w:r>
        <w:rPr>
          <w:rFonts w:hint="default" w:ascii="Times New Roman" w:hAnsi="Times New Roman"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具体效益指标及满意度指标完成情况如下：</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社会效益指标：</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指标1：保障单位正常运转，指标值：有效保障，实际完成值：得到保障，指标完成率：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指标1：单位人员满意度，指标值：&gt;=95%，实际完成值：=95%，指标完成率：100%。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kern w:val="2"/>
          <w:sz w:val="32"/>
          <w:szCs w:val="32"/>
          <w:highlight w:val="none"/>
          <w:lang w:val="en-US" w:eastAsia="zh-CN" w:bidi="ar-SA"/>
        </w:rPr>
        <w:t>2024年财政运行各类服务费项目年初预算</w:t>
      </w:r>
      <w:r>
        <w:rPr>
          <w:rFonts w:hint="eastAsia" w:ascii="Times New Roman" w:hAnsi="Times New Roman" w:eastAsia="仿宋_GB2312" w:cs="Times New Roman"/>
          <w:kern w:val="2"/>
          <w:sz w:val="32"/>
          <w:szCs w:val="32"/>
          <w:highlight w:val="none"/>
          <w:lang w:val="en-US" w:eastAsia="zh-CN" w:bidi="ar-SA"/>
        </w:rPr>
        <w:t>180</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180</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179.95</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99.97</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109.56</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9.59</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ascii="Times New Roman" w:hAnsi="Times New Roman" w:eastAsia="仿宋_GB2312" w:cs="Times New Roman"/>
          <w:kern w:val="2"/>
          <w:sz w:val="32"/>
          <w:szCs w:val="32"/>
          <w:highlight w:val="none"/>
          <w:lang w:val="en-US" w:eastAsia="zh-CN" w:bidi="ar-SA"/>
        </w:rPr>
        <w:t>：支付运维企业数实际支付企业数比计划多两家，支付服务企业数实际支付企业数比计划多一家，</w:t>
      </w:r>
      <w:r>
        <w:rPr>
          <w:rFonts w:hint="default" w:ascii="Times New Roman" w:hAnsi="Times New Roman" w:eastAsia="仿宋_GB2312" w:cs="Times New Roman"/>
          <w:kern w:val="2"/>
          <w:sz w:val="32"/>
          <w:szCs w:val="32"/>
          <w:highlight w:val="none"/>
          <w:lang w:val="en-US" w:eastAsia="zh-CN" w:bidi="ar-SA"/>
        </w:rPr>
        <w:t>运维费成本实际支付金额比计划多0.42万元，服务费成本实际支付金额比计划少0.47万元</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下年度做好预算并严格执行。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各预算单位更好的开展财务采购工作，完成预算管理一体化系统建设，加强财政内部网络安全和保密，保障财政资金支付安全发挥了重要作用。对于已立项的2024年服务费，按要求列入年度计划，按照分工授权逐级审核审批，严格按合同约定的条款审核审批。</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于已经立项的委托业务服务费，按要求进一步细化具体开支科目，履约验收方面继续严格按合同约定的条款审核审批。业务监管方面，要加强对过程的参与、具体指导和实时监督，加强对委托业务实施的可行性研究、实施具体内容、经费需求、预期目标进行必要的事前调研，单位对委托业务要加强监管，明确分工，细化职责，建立健全管理机制。</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2.专门设定绩效工作人员，进一步提升我单位绩效管理工作业务水平，扎实做好绩效管理工作。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w:t>
      </w:r>
      <w:r>
        <w:rPr>
          <w:rFonts w:hint="eastAsia" w:eastAsia="仿宋_GB2312" w:cs="Times New Roman"/>
          <w:sz w:val="32"/>
          <w:szCs w:val="32"/>
          <w:highlight w:val="none"/>
          <w:lang w:val="en-US" w:eastAsia="zh-CN"/>
        </w:rPr>
        <w:t>加强对绩效自评工作的监督检查，建立健全绩效自评工作，确保自评工作有序开展，结果真实可靠。</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keepNext w:val="0"/>
        <w:keepLines w:val="0"/>
        <w:pageBreakBefore w:val="0"/>
        <w:widowControl w:val="0"/>
        <w:kinsoku/>
        <w:wordWrap/>
        <w:overflowPunct/>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Hans"/>
        </w:rPr>
        <w:t>本项目无其他需说明的问题。</w:t>
      </w:r>
    </w:p>
    <w:p>
      <w:pPr>
        <w:pStyle w:val="13"/>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keepNext w:val="0"/>
        <w:keepLines w:val="0"/>
        <w:pageBreakBefore w:val="0"/>
        <w:widowControl w:val="0"/>
        <w:kinsoku/>
        <w:wordWrap/>
        <w:overflowPunct/>
        <w:topLinePunct w:val="0"/>
        <w:autoSpaceDE/>
        <w:autoSpaceDN/>
        <w:bidi w:val="0"/>
        <w:adjustRightInd/>
        <w:snapToGrid/>
        <w:spacing w:line="560" w:lineRule="exact"/>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2024年财政运行各类服务费</w:t>
      </w:r>
      <w:r>
        <w:rPr>
          <w:rFonts w:hint="eastAsia" w:ascii="仿宋_GB2312" w:hAnsi="仿宋_GB2312" w:eastAsia="仿宋_GB2312" w:cs="仿宋_GB2312"/>
          <w:b/>
          <w:bCs/>
          <w:sz w:val="28"/>
          <w:szCs w:val="40"/>
          <w:highlight w:val="none"/>
        </w:rPr>
        <w:t>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keepNext w:val="0"/>
              <w:keepLines w:val="0"/>
              <w:pageBreakBefore w:val="0"/>
              <w:widowControl w:val="0"/>
              <w:kinsoku/>
              <w:wordWrap/>
              <w:overflowPunct/>
              <w:topLinePunct w:val="0"/>
              <w:autoSpaceDE/>
              <w:autoSpaceDN/>
              <w:bidi w:val="0"/>
              <w:adjustRightInd/>
              <w:snapToGrid/>
              <w:spacing w:line="560" w:lineRule="exac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xx</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bookmarkStart w:id="3" w:name="_GoBack"/>
            <w:bookmarkEnd w:id="3"/>
          </w:p>
        </w:tc>
        <w:tc>
          <w:tcPr>
            <w:tcW w:w="172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05"/>
        <w:gridCol w:w="1832"/>
        <w:gridCol w:w="1410"/>
        <w:gridCol w:w="1093"/>
        <w:gridCol w:w="1665"/>
        <w:gridCol w:w="132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13725"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13725"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5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2024年财政运行各类服务费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49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奇台县财政局本级</w:t>
            </w:r>
          </w:p>
        </w:tc>
        <w:tc>
          <w:tcPr>
            <w:tcW w:w="2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4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奇台县财政局本级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2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180.00</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180.00</w:t>
            </w:r>
          </w:p>
        </w:tc>
        <w:tc>
          <w:tcPr>
            <w:tcW w:w="2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179.95</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99.97%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w:t>
            </w:r>
          </w:p>
        </w:tc>
        <w:tc>
          <w:tcPr>
            <w:tcW w:w="2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179.95</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5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60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5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6077"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进行支付企业的运维费及服务费，运维费3家，服务费11家，资金拨付准确率达到100%，资金拨付及时率达到100%，有效保障了单位正常运转。</w:t>
            </w:r>
          </w:p>
        </w:tc>
        <w:tc>
          <w:tcPr>
            <w:tcW w:w="6568"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支付企业的运维费及服务费，运维费5家40.82万元，服务费12家139.13万元，资金拨付准确率达到100%，资金拨付及时率达到100%，有效保障了单位正常运转。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0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1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24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0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4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支付运维企业数</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&gt;=3家</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=5家</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3.33</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实际支付企业数比计划多两家。改进措施：下年度做好预算并严格执行。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支付服务企业数</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&gt;=11家</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=12家</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9.09</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实际支付企业数比计划多一家。改进措施：下年度做好预算并严格执行。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资金拨付准确率</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资金拨付及时率</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运维费成本</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&lt;=40.4万元</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=40.82万元</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实际支付金额比计划多0.42万元。改进措施：下年度做好预算并严格执行。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服务费成本</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&lt;=139.6万元</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=139.13万元</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9.91</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实际支付金额比计划少0.47万元。改进措施：下年度做好预算并严格执行。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保障单位正常运转</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得到保障</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20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单位人员满意度</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856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92.23分</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bl>
    <w:p>
      <w:pPr>
        <w:keepNext w:val="0"/>
        <w:keepLines w:val="0"/>
        <w:pageBreakBefore w:val="0"/>
        <w:widowControl w:val="0"/>
        <w:kinsoku/>
        <w:wordWrap/>
        <w:overflowPunct/>
        <w:topLinePunct w:val="0"/>
        <w:autoSpaceDE/>
        <w:autoSpaceDN/>
        <w:bidi w:val="0"/>
        <w:adjustRightInd/>
        <w:snapToGrid/>
        <w:spacing w:line="560" w:lineRule="exact"/>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4878BD"/>
    <w:rsid w:val="0359655C"/>
    <w:rsid w:val="03EC461B"/>
    <w:rsid w:val="0607524C"/>
    <w:rsid w:val="069C2465"/>
    <w:rsid w:val="071A5591"/>
    <w:rsid w:val="07397B77"/>
    <w:rsid w:val="07BE14C6"/>
    <w:rsid w:val="0AD007F3"/>
    <w:rsid w:val="0D082A6E"/>
    <w:rsid w:val="0E3C619F"/>
    <w:rsid w:val="0F6273CA"/>
    <w:rsid w:val="100F38EC"/>
    <w:rsid w:val="11170296"/>
    <w:rsid w:val="12C66037"/>
    <w:rsid w:val="12CD1ABC"/>
    <w:rsid w:val="13471461"/>
    <w:rsid w:val="13B90F01"/>
    <w:rsid w:val="153005F9"/>
    <w:rsid w:val="155E4C4D"/>
    <w:rsid w:val="181066D2"/>
    <w:rsid w:val="1BDE2915"/>
    <w:rsid w:val="1C671E73"/>
    <w:rsid w:val="1D322C47"/>
    <w:rsid w:val="1F01484B"/>
    <w:rsid w:val="22290DFD"/>
    <w:rsid w:val="22482214"/>
    <w:rsid w:val="23616034"/>
    <w:rsid w:val="23696C97"/>
    <w:rsid w:val="24480FA2"/>
    <w:rsid w:val="25227A45"/>
    <w:rsid w:val="26AC3A6A"/>
    <w:rsid w:val="28AE42BB"/>
    <w:rsid w:val="2B9D7E25"/>
    <w:rsid w:val="2C7C7A3B"/>
    <w:rsid w:val="2F364819"/>
    <w:rsid w:val="2FD63906"/>
    <w:rsid w:val="37215DAE"/>
    <w:rsid w:val="38CA40DD"/>
    <w:rsid w:val="395F2B56"/>
    <w:rsid w:val="3A952010"/>
    <w:rsid w:val="3AD0140D"/>
    <w:rsid w:val="3B482032"/>
    <w:rsid w:val="3BBA0580"/>
    <w:rsid w:val="3BECE841"/>
    <w:rsid w:val="3CDE204C"/>
    <w:rsid w:val="3D363C36"/>
    <w:rsid w:val="3E9C3F6D"/>
    <w:rsid w:val="3FD54B70"/>
    <w:rsid w:val="3FF7797D"/>
    <w:rsid w:val="42E97153"/>
    <w:rsid w:val="42F16CBA"/>
    <w:rsid w:val="46690BD8"/>
    <w:rsid w:val="475E5988"/>
    <w:rsid w:val="49F70BF1"/>
    <w:rsid w:val="49FD43BD"/>
    <w:rsid w:val="4B4340EE"/>
    <w:rsid w:val="503D507A"/>
    <w:rsid w:val="51FA74D0"/>
    <w:rsid w:val="52AA4A52"/>
    <w:rsid w:val="539D3AD1"/>
    <w:rsid w:val="59943D66"/>
    <w:rsid w:val="59E051FD"/>
    <w:rsid w:val="59E6355E"/>
    <w:rsid w:val="5A9263A6"/>
    <w:rsid w:val="5B821531"/>
    <w:rsid w:val="5BFF6039"/>
    <w:rsid w:val="5D76A616"/>
    <w:rsid w:val="5D7F20B9"/>
    <w:rsid w:val="5DAC7D0E"/>
    <w:rsid w:val="5F98B5AF"/>
    <w:rsid w:val="5FB43FDF"/>
    <w:rsid w:val="5FFE8511"/>
    <w:rsid w:val="5FFEACE2"/>
    <w:rsid w:val="609D5BF6"/>
    <w:rsid w:val="61073070"/>
    <w:rsid w:val="61586CF6"/>
    <w:rsid w:val="61B9080E"/>
    <w:rsid w:val="61DF3FED"/>
    <w:rsid w:val="62606CE8"/>
    <w:rsid w:val="642B176B"/>
    <w:rsid w:val="643EE26D"/>
    <w:rsid w:val="656019A0"/>
    <w:rsid w:val="65F242EE"/>
    <w:rsid w:val="666D7E19"/>
    <w:rsid w:val="67AE67A9"/>
    <w:rsid w:val="68376930"/>
    <w:rsid w:val="68F91E38"/>
    <w:rsid w:val="6B3158B9"/>
    <w:rsid w:val="6BA02A3F"/>
    <w:rsid w:val="6C105349"/>
    <w:rsid w:val="6C1E5A53"/>
    <w:rsid w:val="6F5C41AC"/>
    <w:rsid w:val="6FAF6C78"/>
    <w:rsid w:val="716167CC"/>
    <w:rsid w:val="71894845"/>
    <w:rsid w:val="718A7AD1"/>
    <w:rsid w:val="72A44BC2"/>
    <w:rsid w:val="7317C656"/>
    <w:rsid w:val="734ED73F"/>
    <w:rsid w:val="73C82B32"/>
    <w:rsid w:val="73EF187C"/>
    <w:rsid w:val="73F94DAE"/>
    <w:rsid w:val="74115A33"/>
    <w:rsid w:val="74220495"/>
    <w:rsid w:val="747D1B6F"/>
    <w:rsid w:val="749E5641"/>
    <w:rsid w:val="74F22AE1"/>
    <w:rsid w:val="76271066"/>
    <w:rsid w:val="76AF3A0B"/>
    <w:rsid w:val="770E18F5"/>
    <w:rsid w:val="77FD8BE9"/>
    <w:rsid w:val="78000AED"/>
    <w:rsid w:val="78036054"/>
    <w:rsid w:val="79A9BD3F"/>
    <w:rsid w:val="7A9D283A"/>
    <w:rsid w:val="7AC5270E"/>
    <w:rsid w:val="7B776F12"/>
    <w:rsid w:val="7BFFFDD0"/>
    <w:rsid w:val="7C336E5F"/>
    <w:rsid w:val="7C56076A"/>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2158</Words>
  <Characters>2225</Characters>
  <Lines>58</Lines>
  <Paragraphs>16</Paragraphs>
  <TotalTime>119</TotalTime>
  <ScaleCrop>false</ScaleCrop>
  <LinksUpToDate>false</LinksUpToDate>
  <CharactersWithSpaces>2225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2025-05-16T03:35:10Z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