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bookmarkStart w:id="8" w:name="_GoBack"/>
      <w:bookmarkEnd w:id="8"/>
    </w:p>
    <w:p>
      <w:pPr>
        <w:spacing w:line="540" w:lineRule="exact"/>
        <w:jc w:val="both"/>
        <w:rPr>
          <w:rFonts w:hint="eastAsia" w:eastAsia="方正小标宋_GBK" w:cs="Times New Roman"/>
          <w:kern w:val="0"/>
          <w:sz w:val="48"/>
          <w:szCs w:val="48"/>
          <w:lang w:val="en-US" w:eastAsia="zh-CN"/>
        </w:rPr>
      </w:pPr>
    </w:p>
    <w:p>
      <w:pPr>
        <w:spacing w:line="540" w:lineRule="exact"/>
        <w:jc w:val="both"/>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w:t>
      </w:r>
      <w:r>
        <w:rPr>
          <w:rFonts w:hint="default" w:ascii="Times New Roman" w:hAnsi="Times New Roman" w:eastAsia="方正小标宋_GBK" w:cs="Times New Roman"/>
          <w:kern w:val="0"/>
          <w:sz w:val="48"/>
          <w:szCs w:val="48"/>
        </w:rPr>
        <w:t>中央基本公共卫生服务补助（昌州财社【2023】104号）项目支出绩效评价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kern w:val="0"/>
          <w:sz w:val="36"/>
          <w:szCs w:val="36"/>
          <w:highlight w:val="none"/>
        </w:rPr>
      </w:pP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pStyle w:val="13"/>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cs="Times New Roman"/>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项目名称：2024年基本公共卫生服务补助</w:t>
      </w:r>
    </w:p>
    <w:p>
      <w:pPr>
        <w:keepNext w:val="0"/>
        <w:keepLines w:val="0"/>
        <w:pageBreakBefore w:val="0"/>
        <w:kinsoku/>
        <w:wordWrap w:val="0"/>
        <w:overflowPunct/>
        <w:topLinePunct/>
        <w:autoSpaceDE/>
        <w:autoSpaceDN/>
        <w:bidi w:val="0"/>
        <w:adjustRightInd/>
        <w:snapToGrid/>
        <w:spacing w:line="560" w:lineRule="exact"/>
        <w:ind w:firstLine="1440" w:firstLineChars="400"/>
        <w:jc w:val="righ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奇台县</w:t>
      </w:r>
      <w:r>
        <w:rPr>
          <w:rFonts w:hint="eastAsia" w:eastAsia="仿宋_GB2312" w:cs="Times New Roman"/>
          <w:kern w:val="0"/>
          <w:sz w:val="36"/>
          <w:szCs w:val="36"/>
          <w:highlight w:val="none"/>
          <w:lang w:val="en-US" w:eastAsia="zh-CN"/>
        </w:rPr>
        <w:t>西地</w:t>
      </w:r>
      <w:r>
        <w:rPr>
          <w:rFonts w:hint="eastAsia" w:eastAsia="仿宋_GB2312" w:cs="Times New Roman"/>
          <w:kern w:val="0"/>
          <w:sz w:val="36"/>
          <w:szCs w:val="36"/>
          <w:highlight w:val="none"/>
          <w:lang w:eastAsia="zh-CN"/>
        </w:rPr>
        <w:t>镇</w:t>
      </w:r>
      <w:r>
        <w:rPr>
          <w:rFonts w:hint="eastAsia" w:eastAsia="仿宋_GB2312" w:cs="Times New Roman"/>
          <w:kern w:val="0"/>
          <w:sz w:val="36"/>
          <w:szCs w:val="36"/>
          <w:highlight w:val="none"/>
          <w:lang w:val="en-US" w:eastAsia="zh-CN"/>
        </w:rPr>
        <w:t>卫生院（奇台县西地镇人口和计划生育生殖健康服务站）</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奇台县卫生健康委员会</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汪利新</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黑体" w:cs="Times New Roman"/>
          <w:bCs/>
          <w:sz w:val="32"/>
          <w:szCs w:val="32"/>
          <w:highlight w:val="none"/>
        </w:rPr>
        <w:sectPr>
          <w:pgSz w:w="11906" w:h="16838"/>
          <w:pgMar w:top="2098" w:right="1531" w:bottom="1984" w:left="1531"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wordWrap w:val="0"/>
        <w:topLinePunct/>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wordWrap w:val="0"/>
        <w:topLinePunct/>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实施国家基本公共卫生服务项目是促进基本公共卫生服务逐步均等化的重要内容，也是我国公共卫生制度建设的重要组成部分。国家基本公共卫生服务项目自</w:t>
      </w:r>
      <w:r>
        <w:rPr>
          <w:rFonts w:hint="default" w:eastAsia="仿宋_GB2312" w:cs="Times New Roman"/>
          <w:sz w:val="32"/>
          <w:szCs w:val="32"/>
          <w:highlight w:val="none"/>
          <w:lang w:val="en-US" w:eastAsia="zh-CN"/>
        </w:rPr>
        <w:t>2009</w:t>
      </w:r>
      <w:r>
        <w:rPr>
          <w:rFonts w:hint="default" w:ascii="Times New Roman" w:hAnsi="Times New Roman" w:eastAsia="仿宋_GB2312" w:cs="Times New Roman"/>
          <w:sz w:val="32"/>
          <w:szCs w:val="32"/>
          <w:highlight w:val="none"/>
          <w:lang w:val="en-US" w:eastAsia="zh-CN"/>
        </w:rPr>
        <w:t>年启动以来，在城乡基层医疗卫生机构得到了普遍开展，取得了一定的成效。2021年人均基本公共卫生服务经费补助标准提高至79元。目前奇台县妇幼保健院基本公共卫生服务项目共涵盖</w:t>
      </w:r>
      <w:r>
        <w:rPr>
          <w:rFonts w:hint="default" w:eastAsia="仿宋_GB2312" w:cs="Times New Roman"/>
          <w:sz w:val="32"/>
          <w:szCs w:val="32"/>
          <w:highlight w:val="none"/>
          <w:lang w:val="en-US" w:eastAsia="zh-CN"/>
        </w:rPr>
        <w:t>高血压患者管理、居民电子健康档案建档管理、7岁以下儿童健康管理、孕产妇系统管理、2型糖尿病患者管理、老年人中医药健康管理</w:t>
      </w:r>
      <w:r>
        <w:rPr>
          <w:rFonts w:hint="default" w:ascii="Times New Roman" w:hAnsi="Times New Roman" w:eastAsia="仿宋_GB2312" w:cs="Times New Roman"/>
          <w:sz w:val="32"/>
          <w:szCs w:val="32"/>
          <w:highlight w:val="none"/>
          <w:lang w:val="en-US" w:eastAsia="zh-CN"/>
        </w:rPr>
        <w:t>。</w:t>
      </w:r>
    </w:p>
    <w:p>
      <w:pPr>
        <w:pStyle w:val="13"/>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高血压患者管理人数、居民电子健康档案建档人数、7岁以下儿童健康管理人数、孕产妇系统管理人数、2型糖尿病患者管理人数、老年人中医药健康管理人数、高血压患者管理率、居民电子健康档案使用率、7岁以下儿童健康管理率、孕产妇系统管理率、2型糖尿病患者管理率、老年人中医药健康管理率。</w:t>
      </w:r>
    </w:p>
    <w:p>
      <w:pPr>
        <w:shd w:val="clear"/>
        <w:spacing w:line="600" w:lineRule="exact"/>
        <w:ind w:firstLine="640" w:firstLineChars="200"/>
        <w:outlineLvl w:val="0"/>
        <w:rPr>
          <w:rFonts w:hint="default" w:ascii="Times New Roman" w:hAnsi="Times New Roman" w:cs="Times New Roman"/>
          <w:color w:val="auto"/>
          <w:highlight w:val="none"/>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highlight w:val="none"/>
        </w:rPr>
        <w:t>项目实施情况：</w:t>
      </w:r>
      <w:r>
        <w:rPr>
          <w:rFonts w:hint="default" w:ascii="Times New Roman" w:hAnsi="Times New Roman" w:eastAsia="仿宋_GB2312" w:cs="Times New Roman"/>
          <w:color w:val="auto"/>
          <w:sz w:val="32"/>
          <w:szCs w:val="32"/>
          <w:highlight w:val="none"/>
        </w:rPr>
        <w:t>截至2024年12月31日，该项目实际完成</w:t>
      </w:r>
      <w:r>
        <w:rPr>
          <w:rFonts w:hint="eastAsia" w:eastAsia="仿宋_GB2312" w:cs="Times New Roman"/>
          <w:color w:val="auto"/>
          <w:sz w:val="32"/>
          <w:szCs w:val="32"/>
          <w:highlight w:val="none"/>
          <w:lang w:val="en-US" w:eastAsia="zh-CN"/>
        </w:rPr>
        <w:t>108.8</w:t>
      </w:r>
      <w:r>
        <w:rPr>
          <w:rFonts w:hint="default" w:ascii="Times New Roman" w:hAnsi="Times New Roman" w:eastAsia="仿宋_GB2312" w:cs="Times New Roman"/>
          <w:color w:val="auto"/>
          <w:sz w:val="32"/>
          <w:szCs w:val="32"/>
          <w:highlight w:val="none"/>
        </w:rPr>
        <w:t>万元，通过免费向</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提供基本公共卫生服务，</w:t>
      </w:r>
      <w:r>
        <w:rPr>
          <w:rFonts w:hint="eastAsia" w:eastAsia="仿宋_GB2312" w:cs="Times New Roman"/>
          <w:color w:val="auto"/>
          <w:sz w:val="32"/>
          <w:szCs w:val="32"/>
          <w:highlight w:val="none"/>
          <w:lang w:eastAsia="zh-CN"/>
        </w:rPr>
        <w:t>我院</w:t>
      </w:r>
      <w:r>
        <w:rPr>
          <w:rFonts w:hint="eastAsia" w:eastAsia="仿宋_GB2312" w:cs="Times New Roman"/>
          <w:sz w:val="32"/>
          <w:szCs w:val="32"/>
          <w:highlight w:val="none"/>
          <w:lang w:val="en-US" w:eastAsia="zh-CN"/>
        </w:rPr>
        <w:t>高血压患者管理人数年初预算人数为872人，年末实际管理人数928人，使用率为84.7%；居民电子健康档案建档人数年初预算人数为7183人，年末实际管理人数7052人，使用率为74.65%；7岁以下儿童健康管理人数年初预算人数为115人，年末实际管理人数207人，使用率为99.02%；孕产妇系统管理人数年初预算人数为37人，年末实际管理人数14人，使用率为100%；2型糖尿病患者管理人数年初预算人数为338人，年末实际管理人数332人，使用率为83.43%；老年人中医药健康管理人数年初预算人数为1303人，年末实际管理人数1233人，使用率为115.38%；高血压患者管理率年初预算率为79%，年末实际管理率为84.7%，完成率为107.2%；居民电子健康档案使用率年初预算率为50%，年末实际管理率为74.65%，完成率为149.3%；7岁以下儿童健康管理率年初预算率为85%，年末实际管理率为99.02%，完成率为116.49%；孕产妇系统管理率年初预算率为90%，年末实际管理率为100%，完成率为111.1%；2型糖尿病患者管理率年初预算率为79%，年末实际管理率为83.43%，完成率为105%；老年人中医药健康管理率年初预算率为90%，年末实际管理率为155.38%，完成率为128.2%；。资金发放及时率90%，</w:t>
      </w:r>
      <w:r>
        <w:rPr>
          <w:rFonts w:hint="default" w:ascii="Times New Roman" w:hAnsi="Times New Roman" w:eastAsia="仿宋_GB2312" w:cs="Times New Roman"/>
          <w:color w:val="auto"/>
          <w:sz w:val="32"/>
          <w:szCs w:val="32"/>
          <w:highlight w:val="none"/>
        </w:rPr>
        <w:t>提高了</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健康水平，全面推进了基本公共卫生服务项目惠民政策的规范实施，提升了</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基本公共卫生服务的水平。</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75.79</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年中追加资金32.29万元，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108.08</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75.79</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年中追加资金32.29万元，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108.08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基本公卫的宣传、检查、试剂耗材等费用，</w:t>
      </w:r>
      <w:r>
        <w:rPr>
          <w:rFonts w:hint="default" w:ascii="Times New Roman" w:hAnsi="Times New Roman" w:eastAsia="仿宋_GB2312" w:cs="Times New Roman"/>
          <w:sz w:val="32"/>
          <w:szCs w:val="32"/>
          <w:highlight w:val="none"/>
          <w:lang w:val="en-US" w:eastAsia="zh-CN"/>
        </w:rPr>
        <w:t>提高</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健康水平，推进基本公共卫生服务项目惠民政策的规范实施，提升妇幼健康基本公共卫生服务水平。</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根据《2024年基本公共卫生服务补助资金项目实施方案》，</w:t>
      </w:r>
      <w:r>
        <w:rPr>
          <w:rFonts w:ascii="宋体" w:hAnsi="宋体" w:eastAsia="宋体" w:cs="宋体"/>
          <w:sz w:val="24"/>
          <w:szCs w:val="24"/>
        </w:rPr>
        <w:br w:type="textWrapping"/>
      </w:r>
      <w:r>
        <w:rPr>
          <w:rFonts w:hint="eastAsia" w:ascii="Times New Roman" w:hAnsi="Times New Roman" w:eastAsia="仿宋_GB2312" w:cs="Times New Roman"/>
          <w:sz w:val="32"/>
          <w:szCs w:val="32"/>
          <w:highlight w:val="none"/>
          <w:lang w:val="en-US" w:eastAsia="zh-CN"/>
        </w:rPr>
        <w:t>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上。</w:t>
      </w:r>
      <w:r>
        <w:rPr>
          <w:rFonts w:hint="default" w:ascii="Times New Roman" w:hAnsi="Times New Roman" w:eastAsia="仿宋_GB2312" w:cs="Times New Roman"/>
          <w:sz w:val="32"/>
          <w:szCs w:val="32"/>
          <w:highlight w:val="none"/>
          <w:lang w:val="en-US" w:eastAsia="zh-CN"/>
        </w:rPr>
        <w:t>以提高</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儿童健康水平为落脚点，全面推进基本公共卫生服务项目惠民政策的规范实施，使</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健康水平不断提高。</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2.阶段性目标</w:t>
      </w:r>
    </w:p>
    <w:p>
      <w:pPr>
        <w:numPr>
          <w:ilvl w:val="0"/>
          <w:numId w:val="0"/>
        </w:num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第一阶段：依据历年公共卫生相关数据，设立年初预算数据，确保项目有序进行。第二阶段：严格把关检查各季度公卫相关工作完成情况，依据完成情况汇总成册，依据完成情况按月按季度支付相关费用。</w:t>
      </w:r>
    </w:p>
    <w:p>
      <w:pPr>
        <w:numPr>
          <w:ilvl w:val="0"/>
          <w:numId w:val="0"/>
        </w:num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截至2024年</w:t>
      </w: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月31日，该项目实际完成</w:t>
      </w:r>
      <w:r>
        <w:rPr>
          <w:rFonts w:hint="eastAsia" w:eastAsia="仿宋_GB2312" w:cs="Times New Roman"/>
          <w:sz w:val="32"/>
          <w:szCs w:val="32"/>
          <w:highlight w:val="none"/>
          <w:lang w:val="en-US" w:eastAsia="zh-CN"/>
        </w:rPr>
        <w:t>108.08</w:t>
      </w:r>
      <w:r>
        <w:rPr>
          <w:rFonts w:hint="default" w:ascii="Times New Roman" w:hAnsi="Times New Roman" w:eastAsia="仿宋_GB2312" w:cs="Times New Roman"/>
          <w:sz w:val="32"/>
          <w:szCs w:val="32"/>
          <w:highlight w:val="none"/>
          <w:lang w:val="en-US" w:eastAsia="zh-CN"/>
        </w:rPr>
        <w:t>万元，通过免费向</w:t>
      </w:r>
      <w:r>
        <w:rPr>
          <w:rFonts w:hint="eastAsia" w:eastAsia="仿宋_GB2312" w:cs="Times New Roman"/>
          <w:sz w:val="32"/>
          <w:szCs w:val="32"/>
          <w:highlight w:val="none"/>
          <w:lang w:val="en-US" w:eastAsia="zh-CN"/>
        </w:rPr>
        <w:t>辖区居民</w:t>
      </w:r>
      <w:r>
        <w:rPr>
          <w:rFonts w:hint="default" w:ascii="Times New Roman" w:hAnsi="Times New Roman" w:eastAsia="仿宋_GB2312" w:cs="Times New Roman"/>
          <w:sz w:val="32"/>
          <w:szCs w:val="32"/>
          <w:highlight w:val="none"/>
          <w:lang w:val="en-US" w:eastAsia="zh-CN"/>
        </w:rPr>
        <w:t>提供基本公共卫生服务，完成</w:t>
      </w:r>
      <w:bookmarkStart w:id="0" w:name="OLE_LINK8"/>
      <w:r>
        <w:rPr>
          <w:rFonts w:hint="eastAsia" w:eastAsia="仿宋_GB2312" w:cs="Times New Roman"/>
          <w:sz w:val="32"/>
          <w:szCs w:val="32"/>
          <w:highlight w:val="none"/>
          <w:lang w:val="en-US" w:eastAsia="zh-CN"/>
        </w:rPr>
        <w:t>高血压患者管理人数928人、居民电子健康档案建档人数7052人、7岁以下儿童健康管理人数207人、孕产妇系统管理人数14人、2型糖尿病患者管理人数332人、老年人中医药健康管理人数1233人、高血压患者管理率84.7%、居民电子健康档案使用率74.65%、7岁以下儿童健康管理率99.02%、孕产妇系统管理率100%、2型糖尿病患者管理率83.43%、老年人中医药健康管理率115.38%。</w:t>
      </w:r>
      <w:r>
        <w:rPr>
          <w:rFonts w:hint="default" w:ascii="Times New Roman" w:hAnsi="Times New Roman" w:eastAsia="仿宋_GB2312" w:cs="Times New Roman"/>
          <w:sz w:val="32"/>
          <w:szCs w:val="32"/>
          <w:highlight w:val="none"/>
          <w:lang w:val="en-US" w:eastAsia="zh-CN"/>
        </w:rPr>
        <w:t>提高了</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健康水平，全面推进了基本公共卫生服务项目惠民政策的规范实施，</w:t>
      </w:r>
      <w:r>
        <w:rPr>
          <w:rFonts w:hint="eastAsia" w:ascii="Times New Roman" w:hAnsi="Times New Roman"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val="en-US" w:eastAsia="zh-CN"/>
        </w:rPr>
        <w:t>提升了</w:t>
      </w:r>
      <w:r>
        <w:rPr>
          <w:rFonts w:hint="eastAsia" w:eastAsia="仿宋_GB2312" w:cs="Times New Roman"/>
          <w:sz w:val="32"/>
          <w:szCs w:val="32"/>
          <w:highlight w:val="none"/>
          <w:lang w:val="en-US" w:eastAsia="zh-CN"/>
        </w:rPr>
        <w:t>居民</w:t>
      </w:r>
      <w:r>
        <w:rPr>
          <w:rFonts w:hint="default" w:ascii="Times New Roman" w:hAnsi="Times New Roman" w:eastAsia="仿宋_GB2312" w:cs="Times New Roman"/>
          <w:sz w:val="32"/>
          <w:szCs w:val="32"/>
          <w:highlight w:val="none"/>
          <w:lang w:val="en-US" w:eastAsia="zh-CN"/>
        </w:rPr>
        <w:t>健康基本公共卫生服务的水平</w:t>
      </w:r>
      <w:bookmarkEnd w:id="0"/>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社会效益，力求全方位反映项目的绩效状况。同时，对于每个指标的评价标准和数据来源均进行了明确说明，确保评价结果的客观性和可追溯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绩效评价的对象</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t>本项目预算绩效评价报告的评价对象是2024年中央基本公共卫生服务补助（昌州财社【2023】104号）及其预算执行情况。该项目由</w:t>
      </w:r>
      <w:r>
        <w:rPr>
          <w:rFonts w:hint="eastAsia" w:ascii="Times New Roman" w:hAnsi="Times New Roman" w:eastAsia="仿宋_GB2312" w:cs="Times New Roman"/>
          <w:sz w:val="32"/>
          <w:szCs w:val="32"/>
          <w:highlight w:val="none"/>
          <w:lang w:eastAsia="zh-CN"/>
        </w:rPr>
        <w:t>奇台县</w:t>
      </w:r>
      <w:r>
        <w:rPr>
          <w:rFonts w:hint="eastAsia" w:eastAsia="仿宋_GB2312" w:cs="Times New Roman"/>
          <w:sz w:val="32"/>
          <w:szCs w:val="32"/>
          <w:highlight w:val="none"/>
          <w:lang w:val="en-US" w:eastAsia="zh-CN"/>
        </w:rPr>
        <w:t>西地</w:t>
      </w:r>
      <w:r>
        <w:rPr>
          <w:rFonts w:hint="eastAsia" w:eastAsia="仿宋_GB2312" w:cs="Times New Roman"/>
          <w:sz w:val="32"/>
          <w:szCs w:val="32"/>
          <w:highlight w:val="none"/>
          <w:lang w:eastAsia="zh-CN"/>
        </w:rPr>
        <w:t>镇卫生院</w:t>
      </w:r>
      <w:r>
        <w:rPr>
          <w:rFonts w:hint="default" w:ascii="Times New Roman" w:hAnsi="Times New Roman" w:eastAsia="仿宋_GB2312" w:cs="Times New Roman"/>
          <w:sz w:val="32"/>
          <w:szCs w:val="32"/>
          <w:highlight w:val="none"/>
        </w:rPr>
        <w:t>负责实施，旨在提高</w:t>
      </w:r>
      <w:r>
        <w:rPr>
          <w:rFonts w:hint="eastAsia" w:eastAsia="仿宋_GB2312" w:cs="Times New Roman"/>
          <w:sz w:val="32"/>
          <w:szCs w:val="32"/>
          <w:highlight w:val="none"/>
          <w:lang w:eastAsia="zh-CN"/>
        </w:rPr>
        <w:t>居民</w:t>
      </w:r>
      <w:r>
        <w:rPr>
          <w:rFonts w:hint="default" w:ascii="Times New Roman" w:hAnsi="Times New Roman" w:eastAsia="仿宋_GB2312" w:cs="Times New Roman"/>
          <w:sz w:val="32"/>
          <w:szCs w:val="32"/>
          <w:highlight w:val="none"/>
        </w:rPr>
        <w:t>健康水平，推进基本公共卫生服务项目惠民政策的规范实施，提升</w:t>
      </w:r>
      <w:r>
        <w:rPr>
          <w:rFonts w:hint="eastAsia" w:eastAsia="仿宋_GB2312" w:cs="Times New Roman"/>
          <w:sz w:val="32"/>
          <w:szCs w:val="32"/>
          <w:highlight w:val="none"/>
          <w:lang w:eastAsia="zh-CN"/>
        </w:rPr>
        <w:t>居民</w:t>
      </w:r>
      <w:r>
        <w:rPr>
          <w:rFonts w:hint="default" w:ascii="Times New Roman" w:hAnsi="Times New Roman" w:eastAsia="仿宋_GB2312" w:cs="Times New Roman"/>
          <w:sz w:val="32"/>
          <w:szCs w:val="32"/>
          <w:highlight w:val="none"/>
        </w:rPr>
        <w:t>健康基本公共卫生服务的水平。项目预算涵盖从</w:t>
      </w:r>
      <w:r>
        <w:rPr>
          <w:rFonts w:hint="default" w:ascii="Times New Roman" w:hAnsi="Times New Roman" w:eastAsia="仿宋_GB2312" w:cs="Times New Roman"/>
          <w:sz w:val="32"/>
          <w:szCs w:val="32"/>
          <w:lang w:val="en-US" w:eastAsia="zh-CN"/>
        </w:rPr>
        <w:t>2024年1月1日至2024年12月31日的全部资金</w:t>
      </w:r>
      <w:r>
        <w:rPr>
          <w:rFonts w:hint="default" w:ascii="Times New Roman" w:hAnsi="Times New Roman" w:eastAsia="仿宋_GB2312" w:cs="Times New Roman"/>
          <w:sz w:val="32"/>
          <w:szCs w:val="32"/>
        </w:rPr>
        <w:t>投入与支出，涉及资金总额</w:t>
      </w:r>
      <w:r>
        <w:rPr>
          <w:rFonts w:hint="default" w:ascii="Times New Roman" w:hAnsi="Times New Roman" w:eastAsia="仿宋_GB2312" w:cs="Times New Roman"/>
          <w:sz w:val="32"/>
          <w:szCs w:val="32"/>
          <w:lang w:val="en-US" w:eastAsia="zh-CN"/>
        </w:rPr>
        <w:t>为</w:t>
      </w:r>
      <w:r>
        <w:rPr>
          <w:rFonts w:hint="eastAsia" w:eastAsia="仿宋_GB2312" w:cs="Times New Roman"/>
          <w:sz w:val="32"/>
          <w:szCs w:val="32"/>
          <w:lang w:val="en-US" w:eastAsia="zh-CN"/>
        </w:rPr>
        <w:t>108.08</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rPr>
        <w:t>绩效评价的范围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keepNext w:val="0"/>
        <w:keepLines w:val="0"/>
        <w:pageBreakBefore w:val="0"/>
        <w:widowControl w:val="0"/>
        <w:kinsoku/>
        <w:wordWrap w:val="0"/>
        <w:overflowPunct/>
        <w:topLinePunct/>
        <w:autoSpaceDE/>
        <w:autoSpaceDN/>
        <w:bidi w:val="0"/>
        <w:adjustRightInd/>
        <w:snapToGrid/>
        <w:spacing w:line="560" w:lineRule="exact"/>
        <w:ind w:left="298" w:leftChars="142" w:firstLine="300" w:firstLineChars="100"/>
        <w:textAlignment w:val="auto"/>
        <w:rPr>
          <w:rFonts w:hint="eastAsia" w:ascii="楷体" w:hAnsi="楷体" w:eastAsia="楷体" w:cs="楷体"/>
          <w:b/>
          <w:bCs/>
          <w:sz w:val="32"/>
          <w:szCs w:val="32"/>
        </w:rPr>
      </w:pPr>
      <w:r>
        <w:rPr>
          <w:rFonts w:hint="eastAsia" w:eastAsia="仿宋_GB2312" w:cs="Times New Roman"/>
          <w:b w:val="0"/>
          <w:bCs w:val="0"/>
          <w:sz w:val="30"/>
          <w:szCs w:val="30"/>
          <w:highlight w:val="none"/>
          <w:lang w:val="en-US" w:eastAsia="zh-CN"/>
        </w:rPr>
        <w:t>（4）</w:t>
      </w:r>
      <w:r>
        <w:rPr>
          <w:rFonts w:hint="default" w:ascii="Times New Roman" w:hAnsi="Times New Roman" w:eastAsia="仿宋_GB2312" w:cs="Times New Roman"/>
          <w:b w:val="0"/>
          <w:bCs w:val="0"/>
          <w:sz w:val="30"/>
          <w:szCs w:val="30"/>
          <w:highlight w:val="none"/>
        </w:rPr>
        <w:t>社会影响：考察项目对社会等方面的综合影响。</w:t>
      </w:r>
      <w:r>
        <w:rPr>
          <w:rFonts w:hint="eastAsia" w:eastAsia="仿宋_GB2312" w:cs="Times New Roman"/>
          <w:b w:val="0"/>
          <w:bCs w:val="0"/>
          <w:sz w:val="30"/>
          <w:szCs w:val="30"/>
          <w:highlight w:val="none"/>
          <w:lang w:val="en-US" w:eastAsia="zh-CN"/>
        </w:rPr>
        <w:t xml:space="preserve">        </w:t>
      </w:r>
      <w:r>
        <w:rPr>
          <w:rFonts w:hint="eastAsia" w:ascii="楷体" w:hAnsi="楷体" w:eastAsia="楷体" w:cs="楷体"/>
          <w:b/>
          <w:bCs/>
          <w:sz w:val="32"/>
          <w:szCs w:val="32"/>
        </w:rPr>
        <w:t>（二）绩效评价原则、评价指标体系（详情见表1）、评价方法、评价标准。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一</w:t>
      </w:r>
      <w:r>
        <w:rPr>
          <w:rFonts w:eastAsia="仿宋_GB2312"/>
          <w:color w:val="000000"/>
          <w:spacing w:val="17"/>
          <w:sz w:val="32"/>
          <w:szCs w:val="32"/>
        </w:rPr>
        <w:t>）比较法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二</w:t>
      </w:r>
      <w:r>
        <w:rPr>
          <w:rFonts w:eastAsia="仿宋_GB2312"/>
          <w:color w:val="000000"/>
          <w:spacing w:val="17"/>
          <w:sz w:val="32"/>
          <w:szCs w:val="32"/>
        </w:rPr>
        <w:t>）因素分析法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w:t>
      </w:r>
    </w:p>
    <w:p>
      <w:pPr>
        <w:pStyle w:val="13"/>
        <w:widowControl w:val="0"/>
        <w:numPr>
          <w:ilvl w:val="-1"/>
          <w:numId w:val="0"/>
        </w:numPr>
        <w:spacing w:before="0" w:after="0" w:line="560" w:lineRule="exact"/>
        <w:ind w:firstLine="711" w:firstLineChars="200"/>
        <w:jc w:val="both"/>
        <w:outlineLvl w:val="9"/>
        <w:rPr>
          <w:rFonts w:hint="default" w:ascii="Times New Roman" w:hAnsi="Times New Roman" w:eastAsia="楷体" w:cs="Times New Roman"/>
          <w:color w:val="000000"/>
          <w:spacing w:val="17"/>
        </w:rPr>
      </w:pPr>
      <w:r>
        <w:rPr>
          <w:rFonts w:hint="default" w:eastAsia="楷体" w:cs="Times New Roman"/>
          <w:b/>
          <w:bCs/>
          <w:color w:val="000000"/>
          <w:spacing w:val="17"/>
          <w:kern w:val="28"/>
          <w:sz w:val="32"/>
          <w:szCs w:val="32"/>
          <w:lang w:eastAsia="zh-CN"/>
        </w:rPr>
        <w:t>（</w:t>
      </w:r>
      <w:r>
        <w:rPr>
          <w:rFonts w:hint="default" w:eastAsia="楷体" w:cs="Times New Roman"/>
          <w:b/>
          <w:bCs/>
          <w:color w:val="000000"/>
          <w:spacing w:val="17"/>
          <w:kern w:val="28"/>
          <w:sz w:val="32"/>
          <w:szCs w:val="32"/>
          <w:lang w:val="en-US" w:eastAsia="zh-CN"/>
        </w:rPr>
        <w:t>三</w:t>
      </w:r>
      <w:r>
        <w:rPr>
          <w:rFonts w:hint="default" w:eastAsia="楷体" w:cs="Times New Roman"/>
          <w:b/>
          <w:bCs/>
          <w:color w:val="000000"/>
          <w:spacing w:val="17"/>
          <w:kern w:val="28"/>
          <w:sz w:val="32"/>
          <w:szCs w:val="32"/>
          <w:lang w:eastAsia="zh-CN"/>
        </w:rPr>
        <w:t>）</w:t>
      </w: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在项目绩效评价工作启动之初，成立了专门的评价工作小组，小组成员由</w:t>
      </w:r>
      <w:r>
        <w:rPr>
          <w:rFonts w:hint="eastAsia" w:ascii="Times New Roman" w:hAnsi="Times New Roman" w:eastAsia="仿宋_GB2312" w:cs="Times New Roman"/>
          <w:b w:val="0"/>
          <w:bCs w:val="0"/>
          <w:kern w:val="28"/>
          <w:sz w:val="32"/>
          <w:szCs w:val="32"/>
          <w:lang w:val="en-US" w:eastAsia="zh-CN" w:bidi="ar-SA"/>
        </w:rPr>
        <w:t>医务科、</w:t>
      </w:r>
      <w:r>
        <w:rPr>
          <w:rFonts w:hint="default" w:ascii="Times New Roman" w:hAnsi="Times New Roman" w:eastAsia="仿宋_GB2312" w:cs="Times New Roman"/>
          <w:b w:val="0"/>
          <w:bCs w:val="0"/>
          <w:kern w:val="28"/>
          <w:sz w:val="32"/>
          <w:szCs w:val="32"/>
          <w:lang w:val="en-US" w:eastAsia="zh-CN" w:bidi="ar-SA"/>
        </w:rPr>
        <w:t>财务、项目</w:t>
      </w:r>
      <w:r>
        <w:rPr>
          <w:rFonts w:hint="eastAsia" w:ascii="Times New Roman" w:hAnsi="Times New Roman" w:eastAsia="仿宋_GB2312" w:cs="Times New Roman"/>
          <w:b w:val="0"/>
          <w:bCs w:val="0"/>
          <w:kern w:val="28"/>
          <w:sz w:val="32"/>
          <w:szCs w:val="32"/>
          <w:lang w:val="en-US" w:eastAsia="zh-CN" w:bidi="ar-SA"/>
        </w:rPr>
        <w:t>负责人</w:t>
      </w:r>
      <w:r>
        <w:rPr>
          <w:rFonts w:hint="default" w:ascii="Times New Roman" w:hAnsi="Times New Roman" w:eastAsia="仿宋_GB2312" w:cs="Times New Roman"/>
          <w:b w:val="0"/>
          <w:bCs w:val="0"/>
          <w:kern w:val="28"/>
          <w:sz w:val="32"/>
          <w:szCs w:val="32"/>
          <w:lang w:val="en-US" w:eastAsia="zh-CN" w:bidi="ar-SA"/>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综合评价情况及评价结论（附相关评分表）</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2024年中央基本公共卫生服务补助（昌州财社【2023】104号）</w:t>
      </w:r>
      <w:r>
        <w:rPr>
          <w:rFonts w:hint="eastAsia" w:eastAsia="仿宋_GB2312" w:cs="Times New Roman"/>
          <w:sz w:val="32"/>
          <w:szCs w:val="32"/>
          <w:highlight w:val="none"/>
          <w:lang w:eastAsia="zh-CN"/>
        </w:rPr>
        <w:t>预算的投资在</w:t>
      </w:r>
      <w:r>
        <w:rPr>
          <w:rFonts w:hint="eastAsia" w:eastAsia="仿宋_GB2312" w:cs="Times New Roman"/>
          <w:sz w:val="32"/>
          <w:szCs w:val="32"/>
          <w:highlight w:val="none"/>
          <w:u w:val="none"/>
          <w:lang w:val="en-US" w:eastAsia="zh-CN"/>
        </w:rPr>
        <w:t>7岁以下儿童健康管理人数、孕产妇系统管理人数、2型糖尿病患者管理人数、老年人中医药健康管理人数、居民电子健康档案使用率、孕产妇系统管理率、2型糖尿病患者管理率、老年人中医药健康管理率</w:t>
      </w:r>
      <w:r>
        <w:rPr>
          <w:rFonts w:hint="eastAsia" w:eastAsia="仿宋_GB2312" w:cs="Times New Roman"/>
          <w:sz w:val="32"/>
          <w:szCs w:val="32"/>
          <w:highlight w:val="none"/>
          <w:lang w:eastAsia="zh-CN"/>
        </w:rPr>
        <w:t>指标等方面表现出色，达到了预期的标准与要求。</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w:t>
      </w:r>
      <w:r>
        <w:rPr>
          <w:rFonts w:hint="eastAsia" w:eastAsia="仿宋_GB2312" w:cs="Times New Roman"/>
          <w:sz w:val="32"/>
          <w:szCs w:val="32"/>
          <w:highlight w:val="none"/>
          <w:lang w:val="en-US" w:eastAsia="zh-CN"/>
        </w:rPr>
        <w:t>西地</w:t>
      </w:r>
      <w:r>
        <w:rPr>
          <w:rFonts w:hint="eastAsia" w:eastAsia="仿宋_GB2312" w:cs="Times New Roman"/>
          <w:sz w:val="32"/>
          <w:szCs w:val="32"/>
          <w:highlight w:val="none"/>
          <w:lang w:eastAsia="zh-CN"/>
        </w:rPr>
        <w:t>镇卫生院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eastAsia="zh-CN"/>
        </w:rPr>
        <w:t>居民健康基本公共卫生服务水平</w:t>
      </w:r>
      <w:r>
        <w:rPr>
          <w:rFonts w:hint="default" w:ascii="Times New Roman" w:hAnsi="Times New Roman" w:eastAsia="仿宋_GB2312" w:cs="Times New Roman"/>
          <w:sz w:val="32"/>
          <w:szCs w:val="32"/>
          <w:highlight w:val="none"/>
        </w:rPr>
        <w:t>等方面的提升，为项目的利益相关者带来了实实在在的利益。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综上所述，2024年中央基本公共卫生服务补助（昌州财社【2023】104号）在绩效评价中表现出色，达到了项目的预期目标，并在多个方面取得了显著的成效。</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评价结论</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分，属于</w:t>
      </w:r>
      <w:r>
        <w:rPr>
          <w:rFonts w:hint="eastAsia" w:eastAsia="仿宋_GB2312" w:cs="Times New Roman"/>
          <w:sz w:val="32"/>
          <w:szCs w:val="32"/>
          <w:lang w:eastAsia="zh-CN"/>
        </w:rPr>
        <w:t>优</w:t>
      </w:r>
      <w:r>
        <w:rPr>
          <w:rFonts w:hint="default" w:ascii="Times New Roman" w:hAnsi="Times New Roman" w:eastAsia="仿宋_GB2312" w:cs="Times New Roman"/>
          <w:sz w:val="32"/>
          <w:szCs w:val="32"/>
        </w:rPr>
        <w:t>。其中，项目决策类指标权重为</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rPr>
        <w:t>分，得分</w:t>
      </w:r>
      <w:r>
        <w:rPr>
          <w:rFonts w:hint="default" w:ascii="Times New Roman" w:hAnsi="Times New Roman" w:eastAsia="仿宋_GB2312" w:cs="Times New Roman"/>
          <w:sz w:val="32"/>
          <w:szCs w:val="32"/>
          <w:highlight w:val="none"/>
        </w:rPr>
        <w:t>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%。项目过程类指标权重为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%。项目产出类指标权重为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%。项目效益类指标权重为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具体打分情况详见：附件1综合评分表</w:t>
      </w:r>
      <w:r>
        <w:rPr>
          <w:rFonts w:hint="default" w:ascii="Times New Roman" w:hAnsi="Times New Roman" w:eastAsia="仿宋_GB2312" w:cs="Times New Roman"/>
          <w:sz w:val="32"/>
          <w:szCs w:val="32"/>
          <w:lang w:eastAsia="zh-CN"/>
        </w:rPr>
        <w:t>。</w:t>
      </w:r>
    </w:p>
    <w:p>
      <w:pPr>
        <w:pStyle w:val="13"/>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7"/>
        <w:tblW w:w="9056" w:type="dxa"/>
        <w:jc w:val="center"/>
        <w:tblInd w:w="0" w:type="dxa"/>
        <w:tblLayout w:type="fixed"/>
        <w:tblCellMar>
          <w:top w:w="0" w:type="dxa"/>
          <w:left w:w="108" w:type="dxa"/>
          <w:bottom w:w="0" w:type="dxa"/>
          <w:right w:w="108" w:type="dxa"/>
        </w:tblCellMar>
      </w:tblPr>
      <w:tblGrid>
        <w:gridCol w:w="2745"/>
        <w:gridCol w:w="2199"/>
        <w:gridCol w:w="1784"/>
        <w:gridCol w:w="2328"/>
      </w:tblGrid>
      <w:tr>
        <w:tblPrEx>
          <w:tblLayout w:type="fixed"/>
          <w:tblCellMar>
            <w:top w:w="0" w:type="dxa"/>
            <w:left w:w="108" w:type="dxa"/>
            <w:bottom w:w="0" w:type="dxa"/>
            <w:right w:w="108" w:type="dxa"/>
          </w:tblCellMar>
        </w:tblPrEx>
        <w:trPr>
          <w:trHeight w:val="90" w:hRule="atLeast"/>
          <w:tblHeader/>
          <w:jc w:val="center"/>
        </w:trPr>
        <w:tc>
          <w:tcPr>
            <w:tcW w:w="2745"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99"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784"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32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489"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rPr>
            </w:pPr>
            <w:r>
              <w:rPr>
                <w:rFonts w:hint="eastAsia" w:eastAsia="仿宋_GB2312" w:cs="Times New Roman"/>
                <w:b/>
                <w:bCs/>
                <w:color w:val="000000"/>
                <w:sz w:val="21"/>
                <w:szCs w:val="21"/>
                <w:highlight w:val="none"/>
                <w:lang w:val="en-US" w:eastAsia="zh-CN"/>
              </w:rPr>
              <w:t>100%</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项目决策类指标包括项目立项、绩效目标和资金投入三方面的内容，由6个三级指标构成，权重分值为20分，实际得分20分，得分率为100%。</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工作计划和经费预算，经过与部门项目分管领导沟通、筛选确定经费预算计划，确定最终预算方案。项目的审批文件、材料符合相关要求，项目事前经过必要</w:t>
      </w:r>
      <w:r>
        <w:rPr>
          <w:rFonts w:hint="default" w:ascii="Times New Roman" w:hAnsi="Times New Roman" w:eastAsia="仿宋_GB2312" w:cs="Times New Roman"/>
          <w:sz w:val="32"/>
          <w:szCs w:val="32"/>
          <w:highlight w:val="none"/>
          <w:lang w:val="en-US" w:eastAsia="zh-CN"/>
        </w:rPr>
        <w:t>的可行性研究、绩效评估、集体决策</w:t>
      </w:r>
      <w:r>
        <w:rPr>
          <w:rFonts w:hint="default" w:ascii="Times New Roman" w:hAnsi="Times New Roman" w:eastAsia="仿宋_GB2312" w:cs="Times New Roman"/>
          <w:sz w:val="32"/>
          <w:szCs w:val="32"/>
          <w:lang w:val="en-US" w:eastAsia="zh-CN"/>
        </w:rPr>
        <w:t>，保障了程序的规范性。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default" w:ascii="楷体" w:hAnsi="楷体" w:eastAsia="楷体" w:cs="楷体"/>
          <w:b/>
          <w:bCs/>
          <w:sz w:val="32"/>
          <w:szCs w:val="32"/>
        </w:rPr>
        <w:t>项目过程情况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w:t>
      </w:r>
      <w:r>
        <w:rPr>
          <w:rFonts w:hint="default" w:ascii="Times New Roman" w:hAnsi="Times New Roman" w:eastAsia="仿宋_GB2312" w:cs="Times New Roman"/>
          <w:sz w:val="32"/>
          <w:szCs w:val="32"/>
          <w:highlight w:val="none"/>
          <w:lang w:val="en-US" w:eastAsia="zh-CN"/>
        </w:rPr>
        <w:t>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eastAsia="仿宋_GB2312" w:cs="Times New Roman"/>
          <w:sz w:val="32"/>
          <w:szCs w:val="32"/>
          <w:lang w:val="en-US" w:eastAsia="zh-CN"/>
        </w:rPr>
        <w:t>108.08</w:t>
      </w:r>
      <w:r>
        <w:rPr>
          <w:rFonts w:hint="default" w:ascii="Times New Roman" w:hAnsi="Times New Roman" w:eastAsia="仿宋_GB2312" w:cs="Times New Roman"/>
          <w:sz w:val="32"/>
          <w:szCs w:val="32"/>
          <w:lang w:val="en-US" w:eastAsia="zh-CN"/>
        </w:rPr>
        <w:t>万元，财政资金及时足额到位，到位率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eastAsia="仿宋_GB2312" w:cs="Times New Roman"/>
          <w:sz w:val="32"/>
          <w:szCs w:val="32"/>
          <w:lang w:val="en-US" w:eastAsia="zh-CN"/>
        </w:rPr>
        <w:t>108.08万元</w:t>
      </w:r>
      <w:r>
        <w:rPr>
          <w:rFonts w:hint="default" w:ascii="Times New Roman" w:hAnsi="Times New Roman" w:eastAsia="仿宋_GB2312" w:cs="Times New Roman"/>
          <w:sz w:val="32"/>
          <w:szCs w:val="32"/>
          <w:lang w:val="en-US" w:eastAsia="zh-CN"/>
        </w:rPr>
        <w:t>，预算执行率为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本项目的资金使用严格遵循了《2024年妇幼健康基本公共卫生服务补助资金项目实施方案》，确保了资金的合规性与安全性。在资金使用过程中，我们对资金的流动进行了全程监控与记录。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highlight w:val="none"/>
          <w:lang w:eastAsia="zh-CN"/>
        </w:rPr>
        <w:t>本项目</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项目产出</w:t>
      </w:r>
      <w:r>
        <w:rPr>
          <w:rFonts w:hint="default" w:ascii="Times New Roman" w:hAnsi="Times New Roman" w:eastAsia="楷体" w:cs="Times New Roman"/>
          <w:b/>
          <w:bCs/>
          <w:sz w:val="32"/>
          <w:szCs w:val="32"/>
          <w:lang w:val="en-US" w:eastAsia="zh-CN"/>
        </w:rPr>
        <w:t>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eastAsia"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方面的内容，由</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分，实际</w:t>
      </w:r>
      <w:r>
        <w:rPr>
          <w:rFonts w:hint="default" w:ascii="Times New Roman" w:hAnsi="Times New Roman" w:eastAsia="仿宋_GB2312" w:cs="Times New Roman"/>
          <w:sz w:val="32"/>
          <w:szCs w:val="32"/>
          <w:highlight w:val="none"/>
          <w:lang w:val="en-US" w:eastAsia="zh-CN"/>
        </w:rPr>
        <w:t>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%。具体产出指标完成情况如下：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eastAsia="仿宋_GB2312" w:cs="Times New Roman"/>
          <w:color w:val="auto"/>
          <w:sz w:val="32"/>
          <w:szCs w:val="32"/>
          <w:highlight w:val="none"/>
          <w:u w:val="none"/>
          <w:shd w:val="clear"/>
          <w:lang w:val="en-US" w:eastAsia="zh-CN"/>
        </w:rPr>
      </w:pPr>
      <w:bookmarkStart w:id="1" w:name="OLE_LINK11"/>
      <w:r>
        <w:rPr>
          <w:rFonts w:hint="default" w:ascii="Times New Roman" w:hAnsi="Times New Roman" w:eastAsia="仿宋_GB2312" w:cs="Times New Roman"/>
          <w:color w:val="auto"/>
          <w:sz w:val="32"/>
          <w:szCs w:val="32"/>
          <w:highlight w:val="none"/>
          <w:shd w:val="clear"/>
        </w:rPr>
        <w:t>指标1：</w:t>
      </w:r>
      <w:bookmarkEnd w:id="1"/>
      <w:r>
        <w:rPr>
          <w:rFonts w:hint="default" w:eastAsia="仿宋_GB2312" w:cs="Times New Roman"/>
          <w:color w:val="auto"/>
          <w:sz w:val="32"/>
          <w:szCs w:val="32"/>
          <w:highlight w:val="none"/>
          <w:shd w:val="clear"/>
          <w:lang w:val="en-US" w:eastAsia="zh-CN"/>
        </w:rPr>
        <w:t>高血压患者管理人数年初预算人数为</w:t>
      </w:r>
      <w:r>
        <w:rPr>
          <w:rFonts w:hint="eastAsia" w:eastAsia="仿宋_GB2312" w:cs="Times New Roman"/>
          <w:color w:val="auto"/>
          <w:sz w:val="32"/>
          <w:szCs w:val="32"/>
          <w:highlight w:val="none"/>
          <w:shd w:val="clear"/>
          <w:lang w:val="en-US" w:eastAsia="zh-CN"/>
        </w:rPr>
        <w:t>872</w:t>
      </w:r>
      <w:r>
        <w:rPr>
          <w:rFonts w:hint="default" w:eastAsia="仿宋_GB2312" w:cs="Times New Roman"/>
          <w:color w:val="auto"/>
          <w:sz w:val="32"/>
          <w:szCs w:val="32"/>
          <w:highlight w:val="none"/>
          <w:shd w:val="clear"/>
          <w:lang w:val="en-US" w:eastAsia="zh-CN"/>
        </w:rPr>
        <w:t>人，年末实际管理人数</w:t>
      </w:r>
      <w:r>
        <w:rPr>
          <w:rFonts w:hint="eastAsia" w:eastAsia="仿宋_GB2312" w:cs="Times New Roman"/>
          <w:color w:val="auto"/>
          <w:sz w:val="32"/>
          <w:szCs w:val="32"/>
          <w:highlight w:val="none"/>
          <w:shd w:val="clear"/>
          <w:lang w:val="en-US" w:eastAsia="zh-CN"/>
        </w:rPr>
        <w:t>928</w:t>
      </w:r>
      <w:r>
        <w:rPr>
          <w:rFonts w:hint="default" w:eastAsia="仿宋_GB2312" w:cs="Times New Roman"/>
          <w:color w:val="auto"/>
          <w:sz w:val="32"/>
          <w:szCs w:val="32"/>
          <w:highlight w:val="none"/>
          <w:shd w:val="clear"/>
          <w:lang w:val="en-US" w:eastAsia="zh-CN"/>
        </w:rPr>
        <w:t>人，使用率为</w:t>
      </w:r>
      <w:r>
        <w:rPr>
          <w:rFonts w:hint="eastAsia" w:eastAsia="仿宋_GB2312" w:cs="Times New Roman"/>
          <w:color w:val="auto"/>
          <w:sz w:val="32"/>
          <w:szCs w:val="32"/>
          <w:highlight w:val="none"/>
          <w:shd w:val="clear"/>
          <w:lang w:val="en-US" w:eastAsia="zh-CN"/>
        </w:rPr>
        <w:t>106.4</w:t>
      </w:r>
      <w:r>
        <w:rPr>
          <w:rFonts w:hint="default" w:eastAsia="仿宋_GB2312" w:cs="Times New Roman"/>
          <w:color w:val="auto"/>
          <w:sz w:val="32"/>
          <w:szCs w:val="32"/>
          <w:highlight w:val="none"/>
          <w:shd w:val="clear"/>
          <w:lang w:val="en-US" w:eastAsia="zh-CN"/>
        </w:rPr>
        <w:t>%；</w:t>
      </w:r>
      <w:r>
        <w:rPr>
          <w:rFonts w:hint="default" w:ascii="Times New Roman" w:hAnsi="Times New Roman" w:eastAsia="仿宋_GB2312" w:cs="Times New Roman"/>
          <w:i w:val="0"/>
          <w:caps w:val="0"/>
          <w:color w:val="auto"/>
          <w:spacing w:val="0"/>
          <w:kern w:val="2"/>
          <w:sz w:val="32"/>
          <w:szCs w:val="32"/>
          <w:highlight w:val="none"/>
          <w:u w:val="none"/>
          <w:lang w:val="en-US" w:eastAsia="zh-CN" w:bidi="ar"/>
        </w:rPr>
        <w:t>偏差原因：由于辖区居民身体原因，高血压人数在不断变化。改正措施：加强人员监管，确定人员情况。</w:t>
      </w:r>
    </w:p>
    <w:p>
      <w:pPr>
        <w:shd w:val="clear"/>
        <w:spacing w:line="600" w:lineRule="exact"/>
        <w:ind w:firstLine="640" w:firstLineChars="200"/>
        <w:outlineLvl w:val="0"/>
        <w:rPr>
          <w:rFonts w:hint="eastAsia" w:eastAsia="仿宋_GB2312" w:cs="Times New Roman"/>
          <w:color w:val="auto"/>
          <w:sz w:val="32"/>
          <w:szCs w:val="32"/>
          <w:highlight w:val="none"/>
          <w:shd w:val="clear" w:color="auto" w:fill="auto"/>
          <w:lang w:val="en-US" w:eastAsia="zh-CN"/>
        </w:rPr>
      </w:pPr>
      <w:r>
        <w:rPr>
          <w:rFonts w:hint="eastAsia" w:eastAsia="仿宋_GB2312" w:cs="Times New Roman"/>
          <w:color w:val="auto"/>
          <w:sz w:val="32"/>
          <w:szCs w:val="32"/>
          <w:highlight w:val="none"/>
          <w:shd w:val="clear" w:color="auto" w:fill="auto"/>
          <w:lang w:val="en-US" w:eastAsia="zh-CN"/>
        </w:rPr>
        <w:t>指标2：居民电子健康档案建档人数年初预算人数为7183人，年末实际管理人数7052人，使用率为98%；</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偏差原因：存在档案信息不真实、缺相漏项、体检记录缺失问题。改进措施：卫生院公卫专干做好居民电子健康档案的的管理</w:t>
      </w:r>
      <w:r>
        <w:rPr>
          <w:rFonts w:hint="eastAsia" w:eastAsia="仿宋_GB2312" w:cs="Times New Roman"/>
          <w:i w:val="0"/>
          <w:caps w:val="0"/>
          <w:color w:val="auto"/>
          <w:spacing w:val="0"/>
          <w:kern w:val="2"/>
          <w:sz w:val="32"/>
          <w:szCs w:val="32"/>
          <w:highlight w:val="none"/>
          <w:shd w:val="clear" w:color="auto" w:fill="auto"/>
          <w:lang w:val="en-US" w:eastAsia="zh-CN" w:bidi="ar"/>
        </w:rPr>
        <w:t>。</w:t>
      </w:r>
    </w:p>
    <w:p>
      <w:pPr>
        <w:shd w:val="clear"/>
        <w:spacing w:line="600" w:lineRule="exact"/>
        <w:ind w:firstLine="640" w:firstLineChars="200"/>
        <w:outlineLvl w:val="0"/>
        <w:rPr>
          <w:rFonts w:hint="eastAsia" w:eastAsia="仿宋_GB2312" w:cs="Times New Roman"/>
          <w:color w:val="auto"/>
          <w:sz w:val="32"/>
          <w:szCs w:val="32"/>
          <w:highlight w:val="none"/>
          <w:shd w:val="clear" w:color="auto" w:fill="auto"/>
          <w:lang w:val="en-US" w:eastAsia="zh-CN"/>
        </w:rPr>
      </w:pPr>
      <w:r>
        <w:rPr>
          <w:rFonts w:hint="eastAsia" w:eastAsia="仿宋_GB2312" w:cs="Times New Roman"/>
          <w:color w:val="auto"/>
          <w:sz w:val="32"/>
          <w:szCs w:val="32"/>
          <w:highlight w:val="none"/>
          <w:shd w:val="clear" w:color="auto" w:fill="auto"/>
          <w:lang w:val="en-US" w:eastAsia="zh-CN"/>
        </w:rPr>
        <w:t>指标3：7岁以下儿童健康管理人数年初预算人数为115人，年末实际管理人数207人，使用率为180%；</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color w:val="auto"/>
          <w:sz w:val="32"/>
          <w:szCs w:val="32"/>
          <w:highlight w:val="none"/>
          <w:shd w:val="clear" w:color="auto" w:fill="auto"/>
          <w:lang w:val="en-US" w:eastAsia="zh-CN"/>
        </w:rPr>
        <w:t>统计口径不统一、存在重复计算或漏报，</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改进措施：卫生院公卫专干做好居民电子健康档案的的管理</w:t>
      </w:r>
      <w:r>
        <w:rPr>
          <w:rFonts w:hint="eastAsia" w:eastAsia="仿宋_GB2312" w:cs="Times New Roman"/>
          <w:i w:val="0"/>
          <w:caps w:val="0"/>
          <w:color w:val="auto"/>
          <w:spacing w:val="0"/>
          <w:kern w:val="2"/>
          <w:sz w:val="32"/>
          <w:szCs w:val="32"/>
          <w:highlight w:val="none"/>
          <w:shd w:val="clear" w:color="auto" w:fill="auto"/>
          <w:lang w:val="en-US" w:eastAsia="zh-CN" w:bidi="ar"/>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eastAsia="仿宋_GB2312" w:cs="Times New Roman"/>
          <w:color w:val="auto"/>
          <w:sz w:val="32"/>
          <w:szCs w:val="32"/>
          <w:highlight w:val="none"/>
          <w:shd w:val="clear" w:color="auto" w:fill="auto"/>
          <w:lang w:val="en-US" w:eastAsia="zh-CN"/>
        </w:rPr>
        <w:t>指标4：</w:t>
      </w:r>
      <w:r>
        <w:rPr>
          <w:rFonts w:hint="eastAsia" w:eastAsia="仿宋_GB2312" w:cs="Times New Roman"/>
          <w:sz w:val="32"/>
          <w:szCs w:val="32"/>
          <w:lang w:val="en-US" w:eastAsia="zh-CN"/>
        </w:rPr>
        <w:t>孕产妇系统管理人数指标值37人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14人，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37.84%；</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sz w:val="32"/>
          <w:szCs w:val="32"/>
          <w:lang w:val="en-US" w:eastAsia="zh-CN"/>
        </w:rPr>
        <w:t>统计口径不统一、存在重复计算导致目标虚高。</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改进措施：</w:t>
      </w:r>
      <w:r>
        <w:rPr>
          <w:rFonts w:hint="eastAsia" w:eastAsia="仿宋_GB2312" w:cs="Times New Roman"/>
          <w:sz w:val="32"/>
          <w:szCs w:val="32"/>
          <w:lang w:val="en-US" w:eastAsia="zh-CN"/>
        </w:rPr>
        <w:t>孕产妇首次产检未再基层建档导致档案完整性缺失、流动人口主动参与产检比例低。</w:t>
      </w:r>
    </w:p>
    <w:p>
      <w:pPr>
        <w:shd w:val="clear"/>
        <w:spacing w:line="600" w:lineRule="exact"/>
        <w:ind w:firstLine="640" w:firstLineChars="200"/>
        <w:outlineLvl w:val="0"/>
        <w:rPr>
          <w:rFonts w:hint="eastAsia" w:eastAsia="仿宋_GB2312" w:cs="Times New Roman"/>
          <w:sz w:val="32"/>
          <w:szCs w:val="32"/>
          <w:lang w:val="en-US" w:eastAsia="zh-CN"/>
        </w:rPr>
      </w:pPr>
      <w:r>
        <w:rPr>
          <w:rFonts w:hint="eastAsia" w:eastAsia="仿宋_GB2312" w:cs="Times New Roman"/>
          <w:color w:val="auto"/>
          <w:sz w:val="32"/>
          <w:szCs w:val="32"/>
          <w:highlight w:val="none"/>
          <w:shd w:val="clear" w:color="auto" w:fill="auto"/>
          <w:lang w:val="en-US" w:eastAsia="zh-CN"/>
        </w:rPr>
        <w:t>指标5：</w:t>
      </w:r>
      <w:r>
        <w:rPr>
          <w:rFonts w:hint="eastAsia" w:eastAsia="仿宋_GB2312" w:cs="Times New Roman"/>
          <w:sz w:val="32"/>
          <w:szCs w:val="32"/>
          <w:lang w:val="en-US" w:eastAsia="zh-CN"/>
        </w:rPr>
        <w:t>2型糖尿病患者管理人数指标值338人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332人，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98%；</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sz w:val="32"/>
          <w:szCs w:val="32"/>
          <w:lang w:val="en-US" w:eastAsia="zh-CN"/>
        </w:rPr>
        <w:t>辖区糖尿病患者有变化，有冬城夏村人员流动情况。</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改进措施：卫生院公卫专干做好居民电子健康档案的的管理</w:t>
      </w:r>
      <w:r>
        <w:rPr>
          <w:rFonts w:hint="eastAsia" w:eastAsia="仿宋_GB2312" w:cs="Times New Roman"/>
          <w:i w:val="0"/>
          <w:caps w:val="0"/>
          <w:color w:val="auto"/>
          <w:spacing w:val="0"/>
          <w:kern w:val="2"/>
          <w:sz w:val="32"/>
          <w:szCs w:val="32"/>
          <w:highlight w:val="none"/>
          <w:shd w:val="clear" w:color="auto" w:fill="auto"/>
          <w:lang w:val="en-US" w:eastAsia="zh-CN" w:bidi="ar"/>
        </w:rPr>
        <w:t>。</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指标6：</w:t>
      </w:r>
      <w:r>
        <w:rPr>
          <w:rFonts w:hint="eastAsia" w:eastAsia="仿宋_GB2312" w:cs="Times New Roman"/>
          <w:sz w:val="32"/>
          <w:szCs w:val="32"/>
          <w:lang w:val="en-US" w:eastAsia="zh-CN"/>
        </w:rPr>
        <w:t>老年人中医药健康管理指标值1303人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1233人，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94.62%；</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sz w:val="32"/>
          <w:szCs w:val="32"/>
          <w:lang w:val="en-US" w:eastAsia="zh-CN"/>
        </w:rPr>
        <w:t>基层中医药健康管理资源分配不足、基层专业中医药人员服务能力薄弱。</w:t>
      </w:r>
      <w:r>
        <w:rPr>
          <w:rFonts w:hint="eastAsia" w:ascii="Times New Roman" w:hAnsi="Times New Roman" w:eastAsia="仿宋_GB2312" w:cs="Times New Roman"/>
          <w:i w:val="0"/>
          <w:caps w:val="0"/>
          <w:color w:val="auto"/>
          <w:spacing w:val="0"/>
          <w:sz w:val="32"/>
          <w:szCs w:val="32"/>
          <w:highlight w:val="none"/>
          <w:shd w:val="clear"/>
        </w:rPr>
        <w:t>改进措施：卫生院公卫专干做好老年人中医药健康的管理</w:t>
      </w:r>
      <w:r>
        <w:rPr>
          <w:rFonts w:hint="eastAsia" w:eastAsia="仿宋_GB2312" w:cs="Times New Roman"/>
          <w:i w:val="0"/>
          <w:caps w:val="0"/>
          <w:color w:val="auto"/>
          <w:spacing w:val="0"/>
          <w:sz w:val="32"/>
          <w:szCs w:val="32"/>
          <w:highlight w:val="none"/>
          <w:shd w:val="clear"/>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2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②</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质量指标：</w:t>
      </w:r>
    </w:p>
    <w:p>
      <w:pPr>
        <w:shd w:val="clear"/>
        <w:spacing w:line="600" w:lineRule="exact"/>
        <w:ind w:firstLine="640" w:firstLineChars="200"/>
        <w:outlineLvl w:val="0"/>
        <w:rPr>
          <w:rFonts w:hint="eastAsia" w:eastAsia="仿宋_GB2312" w:cs="Times New Roman"/>
          <w:sz w:val="32"/>
          <w:szCs w:val="32"/>
          <w:lang w:val="en-US" w:eastAsia="zh-CN"/>
        </w:rPr>
      </w:pPr>
      <w:r>
        <w:rPr>
          <w:rFonts w:hint="eastAsia" w:eastAsia="仿宋_GB2312" w:cs="Times New Roman"/>
          <w:sz w:val="32"/>
          <w:szCs w:val="32"/>
          <w:highlight w:val="none"/>
          <w:lang w:val="en-US" w:eastAsia="zh-CN"/>
        </w:rPr>
        <w:t>指标1：</w:t>
      </w:r>
      <w:r>
        <w:rPr>
          <w:rFonts w:hint="eastAsia" w:eastAsia="仿宋_GB2312" w:cs="Times New Roman"/>
          <w:sz w:val="32"/>
          <w:szCs w:val="32"/>
          <w:lang w:val="en-US" w:eastAsia="zh-CN"/>
        </w:rPr>
        <w:t>居民电子健康档案建档使用率年初指标值50%，年末使用率为74.65%，</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149.3%；</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sz w:val="32"/>
          <w:szCs w:val="32"/>
          <w:lang w:val="en-US" w:eastAsia="zh-CN"/>
        </w:rPr>
        <w:t>因为人数会存在变动，辖区居民存在流动情况。改正措施：加强监管，确定人员情况</w:t>
      </w:r>
    </w:p>
    <w:p>
      <w:pPr>
        <w:shd w:val="clear"/>
        <w:spacing w:line="600" w:lineRule="exact"/>
        <w:ind w:firstLine="640" w:firstLineChars="200"/>
        <w:outlineLvl w:val="0"/>
        <w:rPr>
          <w:rFonts w:hint="eastAsia" w:eastAsia="仿宋_GB2312" w:cs="Times New Roman"/>
          <w:sz w:val="32"/>
          <w:szCs w:val="32"/>
          <w:lang w:val="en-US" w:eastAsia="zh-CN"/>
        </w:rPr>
      </w:pPr>
      <w:r>
        <w:rPr>
          <w:rFonts w:hint="eastAsia" w:eastAsia="仿宋_GB2312" w:cs="Times New Roman"/>
          <w:sz w:val="32"/>
          <w:szCs w:val="32"/>
          <w:highlight w:val="none"/>
          <w:lang w:val="en-US" w:eastAsia="zh-CN"/>
        </w:rPr>
        <w:t>指标2：</w:t>
      </w:r>
      <w:r>
        <w:rPr>
          <w:rFonts w:hint="eastAsia" w:eastAsia="仿宋_GB2312" w:cs="Times New Roman"/>
          <w:sz w:val="32"/>
          <w:szCs w:val="32"/>
          <w:lang w:val="en-US" w:eastAsia="zh-CN"/>
        </w:rPr>
        <w:t>高血压患者年初预算管理</w:t>
      </w:r>
      <w:r>
        <w:rPr>
          <w:rFonts w:hint="default" w:ascii="Times New Roman" w:hAnsi="Times New Roman" w:eastAsia="仿宋_GB2312" w:cs="Times New Roman"/>
          <w:sz w:val="32"/>
          <w:szCs w:val="32"/>
        </w:rPr>
        <w:t>率</w:t>
      </w:r>
      <w:r>
        <w:rPr>
          <w:rFonts w:hint="eastAsia" w:eastAsia="仿宋_GB2312" w:cs="Times New Roman"/>
          <w:sz w:val="32"/>
          <w:szCs w:val="32"/>
          <w:lang w:val="en-US" w:eastAsia="zh-CN"/>
        </w:rPr>
        <w:t>79%</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年末完成率84.7%，</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107.2%；</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sz w:val="32"/>
          <w:szCs w:val="32"/>
          <w:lang w:val="en-US" w:eastAsia="zh-CN"/>
        </w:rPr>
        <w:t>因为人数会存在变动，辖区居民存在流动情况。改正措施：加强监管，确定人员情况</w:t>
      </w:r>
    </w:p>
    <w:p>
      <w:pPr>
        <w:shd w:val="clear"/>
        <w:spacing w:line="600" w:lineRule="exact"/>
        <w:ind w:firstLine="640" w:firstLineChars="200"/>
        <w:outlineLvl w:val="0"/>
        <w:rPr>
          <w:rFonts w:hint="eastAsia" w:eastAsia="仿宋_GB2312" w:cs="Times New Roman"/>
          <w:sz w:val="32"/>
          <w:szCs w:val="32"/>
          <w:lang w:val="en-US" w:eastAsia="zh-CN"/>
        </w:rPr>
      </w:pPr>
      <w:r>
        <w:rPr>
          <w:rFonts w:hint="eastAsia" w:eastAsia="仿宋_GB2312" w:cs="Times New Roman"/>
          <w:sz w:val="32"/>
          <w:szCs w:val="32"/>
          <w:highlight w:val="none"/>
          <w:lang w:val="en-US" w:eastAsia="zh-CN"/>
        </w:rPr>
        <w:t>指标3：</w:t>
      </w:r>
      <w:r>
        <w:rPr>
          <w:rFonts w:hint="eastAsia" w:eastAsia="仿宋_GB2312" w:cs="Times New Roman"/>
          <w:sz w:val="32"/>
          <w:szCs w:val="32"/>
          <w:lang w:val="en-US" w:eastAsia="zh-CN"/>
        </w:rPr>
        <w:t>2型糖尿病患者预算管理</w:t>
      </w:r>
      <w:r>
        <w:rPr>
          <w:rFonts w:hint="default" w:ascii="Times New Roman" w:hAnsi="Times New Roman" w:eastAsia="仿宋_GB2312" w:cs="Times New Roman"/>
          <w:sz w:val="32"/>
          <w:szCs w:val="32"/>
        </w:rPr>
        <w:t>率</w:t>
      </w:r>
      <w:r>
        <w:rPr>
          <w:rFonts w:hint="eastAsia" w:eastAsia="仿宋_GB2312" w:cs="Times New Roman"/>
          <w:sz w:val="32"/>
          <w:szCs w:val="32"/>
          <w:lang w:val="en-US" w:eastAsia="zh-CN"/>
        </w:rPr>
        <w:t>79%</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年末完成率83.43%，</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105%；</w:t>
      </w:r>
    </w:p>
    <w:p>
      <w:pPr>
        <w:shd w:val="clear"/>
        <w:spacing w:line="600" w:lineRule="exact"/>
        <w:ind w:firstLine="640" w:firstLineChars="200"/>
        <w:outlineLvl w:val="0"/>
        <w:rPr>
          <w:rFonts w:hint="eastAsia" w:eastAsia="仿宋_GB2312" w:cs="Times New Roman"/>
          <w:sz w:val="32"/>
          <w:szCs w:val="32"/>
          <w:lang w:val="en-US" w:eastAsia="zh-CN"/>
        </w:rPr>
      </w:pPr>
      <w:r>
        <w:rPr>
          <w:rFonts w:hint="eastAsia" w:eastAsia="仿宋_GB2312" w:cs="Times New Roman"/>
          <w:sz w:val="32"/>
          <w:szCs w:val="32"/>
          <w:highlight w:val="none"/>
          <w:lang w:val="en-US" w:eastAsia="zh-CN"/>
        </w:rPr>
        <w:t>指标4：</w:t>
      </w:r>
      <w:r>
        <w:rPr>
          <w:rFonts w:hint="eastAsia" w:eastAsia="仿宋_GB2312" w:cs="Times New Roman"/>
          <w:sz w:val="32"/>
          <w:szCs w:val="32"/>
          <w:lang w:val="en-US" w:eastAsia="zh-CN"/>
        </w:rPr>
        <w:t>老年人中医药健康管理人数预算管理</w:t>
      </w:r>
      <w:r>
        <w:rPr>
          <w:rFonts w:hint="default" w:ascii="Times New Roman" w:hAnsi="Times New Roman" w:eastAsia="仿宋_GB2312" w:cs="Times New Roman"/>
          <w:sz w:val="32"/>
          <w:szCs w:val="32"/>
        </w:rPr>
        <w:t>率</w:t>
      </w:r>
      <w:r>
        <w:rPr>
          <w:rFonts w:hint="eastAsia" w:eastAsia="仿宋_GB2312" w:cs="Times New Roman"/>
          <w:sz w:val="32"/>
          <w:szCs w:val="32"/>
          <w:lang w:val="en-US" w:eastAsia="zh-CN"/>
        </w:rPr>
        <w:t>90%</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年末完成率115.38%，</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128.2%；</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偏差原因：</w:t>
      </w:r>
      <w:r>
        <w:rPr>
          <w:rFonts w:hint="eastAsia" w:eastAsia="仿宋_GB2312" w:cs="Times New Roman"/>
          <w:sz w:val="32"/>
          <w:szCs w:val="32"/>
          <w:lang w:val="en-US" w:eastAsia="zh-CN"/>
        </w:rPr>
        <w:t>基层中医药健康管理资源分配不足、基层专业中医药人员服务能力薄弱。</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指标5：</w:t>
      </w:r>
      <w:r>
        <w:rPr>
          <w:rFonts w:hint="eastAsia" w:eastAsia="仿宋_GB2312" w:cs="Times New Roman"/>
          <w:sz w:val="32"/>
          <w:szCs w:val="32"/>
          <w:lang w:val="en-US" w:eastAsia="zh-CN"/>
        </w:rPr>
        <w:t>7岁以下儿童健康管理预算管理</w:t>
      </w:r>
      <w:r>
        <w:rPr>
          <w:rFonts w:hint="default" w:ascii="Times New Roman" w:hAnsi="Times New Roman" w:eastAsia="仿宋_GB2312" w:cs="Times New Roman"/>
          <w:sz w:val="32"/>
          <w:szCs w:val="32"/>
        </w:rPr>
        <w:t>率</w:t>
      </w:r>
      <w:r>
        <w:rPr>
          <w:rFonts w:hint="eastAsia" w:eastAsia="仿宋_GB2312" w:cs="Times New Roman"/>
          <w:sz w:val="32"/>
          <w:szCs w:val="32"/>
          <w:lang w:val="en-US" w:eastAsia="zh-CN"/>
        </w:rPr>
        <w:t>85%</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年末完成率99.02%，</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116.49%；</w:t>
      </w:r>
      <w:r>
        <w:rPr>
          <w:rFonts w:hint="eastAsia" w:ascii="Times New Roman" w:hAnsi="Times New Roman" w:eastAsia="仿宋_GB2312" w:cs="Times New Roman"/>
          <w:i w:val="0"/>
          <w:caps w:val="0"/>
          <w:spacing w:val="0"/>
          <w:sz w:val="32"/>
          <w:szCs w:val="32"/>
          <w:highlight w:val="none"/>
          <w:shd w:val="clear"/>
        </w:rPr>
        <w:t>偏差原因：7岁以下儿童健康管理率为年度指标，有冬城夏村流动现象，改进措施：卫生院妇幼专干做好7岁以下儿童的管理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val="en-US" w:eastAsia="zh-CN"/>
        </w:rPr>
        <w:t>指标6：</w:t>
      </w:r>
      <w:r>
        <w:rPr>
          <w:rFonts w:hint="eastAsia" w:eastAsia="仿宋_GB2312" w:cs="Times New Roman"/>
          <w:sz w:val="32"/>
          <w:szCs w:val="32"/>
          <w:lang w:val="en-US" w:eastAsia="zh-CN"/>
        </w:rPr>
        <w:t>孕产妇年初预算管理预算管理</w:t>
      </w:r>
      <w:r>
        <w:rPr>
          <w:rFonts w:hint="default" w:ascii="Times New Roman" w:hAnsi="Times New Roman" w:eastAsia="仿宋_GB2312" w:cs="Times New Roman"/>
          <w:sz w:val="32"/>
          <w:szCs w:val="32"/>
        </w:rPr>
        <w:t>率</w:t>
      </w:r>
      <w:r>
        <w:rPr>
          <w:rFonts w:hint="eastAsia" w:eastAsia="仿宋_GB2312" w:cs="Times New Roman"/>
          <w:sz w:val="32"/>
          <w:szCs w:val="32"/>
          <w:lang w:val="en-US" w:eastAsia="zh-CN"/>
        </w:rPr>
        <w:t>90%</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年末完成率100%，</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111.1%；</w:t>
      </w:r>
      <w:r>
        <w:rPr>
          <w:rFonts w:hint="eastAsia" w:ascii="Times New Roman" w:hAnsi="Times New Roman" w:eastAsia="仿宋_GB2312" w:cs="Times New Roman"/>
          <w:i w:val="0"/>
          <w:caps w:val="0"/>
          <w:spacing w:val="0"/>
          <w:sz w:val="32"/>
          <w:szCs w:val="32"/>
          <w:highlight w:val="none"/>
          <w:shd w:val="clear"/>
        </w:rPr>
        <w:t>偏差原因：</w:t>
      </w:r>
      <w:r>
        <w:rPr>
          <w:rFonts w:hint="eastAsia" w:eastAsia="仿宋_GB2312" w:cs="Times New Roman"/>
          <w:sz w:val="32"/>
          <w:szCs w:val="32"/>
          <w:lang w:val="en-US" w:eastAsia="zh-CN"/>
        </w:rPr>
        <w:t>因为孕产妇情况存在变动，辖区居民存在流动情况。改正措施：加强监管，确定人员情况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3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时效指标：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资金发放及时率：</w:t>
      </w:r>
      <w:r>
        <w:rPr>
          <w:rFonts w:hint="eastAsia" w:ascii="宋体" w:hAnsi="宋体" w:eastAsia="宋体" w:cs="宋体"/>
          <w:sz w:val="32"/>
          <w:szCs w:val="32"/>
          <w:highlight w:val="none"/>
          <w:lang w:eastAsia="zh-CN"/>
        </w:rPr>
        <w:t>≧</w:t>
      </w:r>
      <w:r>
        <w:rPr>
          <w:rFonts w:hint="eastAsia" w:eastAsia="仿宋_GB2312" w:cs="Times New Roman"/>
          <w:sz w:val="32"/>
          <w:szCs w:val="32"/>
          <w:highlight w:val="none"/>
          <w:lang w:val="en-US" w:eastAsia="zh-CN"/>
        </w:rPr>
        <w:t>90%,实际指标完成100%,完成率100%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highlight w:val="none"/>
        </w:rPr>
        <w:t>指标1：</w:t>
      </w:r>
      <w:r>
        <w:rPr>
          <w:rFonts w:hint="eastAsia" w:ascii="Times New Roman" w:hAnsi="Times New Roman" w:eastAsia="仿宋_GB2312" w:cs="Times New Roman"/>
          <w:b w:val="0"/>
          <w:bCs w:val="0"/>
          <w:sz w:val="32"/>
          <w:szCs w:val="32"/>
          <w:highlight w:val="none"/>
          <w:lang w:eastAsia="zh-CN"/>
        </w:rPr>
        <w:t>项目预算控制率</w:t>
      </w:r>
      <w:r>
        <w:rPr>
          <w:rFonts w:hint="default" w:ascii="Times New Roman" w:hAnsi="Times New Roman" w:eastAsia="仿宋_GB2312" w:cs="Times New Roman"/>
          <w:b w:val="0"/>
          <w:bCs w:val="0"/>
          <w:sz w:val="32"/>
          <w:szCs w:val="32"/>
          <w:highlight w:val="none"/>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 w:val="0"/>
          <w:bCs w:val="0"/>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 w:val="0"/>
          <w:bCs w:val="0"/>
          <w:sz w:val="32"/>
          <w:szCs w:val="32"/>
          <w:highlight w:val="none"/>
        </w:rPr>
        <w:t>，指标完成率</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sz w:val="32"/>
          <w:szCs w:val="32"/>
          <w:highlight w:val="none"/>
          <w:lang w:eastAsia="zh-CN"/>
        </w:rPr>
        <w:t>。</w:t>
      </w:r>
    </w:p>
    <w:p>
      <w:pPr>
        <w:pStyle w:val="5"/>
        <w:numPr>
          <w:ilvl w:val="0"/>
          <w:numId w:val="2"/>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u w:val="dotted"/>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①</w:t>
      </w:r>
      <w:r>
        <w:rPr>
          <w:rFonts w:hint="default" w:ascii="Times New Roman" w:hAnsi="Times New Roman" w:eastAsia="仿宋_GB2312" w:cs="Times New Roman"/>
          <w:sz w:val="32"/>
          <w:szCs w:val="32"/>
          <w:highlight w:val="none"/>
          <w:u w:val="none"/>
        </w:rPr>
        <w:t>经济效益指标：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lang w:val="en-US" w:eastAsia="zh-CN"/>
        </w:rPr>
      </w:pPr>
      <w:r>
        <w:rPr>
          <w:rFonts w:hint="eastAsia" w:eastAsia="仿宋_GB2312" w:cs="Times New Roman"/>
          <w:sz w:val="32"/>
          <w:szCs w:val="32"/>
          <w:highlight w:val="none"/>
          <w:u w:val="none"/>
          <w:lang w:val="en-US" w:eastAsia="zh-CN"/>
        </w:rPr>
        <w:t>2024年本项目未设置经济效益指标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lang w:val="en-US" w:eastAsia="zh-CN"/>
        </w:rPr>
        <w:t>②</w:t>
      </w:r>
      <w:r>
        <w:rPr>
          <w:rFonts w:hint="default" w:ascii="Times New Roman" w:hAnsi="Times New Roman" w:eastAsia="仿宋_GB2312" w:cs="Times New Roman"/>
          <w:sz w:val="32"/>
          <w:szCs w:val="32"/>
          <w:highlight w:val="none"/>
          <w:u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rPr>
        <w:t>指标1：</w:t>
      </w:r>
      <w:r>
        <w:rPr>
          <w:rFonts w:hint="eastAsia" w:eastAsia="仿宋_GB2312" w:cs="Times New Roman"/>
          <w:sz w:val="32"/>
          <w:szCs w:val="32"/>
          <w:highlight w:val="none"/>
          <w:u w:val="none"/>
          <w:lang w:eastAsia="zh-CN"/>
        </w:rPr>
        <w:t>缩小城乡居民公共卫生差距，指标值：不断缩小，完成值：不断缩小，指标完成率</w:t>
      </w:r>
      <w:r>
        <w:rPr>
          <w:rFonts w:hint="eastAsia" w:eastAsia="仿宋_GB2312" w:cs="Times New Roman"/>
          <w:sz w:val="32"/>
          <w:szCs w:val="32"/>
          <w:highlight w:val="none"/>
          <w:u w:val="none"/>
          <w:lang w:val="en-US" w:eastAsia="zh-CN"/>
        </w:rPr>
        <w:t>100%。</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③生态效益指标：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u w:val="none"/>
          <w:lang w:val="en-US" w:eastAsia="zh-CN"/>
        </w:rPr>
      </w:pPr>
      <w:r>
        <w:rPr>
          <w:rFonts w:hint="eastAsia" w:eastAsia="仿宋_GB2312" w:cs="Times New Roman"/>
          <w:sz w:val="32"/>
          <w:szCs w:val="32"/>
          <w:highlight w:val="none"/>
          <w:u w:val="none"/>
          <w:lang w:val="en-US" w:eastAsia="zh-CN"/>
        </w:rPr>
        <w:t>2024年本项目未设置生态效益指标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服务对象</w:t>
      </w:r>
      <w:r>
        <w:rPr>
          <w:rFonts w:hint="default" w:ascii="Times New Roman" w:hAnsi="Times New Roman" w:eastAsia="仿宋_GB2312" w:cs="Times New Roman"/>
          <w:sz w:val="32"/>
          <w:szCs w:val="32"/>
          <w:highlight w:val="none"/>
        </w:rPr>
        <w:t>满意度，指标值：&gt;=90%，实际完成值：90%，指标完成率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Hans"/>
        </w:rPr>
      </w:pP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val="en-US" w:eastAsia="zh-Hans"/>
        </w:rPr>
        <w:t>预算执行进度与绩效指标总体完成率偏差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kern w:val="2"/>
          <w:sz w:val="32"/>
          <w:szCs w:val="32"/>
          <w:highlight w:val="none"/>
          <w:lang w:val="en-US" w:eastAsia="zh-CN" w:bidi="ar-SA"/>
        </w:rPr>
      </w:pPr>
      <w:r>
        <w:rPr>
          <w:rFonts w:hint="default" w:ascii="Times New Roman" w:hAnsi="Times New Roman" w:eastAsia="仿宋_GB2312" w:cs="Times New Roman"/>
          <w:sz w:val="32"/>
          <w:szCs w:val="32"/>
          <w:lang w:val="en-US" w:eastAsia="zh-CN"/>
        </w:rPr>
        <w:t>2024年基本公共卫生服务补助</w:t>
      </w:r>
      <w:r>
        <w:rPr>
          <w:rFonts w:hint="default" w:ascii="Times New Roman" w:hAnsi="Times New Roman" w:eastAsia="仿宋_GB2312" w:cs="Times New Roman"/>
          <w:sz w:val="32"/>
          <w:szCs w:val="32"/>
        </w:rPr>
        <w:t>年初预算</w:t>
      </w:r>
      <w:r>
        <w:rPr>
          <w:rFonts w:hint="eastAsia" w:eastAsia="仿宋_GB2312" w:cs="Times New Roman"/>
          <w:sz w:val="32"/>
          <w:szCs w:val="32"/>
          <w:lang w:val="en-US" w:eastAsia="zh-CN"/>
        </w:rPr>
        <w:t>75.79</w:t>
      </w:r>
      <w:r>
        <w:rPr>
          <w:rFonts w:hint="default" w:ascii="Times New Roman" w:hAnsi="Times New Roman" w:eastAsia="仿宋_GB2312" w:cs="Times New Roman"/>
          <w:sz w:val="32"/>
          <w:szCs w:val="32"/>
        </w:rPr>
        <w:t>万元，全年预算</w:t>
      </w:r>
      <w:r>
        <w:rPr>
          <w:rFonts w:hint="eastAsia" w:eastAsia="仿宋_GB2312" w:cs="Times New Roman"/>
          <w:sz w:val="32"/>
          <w:szCs w:val="32"/>
          <w:lang w:val="en-US" w:eastAsia="zh-CN"/>
        </w:rPr>
        <w:t>108.08</w:t>
      </w:r>
      <w:r>
        <w:rPr>
          <w:rFonts w:hint="default" w:ascii="Times New Roman" w:hAnsi="Times New Roman" w:eastAsia="仿宋_GB2312" w:cs="Times New Roman"/>
          <w:sz w:val="32"/>
          <w:szCs w:val="32"/>
        </w:rPr>
        <w:t>万元，实际支出</w:t>
      </w:r>
      <w:r>
        <w:rPr>
          <w:rFonts w:hint="eastAsia" w:eastAsia="仿宋_GB2312" w:cs="Times New Roman"/>
          <w:sz w:val="32"/>
          <w:szCs w:val="32"/>
          <w:lang w:val="en-US" w:eastAsia="zh-CN"/>
        </w:rPr>
        <w:t>108.08</w:t>
      </w:r>
      <w:r>
        <w:rPr>
          <w:rFonts w:hint="default" w:ascii="Times New Roman" w:hAnsi="Times New Roman" w:eastAsia="仿宋_GB2312" w:cs="Times New Roman"/>
          <w:sz w:val="32"/>
          <w:szCs w:val="32"/>
        </w:rPr>
        <w:t>万元，预算执行率为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%，项目绩效指标总体完成率为</w:t>
      </w:r>
      <w:r>
        <w:rPr>
          <w:rFonts w:hint="eastAsia" w:eastAsia="仿宋_GB2312" w:cs="Times New Roman"/>
          <w:sz w:val="32"/>
          <w:szCs w:val="32"/>
          <w:lang w:val="en-US" w:eastAsia="zh-CN"/>
        </w:rPr>
        <w:t>108.7</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，偏差率</w:t>
      </w:r>
      <w:r>
        <w:rPr>
          <w:rFonts w:hint="eastAsia" w:eastAsia="仿宋_GB2312" w:cs="Times New Roman"/>
          <w:sz w:val="32"/>
          <w:szCs w:val="32"/>
          <w:lang w:val="en-US" w:eastAsia="zh-CN"/>
        </w:rPr>
        <w:t>8.7%，</w:t>
      </w:r>
      <w:r>
        <w:rPr>
          <w:rFonts w:hint="eastAsia" w:eastAsia="仿宋_GB2312" w:cs="Times New Roman"/>
          <w:kern w:val="2"/>
          <w:sz w:val="32"/>
          <w:szCs w:val="32"/>
          <w:highlight w:val="none"/>
          <w:lang w:val="en-US" w:eastAsia="zh-CN" w:bidi="ar-SA"/>
        </w:rPr>
        <w:t>偏差原因：因年初预算不合理，摸底底数不清、预算指标数设置偏小，年底超额完成任务出现偏差。改进措施：更加精准设置目标值，减少偏差。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通过本项目的实施，促进医疗卫生质量的提升，改善群众就医局面，保障公众健康，使医院职工、患者满意度达到90%。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2024年中央基本公共卫生服务补助项目经验，我们能够更好地提高项目执行质量和效率，为工作提供有力支持。</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3"/>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pacing w:line="560" w:lineRule="exact"/>
        <w:ind w:firstLine="640" w:firstLineChars="200"/>
        <w:rPr>
          <w:rFonts w:hint="eastAsia" w:ascii="Times New Roman" w:hAnsi="Times New Roman" w:eastAsia="仿宋_GB2312" w:cs="Times New Roman"/>
          <w:b w:val="0"/>
          <w:bCs w:val="0"/>
          <w:kern w:val="2"/>
          <w:sz w:val="32"/>
          <w:szCs w:val="32"/>
          <w:lang w:val="en-US" w:eastAsia="zh-Hans" w:bidi="ar-SA"/>
        </w:rPr>
      </w:pPr>
      <w:r>
        <w:rPr>
          <w:rFonts w:hint="default" w:ascii="Times New Roman" w:hAnsi="Times New Roman" w:eastAsia="仿宋_GB2312" w:cs="Times New Roman"/>
          <w:sz w:val="32"/>
          <w:szCs w:val="32"/>
          <w:highlight w:val="none"/>
          <w:lang w:val="en-US" w:eastAsia="zh-CN"/>
        </w:rPr>
        <w:t>1.相关绩效管理方面专业知识的系统性学习有待加强</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b w:val="0"/>
          <w:bCs w:val="0"/>
          <w:kern w:val="2"/>
          <w:sz w:val="32"/>
          <w:szCs w:val="32"/>
          <w:lang w:val="en-US" w:eastAsia="zh-Hans" w:bidi="ar-SA"/>
        </w:rPr>
        <w:t>未能全面深入认识理解绩效管理工作的意义。绩效管理经验不足，预算绩效管理工作有待进一步落实。</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b w:val="0"/>
          <w:bCs w:val="0"/>
          <w:kern w:val="2"/>
          <w:sz w:val="32"/>
          <w:szCs w:val="32"/>
          <w:lang w:val="en-US" w:eastAsia="zh-Hans" w:bidi="ar-SA"/>
        </w:rPr>
        <w:t>绩效指标的明确性、可衡量性、相关性还需进一步提升。预算精细化管理还需完善，预算编制管理水平仍有进一步提升的空间。</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进一步加强对绩效管理工作的组织领导，提高对预算绩效管理工作重要性的认识，总结经验查找问题，抓紧研究制定更全面更完善的绩效评价管理办法。结合</w:t>
      </w:r>
      <w:r>
        <w:rPr>
          <w:rFonts w:hint="eastAsia" w:eastAsia="仿宋_GB2312" w:cs="Times New Roman"/>
          <w:sz w:val="32"/>
          <w:szCs w:val="32"/>
          <w:highlight w:val="none"/>
          <w:lang w:val="en-US" w:eastAsia="zh-CN"/>
        </w:rPr>
        <w:t>妇幼保健</w:t>
      </w:r>
      <w:r>
        <w:rPr>
          <w:rFonts w:hint="default" w:ascii="Times New Roman" w:hAnsi="Times New Roman" w:eastAsia="仿宋_GB2312" w:cs="Times New Roman"/>
          <w:sz w:val="32"/>
          <w:szCs w:val="32"/>
          <w:highlight w:val="none"/>
          <w:lang w:val="en-US" w:eastAsia="zh-CN"/>
        </w:rPr>
        <w:t>考核建立绩效工作考核制度，加大全</w:t>
      </w:r>
      <w:r>
        <w:rPr>
          <w:rFonts w:hint="eastAsia" w:eastAsia="仿宋_GB2312" w:cs="Times New Roman"/>
          <w:sz w:val="32"/>
          <w:szCs w:val="32"/>
          <w:highlight w:val="none"/>
          <w:lang w:val="en-US" w:eastAsia="zh-CN"/>
        </w:rPr>
        <w:t>院</w:t>
      </w:r>
      <w:r>
        <w:rPr>
          <w:rFonts w:hint="default" w:ascii="Times New Roman" w:hAnsi="Times New Roman" w:eastAsia="仿宋_GB2312" w:cs="Times New Roman"/>
          <w:sz w:val="32"/>
          <w:szCs w:val="32"/>
          <w:highlight w:val="none"/>
          <w:lang w:val="en-US" w:eastAsia="zh-CN"/>
        </w:rPr>
        <w:t>对全面实施预算绩效管理和绩效管理工作的学习力度。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2.在预算安排阶段，应当根据项目的特点和目标制定出明确的绩效指标，并且为每个指标设定合理地达成目标，可以让预算的执行过程更加有针对性。建立完善的评估体系。在预算执行过程中，需要建立完善的绩效评估体系，包括数据收集、数据整理、数据分析等环节。只有通过科学的数据分析才能对项目绩效进行客观评估。预算内容与项目实际完成的目标相匹配，对预算额度测算更加充分，能够更科学合理地反映项目预算。</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2" w:name="page8"/>
      <w:bookmarkEnd w:id="2"/>
      <w:r>
        <w:rPr>
          <w:rFonts w:hint="default" w:ascii="Times New Roman" w:hAnsi="Times New Roman" w:eastAsia="黑体" w:cs="Times New Roman"/>
          <w:sz w:val="32"/>
          <w:szCs w:val="32"/>
        </w:rPr>
        <w:t>明的问题</w:t>
      </w:r>
    </w:p>
    <w:p>
      <w:pPr>
        <w:pStyle w:val="10"/>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keepNext w:val="0"/>
        <w:keepLines w:val="0"/>
        <w:pageBreakBefore w:val="0"/>
        <w:kinsoku/>
        <w:wordWrap/>
        <w:overflowPunct/>
        <w:topLinePunct w:val="0"/>
        <w:autoSpaceDE/>
        <w:autoSpaceDN/>
        <w:bidi w:val="0"/>
        <w:adjustRightInd/>
        <w:snapToGrid/>
        <w:spacing w:line="500" w:lineRule="exact"/>
        <w:ind w:firstLine="562"/>
        <w:jc w:val="center"/>
        <w:rPr>
          <w:rFonts w:hint="eastAsia" w:ascii="仿宋_GB2312" w:hAnsi="仿宋_GB2312" w:eastAsia="仿宋_GB2312" w:cs="仿宋_GB2312"/>
          <w:sz w:val="28"/>
          <w:szCs w:val="40"/>
          <w:highlight w:val="none"/>
        </w:rPr>
      </w:pPr>
      <w:bookmarkStart w:id="3" w:name="_Toc26499_WPSOffice_Level2"/>
      <w:bookmarkStart w:id="4" w:name="_Toc30064_WPSOffice_Level1"/>
      <w:r>
        <w:rPr>
          <w:rFonts w:hint="eastAsia" w:ascii="仿宋_GB2312" w:hAnsi="仿宋_GB2312" w:eastAsia="仿宋_GB2312" w:cs="仿宋_GB2312"/>
          <w:b/>
          <w:bCs/>
          <w:sz w:val="28"/>
          <w:szCs w:val="40"/>
          <w:highlight w:val="none"/>
          <w:lang w:val="en-US" w:eastAsia="zh-CN"/>
        </w:rPr>
        <w:t>2024年基本公共卫生服务补助资金预算的投资</w:t>
      </w:r>
      <w:r>
        <w:rPr>
          <w:rFonts w:hint="eastAsia" w:ascii="仿宋_GB2312" w:hAnsi="仿宋_GB2312" w:eastAsia="仿宋_GB2312" w:cs="仿宋_GB2312"/>
          <w:b/>
          <w:bCs/>
          <w:sz w:val="28"/>
          <w:szCs w:val="40"/>
          <w:highlight w:val="none"/>
        </w:rPr>
        <w:t>项目绩效评价指标体系及综合评分表</w:t>
      </w:r>
      <w:bookmarkEnd w:id="3"/>
      <w:bookmarkEnd w:id="4"/>
    </w:p>
    <w:tbl>
      <w:tblPr>
        <w:tblStyle w:val="17"/>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rPr>
        <w:sectPr>
          <w:footerReference r:id="rId4" w:type="default"/>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7"/>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2024年中央基本公共卫生服务补助（昌州财社【2023】104号）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奇台县</w:t>
            </w:r>
            <w:r>
              <w:rPr>
                <w:rFonts w:hint="eastAsia" w:ascii="仿宋_GB2312" w:hAnsi="仿宋_GB2312" w:eastAsia="仿宋_GB2312" w:cs="仿宋_GB2312"/>
                <w:i w:val="0"/>
                <w:iCs w:val="0"/>
                <w:color w:val="000000"/>
                <w:sz w:val="18"/>
                <w:szCs w:val="18"/>
                <w:u w:val="none"/>
                <w:lang w:val="en-US" w:eastAsia="zh-CN"/>
              </w:rPr>
              <w:t>西地镇卫生院</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奇台县</w:t>
            </w:r>
            <w:r>
              <w:rPr>
                <w:rFonts w:hint="eastAsia" w:ascii="仿宋_GB2312" w:hAnsi="仿宋_GB2312" w:eastAsia="仿宋_GB2312" w:cs="仿宋_GB2312"/>
                <w:i w:val="0"/>
                <w:iCs w:val="0"/>
                <w:color w:val="000000"/>
                <w:sz w:val="18"/>
                <w:szCs w:val="18"/>
                <w:u w:val="none"/>
                <w:lang w:val="en-US" w:eastAsia="zh-CN"/>
              </w:rPr>
              <w:t>西地镇卫生院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sz w:val="20"/>
                <w:szCs w:val="20"/>
                <w:u w:val="none"/>
                <w:lang w:val="en-US" w:eastAsia="zh-CN"/>
              </w:rPr>
              <w:t>75.79</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sz w:val="20"/>
                <w:szCs w:val="20"/>
                <w:u w:val="none"/>
                <w:lang w:val="en-US" w:eastAsia="zh-CN"/>
              </w:rPr>
              <w:t>108.08</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sz w:val="20"/>
                <w:szCs w:val="20"/>
                <w:u w:val="none"/>
                <w:lang w:val="en-US" w:eastAsia="zh-CN"/>
              </w:rPr>
              <w:t>108.08</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20"/>
                <w:szCs w:val="20"/>
                <w:u w:val="none"/>
                <w:lang w:val="en-US" w:eastAsia="zh-CN" w:bidi="ar"/>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20"/>
                <w:szCs w:val="20"/>
                <w:u w:val="none"/>
                <w:lang w:val="en-US" w:eastAsia="zh-CN" w:bidi="ar"/>
              </w:rPr>
              <w:t>100.00%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00" w:firstLineChars="100"/>
              <w:jc w:val="both"/>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sz w:val="20"/>
                <w:szCs w:val="20"/>
                <w:u w:val="none"/>
                <w:lang w:val="en-US" w:eastAsia="zh-CN"/>
              </w:rPr>
              <w:t>75.79</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sz w:val="20"/>
                <w:szCs w:val="20"/>
                <w:u w:val="none"/>
                <w:lang w:val="en-US" w:eastAsia="zh-CN"/>
              </w:rPr>
              <w:t>108.08</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sz w:val="20"/>
                <w:szCs w:val="20"/>
                <w:u w:val="none"/>
                <w:lang w:val="en-US" w:eastAsia="zh-CN"/>
              </w:rPr>
              <w:t>108.08</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上。以提高</w:t>
            </w:r>
            <w:r>
              <w:rPr>
                <w:rFonts w:hint="eastAsia" w:ascii="仿宋_GB2312" w:hAnsi="仿宋_GB2312" w:eastAsia="仿宋_GB2312" w:cs="仿宋_GB2312"/>
                <w:i w:val="0"/>
                <w:iCs w:val="0"/>
                <w:color w:val="000000"/>
                <w:sz w:val="18"/>
                <w:szCs w:val="18"/>
                <w:u w:val="none"/>
                <w:lang w:eastAsia="zh-CN"/>
              </w:rPr>
              <w:t>居民</w:t>
            </w:r>
            <w:r>
              <w:rPr>
                <w:rFonts w:hint="eastAsia" w:ascii="仿宋_GB2312" w:hAnsi="仿宋_GB2312" w:eastAsia="仿宋_GB2312" w:cs="仿宋_GB2312"/>
                <w:i w:val="0"/>
                <w:iCs w:val="0"/>
                <w:color w:val="000000"/>
                <w:sz w:val="18"/>
                <w:szCs w:val="18"/>
                <w:u w:val="none"/>
              </w:rPr>
              <w:t>健康水平为落脚点，全面推进基本公共卫生服务项目惠民政策的规范实施，有效提升</w:t>
            </w:r>
            <w:r>
              <w:rPr>
                <w:rFonts w:hint="eastAsia" w:ascii="仿宋_GB2312" w:hAnsi="仿宋_GB2312" w:eastAsia="仿宋_GB2312" w:cs="仿宋_GB2312"/>
                <w:i w:val="0"/>
                <w:iCs w:val="0"/>
                <w:color w:val="000000"/>
                <w:sz w:val="18"/>
                <w:szCs w:val="18"/>
                <w:u w:val="none"/>
                <w:lang w:eastAsia="zh-CN"/>
              </w:rPr>
              <w:t>居民</w:t>
            </w:r>
            <w:r>
              <w:rPr>
                <w:rFonts w:hint="eastAsia" w:ascii="仿宋_GB2312" w:hAnsi="仿宋_GB2312" w:eastAsia="仿宋_GB2312" w:cs="仿宋_GB2312"/>
                <w:i w:val="0"/>
                <w:iCs w:val="0"/>
                <w:color w:val="000000"/>
                <w:sz w:val="18"/>
                <w:szCs w:val="18"/>
                <w:u w:val="none"/>
              </w:rPr>
              <w:t>健康基本公共卫生服务水平。</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40" w:lineRule="exact"/>
              <w:ind w:firstLine="360" w:firstLineChars="200"/>
              <w:textAlignment w:val="auto"/>
              <w:outlineLvl w:val="0"/>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截至2024年12月31日，该项目实际完成</w:t>
            </w:r>
            <w:r>
              <w:rPr>
                <w:rFonts w:hint="eastAsia" w:ascii="仿宋_GB2312" w:hAnsi="仿宋_GB2312" w:eastAsia="仿宋_GB2312" w:cs="仿宋_GB2312"/>
                <w:i w:val="0"/>
                <w:iCs w:val="0"/>
                <w:color w:val="000000"/>
                <w:sz w:val="18"/>
                <w:szCs w:val="18"/>
                <w:u w:val="none"/>
                <w:lang w:val="en-US" w:eastAsia="zh-CN"/>
              </w:rPr>
              <w:t>108.08</w:t>
            </w:r>
            <w:r>
              <w:rPr>
                <w:rFonts w:hint="eastAsia" w:ascii="仿宋_GB2312" w:hAnsi="仿宋_GB2312" w:eastAsia="仿宋_GB2312" w:cs="仿宋_GB2312"/>
                <w:i w:val="0"/>
                <w:iCs w:val="0"/>
                <w:color w:val="000000"/>
                <w:sz w:val="18"/>
                <w:szCs w:val="18"/>
                <w:u w:val="none"/>
              </w:rPr>
              <w:t>万元，通过免费向</w:t>
            </w:r>
            <w:r>
              <w:rPr>
                <w:rFonts w:hint="eastAsia" w:ascii="仿宋_GB2312" w:hAnsi="仿宋_GB2312" w:eastAsia="仿宋_GB2312" w:cs="仿宋_GB2312"/>
                <w:i w:val="0"/>
                <w:iCs w:val="0"/>
                <w:color w:val="000000"/>
                <w:sz w:val="18"/>
                <w:szCs w:val="18"/>
                <w:u w:val="none"/>
                <w:lang w:eastAsia="zh-CN"/>
              </w:rPr>
              <w:t>居民</w:t>
            </w:r>
            <w:r>
              <w:rPr>
                <w:rFonts w:hint="eastAsia" w:ascii="仿宋_GB2312" w:hAnsi="仿宋_GB2312" w:eastAsia="仿宋_GB2312" w:cs="仿宋_GB2312"/>
                <w:i w:val="0"/>
                <w:iCs w:val="0"/>
                <w:color w:val="000000"/>
                <w:sz w:val="18"/>
                <w:szCs w:val="18"/>
                <w:u w:val="none"/>
              </w:rPr>
              <w:t>提供基本公共卫生服务，</w:t>
            </w:r>
            <w:r>
              <w:rPr>
                <w:rFonts w:hint="eastAsia" w:ascii="仿宋_GB2312" w:hAnsi="仿宋_GB2312" w:eastAsia="仿宋_GB2312" w:cs="仿宋_GB2312"/>
                <w:i w:val="0"/>
                <w:iCs w:val="0"/>
                <w:color w:val="000000"/>
                <w:sz w:val="18"/>
                <w:szCs w:val="18"/>
                <w:u w:val="none"/>
                <w:lang w:eastAsia="zh-CN"/>
              </w:rPr>
              <w:t>我院</w:t>
            </w:r>
            <w:r>
              <w:rPr>
                <w:rFonts w:hint="eastAsia" w:ascii="仿宋_GB2312" w:hAnsi="仿宋_GB2312" w:eastAsia="仿宋_GB2312" w:cs="仿宋_GB2312"/>
                <w:i w:val="0"/>
                <w:iCs w:val="0"/>
                <w:color w:val="000000"/>
                <w:sz w:val="18"/>
                <w:szCs w:val="18"/>
                <w:u w:val="none"/>
                <w:lang w:val="en-US" w:eastAsia="zh-CN"/>
              </w:rPr>
              <w:t>高血压患者管理人数928人；居民电子健康档案建档人数7052人；7岁以下儿童健康管理人数207人；孕产妇系统管理人数年初14人；2型糖尿病患者管理人数332人；老年人中医药健康管理人数1233人；高血压患者管理率为84.7%，；居民电子健康档案使用率为74.65%；7岁以下儿童健康管理率为99.02%；孕产妇系统管理率为100%；2型糖尿病患者管理率为83.43%；老年人中医药健康管理率为115.36%，。资金发放及时率90%，</w:t>
            </w:r>
            <w:r>
              <w:rPr>
                <w:rFonts w:hint="default" w:ascii="仿宋_GB2312" w:hAnsi="仿宋_GB2312" w:eastAsia="仿宋_GB2312" w:cs="仿宋_GB2312"/>
                <w:i w:val="0"/>
                <w:iCs w:val="0"/>
                <w:color w:val="000000"/>
                <w:sz w:val="18"/>
                <w:szCs w:val="18"/>
                <w:u w:val="none"/>
              </w:rPr>
              <w:t>提高了</w:t>
            </w:r>
            <w:r>
              <w:rPr>
                <w:rFonts w:hint="eastAsia" w:ascii="仿宋_GB2312" w:hAnsi="仿宋_GB2312" w:eastAsia="仿宋_GB2312" w:cs="仿宋_GB2312"/>
                <w:i w:val="0"/>
                <w:iCs w:val="0"/>
                <w:color w:val="000000"/>
                <w:sz w:val="18"/>
                <w:szCs w:val="18"/>
                <w:u w:val="none"/>
                <w:lang w:eastAsia="zh-CN"/>
              </w:rPr>
              <w:t>居民</w:t>
            </w:r>
            <w:r>
              <w:rPr>
                <w:rFonts w:hint="default" w:ascii="仿宋_GB2312" w:hAnsi="仿宋_GB2312" w:eastAsia="仿宋_GB2312" w:cs="仿宋_GB2312"/>
                <w:i w:val="0"/>
                <w:iCs w:val="0"/>
                <w:color w:val="000000"/>
                <w:sz w:val="18"/>
                <w:szCs w:val="18"/>
                <w:u w:val="none"/>
              </w:rPr>
              <w:t>健康水平，全面推进了基本公共卫生服务项目惠民政策的规范实施，提升了</w:t>
            </w:r>
            <w:r>
              <w:rPr>
                <w:rFonts w:hint="eastAsia" w:ascii="仿宋_GB2312" w:hAnsi="仿宋_GB2312" w:eastAsia="仿宋_GB2312" w:cs="仿宋_GB2312"/>
                <w:i w:val="0"/>
                <w:iCs w:val="0"/>
                <w:color w:val="000000"/>
                <w:sz w:val="18"/>
                <w:szCs w:val="18"/>
                <w:u w:val="none"/>
                <w:lang w:eastAsia="zh-CN"/>
              </w:rPr>
              <w:t>居民</w:t>
            </w:r>
            <w:r>
              <w:rPr>
                <w:rFonts w:hint="default" w:ascii="仿宋_GB2312" w:hAnsi="仿宋_GB2312" w:eastAsia="仿宋_GB2312" w:cs="仿宋_GB2312"/>
                <w:i w:val="0"/>
                <w:iCs w:val="0"/>
                <w:color w:val="000000"/>
                <w:sz w:val="18"/>
                <w:szCs w:val="18"/>
                <w:u w:val="none"/>
              </w:rPr>
              <w:t>基本公共卫生服务的水平。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bookmarkStart w:id="5" w:name="OLE_LINK2"/>
            <w:r>
              <w:rPr>
                <w:rFonts w:hint="eastAsia" w:ascii="仿宋_GB2312" w:hAnsi="仿宋_GB2312" w:eastAsia="仿宋_GB2312" w:cs="仿宋_GB2312"/>
                <w:i w:val="0"/>
                <w:iCs w:val="0"/>
                <w:color w:val="000000"/>
                <w:kern w:val="0"/>
                <w:sz w:val="18"/>
                <w:szCs w:val="18"/>
                <w:u w:val="none"/>
                <w:lang w:val="en-US" w:eastAsia="zh-CN" w:bidi="ar"/>
              </w:rPr>
              <w:t>数量指标</w:t>
            </w:r>
            <w:bookmarkEnd w:id="5"/>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高血压患者管理人数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r>
              <w:rPr>
                <w:rFonts w:hint="eastAsia" w:ascii="仿宋_GB2312" w:hAnsi="仿宋_GB2312" w:eastAsia="仿宋_GB2312" w:cs="仿宋_GB2312"/>
                <w:i w:val="0"/>
                <w:iCs w:val="0"/>
                <w:color w:val="000000"/>
                <w:sz w:val="18"/>
                <w:szCs w:val="18"/>
                <w:u w:val="none"/>
                <w:lang w:val="en-US" w:eastAsia="zh-CN"/>
              </w:rPr>
              <w:t>872人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928人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宋体" w:hAnsi="宋体" w:cs="宋体"/>
                <w:i w:val="0"/>
                <w:color w:val="000000"/>
                <w:kern w:val="0"/>
                <w:sz w:val="20"/>
                <w:szCs w:val="20"/>
                <w:u w:val="none"/>
                <w:lang w:val="en-US" w:eastAsia="zh-CN" w:bidi="ar"/>
              </w:rPr>
              <w:t>928人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bookmarkStart w:id="6" w:name="OLE_LINK3"/>
            <w:r>
              <w:rPr>
                <w:rFonts w:hint="eastAsia" w:ascii="仿宋_GB2312" w:hAnsi="仿宋_GB2312" w:eastAsia="仿宋_GB2312" w:cs="仿宋_GB2312"/>
                <w:i w:val="0"/>
                <w:iCs w:val="0"/>
                <w:color w:val="000000"/>
                <w:sz w:val="18"/>
                <w:szCs w:val="18"/>
                <w:u w:val="none"/>
                <w:lang w:val="en-US" w:eastAsia="zh-CN"/>
              </w:rPr>
              <w:t>84.7%</w:t>
            </w:r>
            <w:bookmarkEnd w:id="6"/>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2.81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sz w:val="18"/>
                <w:szCs w:val="18"/>
                <w:u w:val="none"/>
                <w:shd w:val="clear" w:color="auto" w:fill="auto"/>
              </w:rPr>
            </w:pPr>
            <w:r>
              <w:rPr>
                <w:rFonts w:ascii="Arial" w:hAnsi="Arial" w:eastAsia="宋体" w:cs="Arial"/>
                <w:i w:val="0"/>
                <w:caps w:val="0"/>
                <w:color w:val="auto"/>
                <w:spacing w:val="0"/>
                <w:sz w:val="19"/>
                <w:szCs w:val="19"/>
                <w:shd w:val="clear" w:color="auto" w:fill="auto"/>
              </w:rPr>
              <w:t>居民电子健康档案建档人数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7183</w:t>
            </w:r>
            <w:r>
              <w:rPr>
                <w:rFonts w:hint="eastAsia" w:ascii="仿宋_GB2312" w:hAnsi="仿宋_GB2312" w:eastAsia="仿宋_GB2312" w:cs="仿宋_GB2312"/>
                <w:i w:val="0"/>
                <w:iCs w:val="0"/>
                <w:color w:val="000000"/>
                <w:sz w:val="18"/>
                <w:szCs w:val="18"/>
                <w:u w:val="none"/>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7052</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7052</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74.65%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ascii="Arial" w:hAnsi="Arial" w:eastAsia="宋体" w:cs="Arial"/>
                <w:i w:val="0"/>
                <w:caps w:val="0"/>
                <w:color w:val="auto"/>
                <w:spacing w:val="0"/>
                <w:sz w:val="19"/>
                <w:szCs w:val="19"/>
                <w:shd w:val="clear" w:color="auto" w:fill="auto"/>
              </w:rPr>
            </w:pPr>
            <w:r>
              <w:rPr>
                <w:rFonts w:ascii="Arial" w:hAnsi="Arial" w:eastAsia="宋体" w:cs="Arial"/>
                <w:i w:val="0"/>
                <w:caps w:val="0"/>
                <w:color w:val="auto"/>
                <w:spacing w:val="0"/>
                <w:sz w:val="19"/>
                <w:szCs w:val="19"/>
                <w:shd w:val="clear" w:color="auto" w:fill="auto"/>
              </w:rPr>
              <w:t>7岁以下儿童健康管理人数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115</w:t>
            </w:r>
            <w:r>
              <w:rPr>
                <w:rFonts w:hint="eastAsia" w:ascii="仿宋_GB2312" w:hAnsi="仿宋_GB2312" w:eastAsia="仿宋_GB2312" w:cs="仿宋_GB2312"/>
                <w:i w:val="0"/>
                <w:iCs w:val="0"/>
                <w:color w:val="000000"/>
                <w:sz w:val="18"/>
                <w:szCs w:val="18"/>
                <w:u w:val="none"/>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207</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207</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99.02%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ascii="Arial" w:hAnsi="Arial" w:eastAsia="宋体" w:cs="Arial"/>
                <w:i w:val="0"/>
                <w:caps w:val="0"/>
                <w:color w:val="auto"/>
                <w:spacing w:val="0"/>
                <w:sz w:val="19"/>
                <w:szCs w:val="19"/>
                <w:shd w:val="clear" w:color="auto" w:fill="auto"/>
              </w:rPr>
            </w:pPr>
            <w:r>
              <w:rPr>
                <w:rFonts w:ascii="Arial" w:hAnsi="Arial" w:eastAsia="宋体" w:cs="Arial"/>
                <w:i w:val="0"/>
                <w:caps w:val="0"/>
                <w:color w:val="auto"/>
                <w:spacing w:val="0"/>
                <w:sz w:val="19"/>
                <w:szCs w:val="19"/>
                <w:shd w:val="clear" w:color="auto" w:fill="auto"/>
              </w:rPr>
              <w:t>孕产妇系统管理人数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37</w:t>
            </w:r>
            <w:r>
              <w:rPr>
                <w:rFonts w:hint="eastAsia" w:ascii="仿宋_GB2312" w:hAnsi="仿宋_GB2312" w:eastAsia="仿宋_GB2312" w:cs="仿宋_GB2312"/>
                <w:i w:val="0"/>
                <w:iCs w:val="0"/>
                <w:color w:val="000000"/>
                <w:sz w:val="18"/>
                <w:szCs w:val="18"/>
                <w:u w:val="none"/>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14</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14</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sz w:val="18"/>
                <w:szCs w:val="18"/>
                <w:u w:val="none"/>
                <w:shd w:val="clear" w:color="auto" w:fill="auto"/>
              </w:rPr>
            </w:pPr>
            <w:r>
              <w:rPr>
                <w:rFonts w:ascii="Arial" w:hAnsi="Arial" w:eastAsia="宋体" w:cs="Arial"/>
                <w:i w:val="0"/>
                <w:caps w:val="0"/>
                <w:color w:val="auto"/>
                <w:spacing w:val="0"/>
                <w:sz w:val="19"/>
                <w:szCs w:val="19"/>
                <w:shd w:val="clear" w:color="auto" w:fill="auto"/>
              </w:rPr>
              <w:t>2型糖尿病患者管理人数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338</w:t>
            </w:r>
            <w:r>
              <w:rPr>
                <w:rFonts w:hint="eastAsia" w:ascii="宋体" w:hAnsi="宋体" w:eastAsia="宋体" w:cs="宋体"/>
                <w:i w:val="0"/>
                <w:color w:val="000000"/>
                <w:kern w:val="0"/>
                <w:sz w:val="20"/>
                <w:szCs w:val="20"/>
                <w:u w:val="none"/>
                <w:lang w:val="en-US" w:eastAsia="zh-CN" w:bidi="ar"/>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332</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332</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83.43%</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sz w:val="18"/>
                <w:szCs w:val="18"/>
                <w:u w:val="none"/>
                <w:shd w:val="clear" w:color="auto" w:fill="auto"/>
              </w:rPr>
            </w:pPr>
            <w:r>
              <w:rPr>
                <w:rFonts w:ascii="Arial" w:hAnsi="Arial" w:eastAsia="宋体" w:cs="Arial"/>
                <w:i w:val="0"/>
                <w:caps w:val="0"/>
                <w:color w:val="auto"/>
                <w:spacing w:val="0"/>
                <w:sz w:val="19"/>
                <w:szCs w:val="19"/>
                <w:shd w:val="clear" w:color="auto" w:fill="auto"/>
              </w:rPr>
              <w:t>老年人中医药健康管理人数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1303</w:t>
            </w:r>
            <w:r>
              <w:rPr>
                <w:rFonts w:hint="eastAsia" w:ascii="宋体" w:hAnsi="宋体" w:eastAsia="宋体" w:cs="宋体"/>
                <w:i w:val="0"/>
                <w:color w:val="000000"/>
                <w:kern w:val="0"/>
                <w:sz w:val="20"/>
                <w:szCs w:val="20"/>
                <w:u w:val="none"/>
                <w:lang w:val="en-US" w:eastAsia="zh-CN" w:bidi="ar"/>
              </w:rPr>
              <w:t>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1233</w:t>
            </w:r>
            <w:r>
              <w:rPr>
                <w:rFonts w:hint="eastAsia" w:ascii="宋体" w:hAnsi="宋体" w:eastAsia="宋体" w:cs="宋体"/>
                <w:i w:val="0"/>
                <w:color w:val="000000"/>
                <w:kern w:val="0"/>
                <w:sz w:val="20"/>
                <w:szCs w:val="20"/>
                <w:u w:val="none"/>
                <w:lang w:val="en-US" w:eastAsia="zh-CN" w:bidi="ar"/>
              </w:rPr>
              <w:t>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1233</w:t>
            </w:r>
            <w:r>
              <w:rPr>
                <w:rFonts w:hint="eastAsia" w:ascii="宋体" w:hAnsi="宋体" w:eastAsia="宋体" w:cs="宋体"/>
                <w:i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115.38%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3.46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高血压患者管理率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79</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84.7</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84.7</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107.2%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4.64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ascii="Arial" w:hAnsi="Arial" w:eastAsia="宋体" w:cs="Arial"/>
                <w:i w:val="0"/>
                <w:caps w:val="0"/>
                <w:color w:val="auto"/>
                <w:spacing w:val="0"/>
                <w:sz w:val="19"/>
                <w:szCs w:val="19"/>
                <w:shd w:val="clear" w:color="auto" w:fill="auto"/>
              </w:rPr>
              <w:t>居民电子健康档案建档</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50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74.65</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99.02</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149.3%</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宋体" w:cs="仿宋_GB2312"/>
                <w:i w:val="0"/>
                <w:iCs w:val="0"/>
                <w:color w:val="000000"/>
                <w:sz w:val="18"/>
                <w:szCs w:val="18"/>
                <w:u w:val="none"/>
                <w:lang w:eastAsia="zh-CN"/>
              </w:rPr>
            </w:pPr>
            <w:r>
              <w:rPr>
                <w:rFonts w:ascii="Arial" w:hAnsi="Arial" w:eastAsia="宋体" w:cs="Arial"/>
                <w:i w:val="0"/>
                <w:caps w:val="0"/>
                <w:color w:val="auto"/>
                <w:spacing w:val="0"/>
                <w:sz w:val="19"/>
                <w:szCs w:val="19"/>
                <w:shd w:val="clear" w:color="auto" w:fill="auto"/>
              </w:rPr>
              <w:t>7岁以下儿童健康管理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85</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99.02</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99.02</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116.49%</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color w:val="000000"/>
                <w:kern w:val="0"/>
                <w:sz w:val="20"/>
                <w:szCs w:val="20"/>
                <w:u w:val="none"/>
                <w:lang w:val="en-US" w:eastAsia="zh-CN" w:bidi="ar"/>
              </w:rPr>
              <w:t>1.67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宋体" w:cs="仿宋_GB2312"/>
                <w:i w:val="0"/>
                <w:iCs w:val="0"/>
                <w:color w:val="000000"/>
                <w:sz w:val="18"/>
                <w:szCs w:val="18"/>
                <w:u w:val="none"/>
                <w:lang w:eastAsia="zh-CN"/>
              </w:rPr>
            </w:pPr>
            <w:r>
              <w:rPr>
                <w:rFonts w:ascii="Arial" w:hAnsi="Arial" w:eastAsia="宋体" w:cs="Arial"/>
                <w:i w:val="0"/>
                <w:caps w:val="0"/>
                <w:color w:val="auto"/>
                <w:spacing w:val="0"/>
                <w:sz w:val="19"/>
                <w:szCs w:val="19"/>
                <w:shd w:val="clear" w:color="auto" w:fill="auto"/>
              </w:rPr>
              <w:t>孕产妇系统管理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7" w:name="OLE_LINK4"/>
            <w:r>
              <w:rPr>
                <w:rFonts w:hint="eastAsia" w:ascii="仿宋_GB2312" w:hAnsi="仿宋_GB2312" w:eastAsia="仿宋_GB2312" w:cs="仿宋_GB2312"/>
                <w:i w:val="0"/>
                <w:iCs w:val="0"/>
                <w:color w:val="000000"/>
                <w:sz w:val="18"/>
                <w:szCs w:val="18"/>
                <w:u w:val="none"/>
                <w:lang w:val="en-US" w:eastAsia="zh-CN"/>
              </w:rPr>
              <w:t>111.1%</w:t>
            </w:r>
            <w:bookmarkEnd w:id="7"/>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1.78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Arial" w:hAnsi="Arial" w:eastAsia="宋体" w:cs="Arial"/>
                <w:i w:val="0"/>
                <w:caps w:val="0"/>
                <w:color w:val="auto"/>
                <w:spacing w:val="0"/>
                <w:sz w:val="19"/>
                <w:szCs w:val="19"/>
                <w:shd w:val="clear" w:color="auto" w:fill="auto"/>
                <w:lang w:eastAsia="zh-CN"/>
              </w:rPr>
            </w:pPr>
            <w:r>
              <w:rPr>
                <w:rFonts w:ascii="Arial" w:hAnsi="Arial" w:eastAsia="宋体" w:cs="Arial"/>
                <w:i w:val="0"/>
                <w:caps w:val="0"/>
                <w:color w:val="auto"/>
                <w:spacing w:val="0"/>
                <w:sz w:val="19"/>
                <w:szCs w:val="19"/>
                <w:shd w:val="clear" w:color="auto" w:fill="auto"/>
              </w:rPr>
              <w:t>2型糖尿病患者管理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79</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83.43</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83.43</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Arial" w:hAnsi="Arial" w:eastAsia="宋体" w:cs="Arial"/>
                <w:i w:val="0"/>
                <w:caps w:val="0"/>
                <w:color w:val="auto"/>
                <w:spacing w:val="0"/>
                <w:sz w:val="19"/>
                <w:szCs w:val="19"/>
                <w:shd w:val="clear" w:color="auto" w:fill="auto"/>
                <w:lang w:eastAsia="zh-CN"/>
              </w:rPr>
            </w:pPr>
            <w:r>
              <w:rPr>
                <w:rFonts w:ascii="Arial" w:hAnsi="Arial" w:eastAsia="宋体" w:cs="Arial"/>
                <w:i w:val="0"/>
                <w:caps w:val="0"/>
                <w:color w:val="auto"/>
                <w:spacing w:val="0"/>
                <w:sz w:val="19"/>
                <w:szCs w:val="19"/>
                <w:shd w:val="clear" w:color="auto" w:fill="auto"/>
              </w:rPr>
              <w:t>老年人中医药健康管理</w:t>
            </w:r>
            <w:r>
              <w:rPr>
                <w:rFonts w:hint="eastAsia" w:ascii="Arial" w:hAnsi="Arial" w:cs="Arial"/>
                <w:i w:val="0"/>
                <w:caps w:val="0"/>
                <w:color w:val="auto"/>
                <w:spacing w:val="0"/>
                <w:sz w:val="19"/>
                <w:szCs w:val="19"/>
                <w:shd w:val="clear" w:color="auto" w:fill="auto"/>
                <w:lang w:eastAsia="zh-CN"/>
              </w:rPr>
              <w:t>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115.38</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115.38</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128.2%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1.44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资金到位及时率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项目预算控制率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90</w:t>
            </w:r>
            <w:r>
              <w:rPr>
                <w:rFonts w:hint="eastAsia" w:ascii="宋体" w:hAnsi="宋体" w:eastAsia="宋体" w:cs="宋体"/>
                <w:i w:val="0"/>
                <w:color w:val="000000"/>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ascii="Arial" w:hAnsi="Arial" w:eastAsia="宋体" w:cs="Arial"/>
                <w:i w:val="0"/>
                <w:caps w:val="0"/>
                <w:color w:val="2B2B2B"/>
                <w:spacing w:val="0"/>
                <w:sz w:val="19"/>
                <w:szCs w:val="19"/>
                <w:shd w:val="clear" w:color="auto" w:fill="auto"/>
              </w:rPr>
              <w:t>缩小城乡居民公共卫生差距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不断缩小</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不断缩小</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color w:val="000000"/>
                <w:kern w:val="0"/>
                <w:sz w:val="20"/>
                <w:szCs w:val="20"/>
                <w:u w:val="none"/>
                <w:lang w:val="en-US" w:eastAsia="zh-CN" w:bidi="ar"/>
              </w:rPr>
              <w:t>不断缩小</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服务对象</w:t>
            </w:r>
            <w:r>
              <w:rPr>
                <w:rFonts w:hint="eastAsia" w:ascii="仿宋_GB2312" w:hAnsi="仿宋_GB2312" w:eastAsia="仿宋_GB2312" w:cs="仿宋_GB2312"/>
                <w:i w:val="0"/>
                <w:iCs w:val="0"/>
                <w:color w:val="000000"/>
                <w:sz w:val="18"/>
                <w:szCs w:val="18"/>
                <w:u w:val="none"/>
              </w:rPr>
              <w:t>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w:t>
            </w:r>
            <w:r>
              <w:rPr>
                <w:rFonts w:hint="eastAsia" w:ascii="宋体" w:hAnsi="宋体" w:cs="宋体"/>
                <w:i w:val="0"/>
                <w:color w:val="000000"/>
                <w:kern w:val="0"/>
                <w:sz w:val="20"/>
                <w:szCs w:val="20"/>
                <w:u w:val="none"/>
                <w:lang w:val="en-US" w:eastAsia="zh-CN" w:bidi="ar"/>
              </w:rPr>
              <w:t>0</w:t>
            </w: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77.41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p>
      <w:pPr>
        <w:rPr>
          <w:rFonts w:hint="default" w:ascii="Times New Roman" w:hAnsi="Times New Roman" w:cs="Times New Roman"/>
        </w:rPr>
      </w:pPr>
    </w:p>
    <w:p>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pPr>
    </w:p>
    <w:sectPr>
      <w:pgSz w:w="16838" w:h="11906" w:orient="landscape"/>
      <w:pgMar w:top="118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1663"/>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5D50E0"/>
    <w:rsid w:val="01610122"/>
    <w:rsid w:val="02510197"/>
    <w:rsid w:val="029A3A86"/>
    <w:rsid w:val="029C57D8"/>
    <w:rsid w:val="03EC461B"/>
    <w:rsid w:val="043E66D1"/>
    <w:rsid w:val="04A06AE1"/>
    <w:rsid w:val="04A4232A"/>
    <w:rsid w:val="056664E4"/>
    <w:rsid w:val="06926D57"/>
    <w:rsid w:val="06EA182C"/>
    <w:rsid w:val="071A5591"/>
    <w:rsid w:val="07397B77"/>
    <w:rsid w:val="07F35C6F"/>
    <w:rsid w:val="086A3084"/>
    <w:rsid w:val="08DD33A1"/>
    <w:rsid w:val="09167334"/>
    <w:rsid w:val="0AD007F3"/>
    <w:rsid w:val="0D082A6E"/>
    <w:rsid w:val="0E3C619F"/>
    <w:rsid w:val="0F2F5BD4"/>
    <w:rsid w:val="0F6273CA"/>
    <w:rsid w:val="0FCF7EAB"/>
    <w:rsid w:val="100F38EC"/>
    <w:rsid w:val="11050D27"/>
    <w:rsid w:val="11170296"/>
    <w:rsid w:val="11641C95"/>
    <w:rsid w:val="12A41D58"/>
    <w:rsid w:val="12C66037"/>
    <w:rsid w:val="12C705FB"/>
    <w:rsid w:val="12CD1ABC"/>
    <w:rsid w:val="133B07D3"/>
    <w:rsid w:val="13471461"/>
    <w:rsid w:val="13B90F01"/>
    <w:rsid w:val="13F90F39"/>
    <w:rsid w:val="155E4C4D"/>
    <w:rsid w:val="169B3A7C"/>
    <w:rsid w:val="181066D2"/>
    <w:rsid w:val="187F11F9"/>
    <w:rsid w:val="1C671E73"/>
    <w:rsid w:val="1D322C47"/>
    <w:rsid w:val="1D6202EB"/>
    <w:rsid w:val="1EA1074C"/>
    <w:rsid w:val="1EE544D6"/>
    <w:rsid w:val="208E4638"/>
    <w:rsid w:val="22290DFD"/>
    <w:rsid w:val="22F24E1B"/>
    <w:rsid w:val="22F865B5"/>
    <w:rsid w:val="23616034"/>
    <w:rsid w:val="23696C97"/>
    <w:rsid w:val="239443CD"/>
    <w:rsid w:val="24480FA2"/>
    <w:rsid w:val="24BD3695"/>
    <w:rsid w:val="24D42689"/>
    <w:rsid w:val="25227A45"/>
    <w:rsid w:val="26107A2B"/>
    <w:rsid w:val="26AC3A6A"/>
    <w:rsid w:val="26DB3710"/>
    <w:rsid w:val="2B1277CC"/>
    <w:rsid w:val="2B9D7E25"/>
    <w:rsid w:val="2C4E2ECE"/>
    <w:rsid w:val="2C7C7A3B"/>
    <w:rsid w:val="2CCD473A"/>
    <w:rsid w:val="2D217FC5"/>
    <w:rsid w:val="2F364819"/>
    <w:rsid w:val="2F7E38B9"/>
    <w:rsid w:val="2F897353"/>
    <w:rsid w:val="2FD63906"/>
    <w:rsid w:val="317E2440"/>
    <w:rsid w:val="31E66E51"/>
    <w:rsid w:val="3288799A"/>
    <w:rsid w:val="34682842"/>
    <w:rsid w:val="359A71EC"/>
    <w:rsid w:val="37215DAE"/>
    <w:rsid w:val="38CA40DD"/>
    <w:rsid w:val="395F2B56"/>
    <w:rsid w:val="3989662F"/>
    <w:rsid w:val="3AE113B1"/>
    <w:rsid w:val="3B482032"/>
    <w:rsid w:val="3BBA0580"/>
    <w:rsid w:val="3BECE841"/>
    <w:rsid w:val="3CDE204C"/>
    <w:rsid w:val="3D0A1709"/>
    <w:rsid w:val="3D363C36"/>
    <w:rsid w:val="3E9C3F6D"/>
    <w:rsid w:val="3FF7797D"/>
    <w:rsid w:val="42F16CBA"/>
    <w:rsid w:val="46690BD8"/>
    <w:rsid w:val="46DF4E1E"/>
    <w:rsid w:val="46E22723"/>
    <w:rsid w:val="46EB381C"/>
    <w:rsid w:val="47895560"/>
    <w:rsid w:val="49AA691D"/>
    <w:rsid w:val="49F70BF1"/>
    <w:rsid w:val="4ADF60DF"/>
    <w:rsid w:val="4B4340EE"/>
    <w:rsid w:val="4BA547C3"/>
    <w:rsid w:val="4C230E60"/>
    <w:rsid w:val="4F694CC2"/>
    <w:rsid w:val="503D507A"/>
    <w:rsid w:val="50942AC9"/>
    <w:rsid w:val="509E3CEA"/>
    <w:rsid w:val="50FD0400"/>
    <w:rsid w:val="510C0C3F"/>
    <w:rsid w:val="51FA74D0"/>
    <w:rsid w:val="52AA4A52"/>
    <w:rsid w:val="533D58C6"/>
    <w:rsid w:val="539D3AD1"/>
    <w:rsid w:val="53B764C9"/>
    <w:rsid w:val="547F1728"/>
    <w:rsid w:val="54F20DD2"/>
    <w:rsid w:val="56C80B8C"/>
    <w:rsid w:val="573A37A0"/>
    <w:rsid w:val="578B4632"/>
    <w:rsid w:val="594C6863"/>
    <w:rsid w:val="5955323E"/>
    <w:rsid w:val="59943D66"/>
    <w:rsid w:val="59957788"/>
    <w:rsid w:val="59E051FD"/>
    <w:rsid w:val="59E15E56"/>
    <w:rsid w:val="59E6355E"/>
    <w:rsid w:val="5A317807"/>
    <w:rsid w:val="5AD83820"/>
    <w:rsid w:val="5B821531"/>
    <w:rsid w:val="5BFF6039"/>
    <w:rsid w:val="5D76195E"/>
    <w:rsid w:val="5D76A616"/>
    <w:rsid w:val="5D7F20B9"/>
    <w:rsid w:val="5DAC7D0E"/>
    <w:rsid w:val="5F0B0374"/>
    <w:rsid w:val="5F98B5AF"/>
    <w:rsid w:val="5FFE8511"/>
    <w:rsid w:val="5FFEACE2"/>
    <w:rsid w:val="609D5BF6"/>
    <w:rsid w:val="61073070"/>
    <w:rsid w:val="61B9080E"/>
    <w:rsid w:val="61DF3FED"/>
    <w:rsid w:val="62606CE8"/>
    <w:rsid w:val="62BA3A21"/>
    <w:rsid w:val="62FB3C34"/>
    <w:rsid w:val="631B2E02"/>
    <w:rsid w:val="63635F60"/>
    <w:rsid w:val="642A0B61"/>
    <w:rsid w:val="642B176B"/>
    <w:rsid w:val="643EE26D"/>
    <w:rsid w:val="64AF3043"/>
    <w:rsid w:val="65067DBA"/>
    <w:rsid w:val="656019A0"/>
    <w:rsid w:val="65E810C8"/>
    <w:rsid w:val="65F242EE"/>
    <w:rsid w:val="666D7E19"/>
    <w:rsid w:val="66EE0D3F"/>
    <w:rsid w:val="67016AD1"/>
    <w:rsid w:val="6830584B"/>
    <w:rsid w:val="68376930"/>
    <w:rsid w:val="687E3EE3"/>
    <w:rsid w:val="68F91E38"/>
    <w:rsid w:val="6977690B"/>
    <w:rsid w:val="6B3158B9"/>
    <w:rsid w:val="6BA02A3F"/>
    <w:rsid w:val="6C105349"/>
    <w:rsid w:val="6C1E5A53"/>
    <w:rsid w:val="6F5C41AC"/>
    <w:rsid w:val="6FAF6C78"/>
    <w:rsid w:val="6FF05449"/>
    <w:rsid w:val="709B3664"/>
    <w:rsid w:val="70F80C27"/>
    <w:rsid w:val="716167CC"/>
    <w:rsid w:val="718A7AD1"/>
    <w:rsid w:val="72721E6A"/>
    <w:rsid w:val="72A44BC2"/>
    <w:rsid w:val="72D66285"/>
    <w:rsid w:val="7317C656"/>
    <w:rsid w:val="734ED73F"/>
    <w:rsid w:val="73C82B32"/>
    <w:rsid w:val="73F94DAE"/>
    <w:rsid w:val="74220495"/>
    <w:rsid w:val="74343FFF"/>
    <w:rsid w:val="747D1B6F"/>
    <w:rsid w:val="74966A1C"/>
    <w:rsid w:val="749E5641"/>
    <w:rsid w:val="76271066"/>
    <w:rsid w:val="76885262"/>
    <w:rsid w:val="77FD8BE9"/>
    <w:rsid w:val="78000AED"/>
    <w:rsid w:val="78036054"/>
    <w:rsid w:val="79A9BD3F"/>
    <w:rsid w:val="7AC5270E"/>
    <w:rsid w:val="7ACF7717"/>
    <w:rsid w:val="7B776F12"/>
    <w:rsid w:val="7BFFFDD0"/>
    <w:rsid w:val="7C336E5F"/>
    <w:rsid w:val="7C8D4919"/>
    <w:rsid w:val="7CB244A3"/>
    <w:rsid w:val="7D7A5F86"/>
    <w:rsid w:val="7D831878"/>
    <w:rsid w:val="7E2E692B"/>
    <w:rsid w:val="7E4B683A"/>
    <w:rsid w:val="7E5E656D"/>
    <w:rsid w:val="7E8F2BCB"/>
    <w:rsid w:val="7F37BB4E"/>
    <w:rsid w:val="7FEF918E"/>
    <w:rsid w:val="7FF4FB6F"/>
    <w:rsid w:val="7FF7FF27"/>
    <w:rsid w:val="7FFDF714"/>
    <w:rsid w:val="7FFE136B"/>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3"/>
    <w:qFormat/>
    <w:uiPriority w:val="0"/>
    <w:rPr>
      <w:b/>
      <w:bCs/>
    </w:rPr>
  </w:style>
  <w:style w:type="paragraph" w:styleId="4">
    <w:name w:val="annotation text"/>
    <w:basedOn w:val="1"/>
    <w:link w:val="22"/>
    <w:qFormat/>
    <w:uiPriority w:val="0"/>
    <w:pPr>
      <w:jc w:val="left"/>
    </w:pPr>
  </w:style>
  <w:style w:type="paragraph" w:styleId="5">
    <w:name w:val="Body Text First Indent"/>
    <w:basedOn w:val="6"/>
    <w:qFormat/>
    <w:uiPriority w:val="0"/>
    <w:pPr>
      <w:spacing w:after="0"/>
      <w:ind w:firstLine="200" w:firstLineChars="200"/>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Body Text First Indent 2"/>
    <w:basedOn w:val="7"/>
    <w:qFormat/>
    <w:uiPriority w:val="0"/>
    <w:pPr>
      <w:ind w:firstLine="420" w:firstLineChars="200"/>
    </w:p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4"/>
    <w:link w:val="8"/>
    <w:qFormat/>
    <w:uiPriority w:val="0"/>
    <w:rPr>
      <w:rFonts w:ascii="Times New Roman" w:hAnsi="Times New Roman" w:eastAsia="宋体" w:cs="Times New Roman"/>
      <w:kern w:val="2"/>
      <w:sz w:val="18"/>
      <w:szCs w:val="18"/>
    </w:rPr>
  </w:style>
  <w:style w:type="character" w:customStyle="1" w:styleId="21">
    <w:name w:val="页眉 字符"/>
    <w:basedOn w:val="14"/>
    <w:link w:val="11"/>
    <w:qFormat/>
    <w:uiPriority w:val="0"/>
    <w:rPr>
      <w:rFonts w:ascii="Times New Roman" w:hAnsi="Times New Roman" w:eastAsia="宋体" w:cs="Times New Roman"/>
      <w:kern w:val="2"/>
      <w:sz w:val="18"/>
      <w:szCs w:val="18"/>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12783</Words>
  <Characters>13610</Characters>
  <Lines>58</Lines>
  <Paragraphs>16</Paragraphs>
  <TotalTime>15</TotalTime>
  <ScaleCrop>false</ScaleCrop>
  <LinksUpToDate>false</LinksUpToDate>
  <CharactersWithSpaces>13628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2025-05-13T03:48:00Z</cp:lastPrinted>
  <dcterms:modified xsi:type="dcterms:W3CDTF">2025-05-15T04:17:36Z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4502E38737CC4118B1C04DF5A501CFFB_13</vt:lpwstr>
  </property>
  <property fmtid="{D5CDD505-2E9C-101B-9397-08002B2CF9AE}" pid="4" name="KSOTemplateDocerSaveRecord">
    <vt:lpwstr>eyJoZGlkIjoiZDk5ZDYwODgyZTFlZDE5MjQ3OWFkNDU5NjViOTcyYTEiLCJ1c2VySWQiOiI1MTU1Mzg4OTAifQ==</vt:lpwstr>
  </property>
</Properties>
</file>