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bookmarkStart w:id="5" w:name="_GoBack"/>
      <w:bookmarkEnd w:id="5"/>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bookmarkStart w:id="0" w:name="OLE_LINK3"/>
      <w:r>
        <w:rPr>
          <w:rFonts w:hint="default" w:ascii="Times New Roman" w:hAnsi="Times New Roman" w:eastAsia="方正小标宋_GBK" w:cs="Times New Roman"/>
          <w:kern w:val="0"/>
          <w:sz w:val="48"/>
          <w:szCs w:val="48"/>
          <w:highlight w:val="none"/>
        </w:rPr>
        <w:t>昌州财教[2023]90号关于提前下达2024年城乡义务教育补助经费预算[中央直达资金]的通知-公用经费</w:t>
      </w:r>
      <w:bookmarkEnd w:id="0"/>
      <w:r>
        <w:rPr>
          <w:rFonts w:hint="default" w:ascii="Times New Roman" w:hAnsi="Times New Roman" w:eastAsia="方正小标宋_GBK" w:cs="Times New Roman"/>
          <w:kern w:val="0"/>
          <w:sz w:val="48"/>
          <w:szCs w:val="48"/>
          <w:highlight w:val="none"/>
        </w:rPr>
        <w:t>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700" w:lineRule="exact"/>
        <w:ind w:left="3236" w:leftChars="684" w:hanging="1800" w:hangingChars="5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项目名称：昌州财教[2023]90号关于提前下达2024年城乡义务教育补助经费预算[中央直达资金]的通知-公用经费</w:t>
      </w: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奇台县西地镇中心学校</w:t>
      </w: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奇台县教育局</w:t>
      </w: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赵林山</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7</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eastAsia" w:ascii="Times New Roman" w:hAnsi="Times New Roman" w:eastAsia="黑体" w:cs="Times New Roman"/>
          <w:bCs/>
          <w:sz w:val="32"/>
          <w:szCs w:val="32"/>
          <w:highlight w:val="none"/>
        </w:rPr>
      </w:pPr>
      <w:r>
        <w:rPr>
          <w:rFonts w:hint="eastAsia" w:ascii="Times New Roman" w:hAnsi="Times New Roman" w:eastAsia="黑体" w:cs="Times New Roman"/>
          <w:bCs/>
          <w:sz w:val="32"/>
          <w:szCs w:val="32"/>
          <w:highlight w:val="none"/>
        </w:rPr>
        <w:t>一、基本情况</w:t>
      </w:r>
    </w:p>
    <w:p>
      <w:pPr>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（一）项目概况</w:t>
      </w:r>
    </w:p>
    <w:p>
      <w:pPr>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bCs/>
          <w:sz w:val="32"/>
          <w:szCs w:val="32"/>
          <w:highlight w:val="none"/>
        </w:rPr>
        <w:t>项目背景</w:t>
      </w:r>
    </w:p>
    <w:p>
      <w:pPr>
        <w:pStyle w:val="10"/>
        <w:numPr>
          <w:ilvl w:val="0"/>
          <w:numId w:val="0"/>
        </w:numPr>
        <w:spacing w:before="0" w:after="0" w:line="560" w:lineRule="exact"/>
        <w:ind w:firstLine="624" w:firstLineChars="200"/>
        <w:jc w:val="both"/>
        <w:rPr>
          <w:rStyle w:val="16"/>
          <w:rFonts w:hint="eastAsia" w:ascii="仿宋_GB2312" w:hAnsi="仿宋_GB2312" w:eastAsia="仿宋_GB2312" w:cs="仿宋_GB2312"/>
          <w:b w:val="0"/>
          <w:bCs/>
          <w:spacing w:val="-4"/>
          <w:sz w:val="32"/>
          <w:szCs w:val="32"/>
          <w:highlight w:val="none"/>
          <w:lang w:eastAsia="zh-CN"/>
        </w:rPr>
      </w:pPr>
      <w:r>
        <w:rPr>
          <w:rStyle w:val="16"/>
          <w:rFonts w:hint="eastAsia" w:ascii="仿宋_GB2312" w:hAnsi="仿宋_GB2312" w:eastAsia="仿宋_GB2312" w:cs="仿宋_GB2312"/>
          <w:b w:val="0"/>
          <w:bCs/>
          <w:spacing w:val="-4"/>
          <w:sz w:val="32"/>
          <w:szCs w:val="32"/>
          <w:highlight w:val="none"/>
        </w:rPr>
        <w:t>根据昌州财教[2023]90号关于提前下达2024年城乡义务教育补助经费预算[中央直达资金]的通知-公用经费</w:t>
      </w:r>
      <w:r>
        <w:rPr>
          <w:rStyle w:val="16"/>
          <w:rFonts w:hint="eastAsia" w:ascii="仿宋_GB2312" w:hAnsi="仿宋_GB2312" w:eastAsia="仿宋_GB2312" w:cs="仿宋_GB2312"/>
          <w:b w:val="0"/>
          <w:bCs/>
          <w:spacing w:val="-4"/>
          <w:sz w:val="32"/>
          <w:szCs w:val="32"/>
          <w:highlight w:val="none"/>
          <w:lang w:eastAsia="zh-CN"/>
        </w:rPr>
        <w:t>，</w:t>
      </w:r>
      <w:r>
        <w:rPr>
          <w:rStyle w:val="16"/>
          <w:rFonts w:hint="eastAsia" w:ascii="仿宋_GB2312" w:hAnsi="仿宋_GB2312" w:eastAsia="仿宋_GB2312" w:cs="仿宋_GB2312"/>
          <w:b w:val="0"/>
          <w:bCs/>
          <w:spacing w:val="-4"/>
          <w:sz w:val="32"/>
          <w:szCs w:val="32"/>
          <w:highlight w:val="none"/>
          <w:lang w:val="en-US" w:eastAsia="zh-CN"/>
        </w:rPr>
        <w:t>为保障学校正常运转，优化公共设施，</w:t>
      </w:r>
      <w:r>
        <w:rPr>
          <w:rStyle w:val="16"/>
          <w:rFonts w:hint="eastAsia" w:ascii="仿宋_GB2312" w:hAnsi="仿宋_GB2312" w:eastAsia="仿宋_GB2312" w:cs="仿宋_GB2312"/>
          <w:b w:val="0"/>
          <w:bCs/>
          <w:spacing w:val="-4"/>
          <w:sz w:val="32"/>
          <w:szCs w:val="32"/>
          <w:highlight w:val="none"/>
        </w:rPr>
        <w:t>提高学生的学习环境</w:t>
      </w:r>
      <w:r>
        <w:rPr>
          <w:rStyle w:val="16"/>
          <w:rFonts w:hint="eastAsia" w:ascii="仿宋_GB2312" w:hAnsi="仿宋_GB2312" w:eastAsia="仿宋_GB2312" w:cs="仿宋_GB2312"/>
          <w:b w:val="0"/>
          <w:bCs/>
          <w:spacing w:val="-4"/>
          <w:sz w:val="32"/>
          <w:szCs w:val="32"/>
          <w:highlight w:val="none"/>
          <w:lang w:eastAsia="zh-CN"/>
        </w:rPr>
        <w:t>。</w:t>
      </w:r>
    </w:p>
    <w:p>
      <w:pPr>
        <w:pStyle w:val="10"/>
        <w:numPr>
          <w:ilvl w:val="0"/>
          <w:numId w:val="0"/>
        </w:numPr>
        <w:spacing w:before="0" w:after="0" w:line="560" w:lineRule="exact"/>
        <w:ind w:firstLine="643" w:firstLineChars="200"/>
        <w:jc w:val="both"/>
        <w:rPr>
          <w:rFonts w:hint="eastAsia" w:ascii="仿宋_GB2312" w:hAnsi="仿宋_GB2312" w:eastAsia="仿宋_GB2312" w:cs="仿宋_GB2312"/>
          <w:kern w:val="2"/>
          <w:highlight w:val="none"/>
        </w:rPr>
      </w:pPr>
      <w:r>
        <w:rPr>
          <w:rFonts w:hint="eastAsia" w:ascii="仿宋_GB2312" w:hAnsi="仿宋_GB2312" w:eastAsia="仿宋_GB2312" w:cs="仿宋_GB2312"/>
          <w:kern w:val="2"/>
          <w:highlight w:val="none"/>
          <w:lang w:val="en-US" w:eastAsia="zh-CN"/>
        </w:rPr>
        <w:t>2.</w:t>
      </w:r>
      <w:r>
        <w:rPr>
          <w:rFonts w:hint="eastAsia" w:ascii="仿宋_GB2312" w:hAnsi="仿宋_GB2312" w:eastAsia="仿宋_GB2312" w:cs="仿宋_GB2312"/>
          <w:kern w:val="2"/>
          <w:highlight w:val="none"/>
        </w:rPr>
        <w:t>项目主要内容：</w:t>
      </w:r>
    </w:p>
    <w:p>
      <w:pPr>
        <w:spacing w:line="560" w:lineRule="exact"/>
        <w:ind w:firstLine="6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sz w:val="30"/>
          <w:szCs w:val="30"/>
          <w:highlight w:val="none"/>
          <w:lang w:val="en-US" w:eastAsia="zh-CN"/>
        </w:rPr>
        <w:t>项目主要内容：</w:t>
      </w:r>
      <w:r>
        <w:rPr>
          <w:rStyle w:val="16"/>
          <w:rFonts w:hint="eastAsia" w:ascii="仿宋_GB2312" w:hAnsi="仿宋_GB2312" w:eastAsia="仿宋_GB2312" w:cs="仿宋_GB2312"/>
          <w:b w:val="0"/>
          <w:bCs/>
          <w:spacing w:val="-4"/>
          <w:sz w:val="32"/>
          <w:szCs w:val="32"/>
          <w:highlight w:val="none"/>
          <w:lang w:val="en-US" w:eastAsia="zh-CN"/>
        </w:rPr>
        <w:t>保障学校年度日常办公，设备维修需求等，确保学校正常运转。</w:t>
      </w:r>
    </w:p>
    <w:p>
      <w:pPr>
        <w:spacing w:line="560" w:lineRule="exact"/>
        <w:ind w:firstLine="640" w:firstLineChars="200"/>
        <w:rPr>
          <w:rFonts w:hint="eastAsia" w:ascii="仿宋_GB2312" w:hAnsi="仿宋_GB2312" w:eastAsia="仿宋_GB2312" w:cs="仿宋_GB2312"/>
          <w:highlight w:val="none"/>
        </w:rPr>
      </w:pPr>
      <w:r>
        <w:rPr>
          <w:rFonts w:hint="eastAsia" w:ascii="仿宋_GB2312" w:hAnsi="仿宋_GB2312" w:eastAsia="仿宋_GB2312" w:cs="仿宋_GB2312"/>
          <w:sz w:val="32"/>
          <w:szCs w:val="32"/>
          <w:highlight w:val="none"/>
        </w:rPr>
        <w:t>项目实施情况：</w:t>
      </w:r>
      <w:r>
        <w:rPr>
          <w:rStyle w:val="16"/>
          <w:rFonts w:hint="eastAsia" w:ascii="仿宋_GB2312" w:hAnsi="仿宋_GB2312" w:eastAsia="仿宋_GB2312" w:cs="仿宋_GB2312"/>
          <w:b w:val="0"/>
          <w:bCs/>
          <w:spacing w:val="-4"/>
          <w:sz w:val="32"/>
          <w:szCs w:val="32"/>
          <w:highlight w:val="none"/>
        </w:rPr>
        <w:t>根据昌州财教[2023]90号关于提前下达2024年城乡义务教育补助经费预算[中央直达资金]的通知-公用经费实施本项目实施投入53.1978万元用于2024年义务教育保障机制经费，其中小学公用经费标准小学公用经费标准720元/生/年，公用经费享受学生人数339人，随班就读残疾学生9人，维修次数20次，维修改造质量达标95%，维修完成及时率95%，项目预算控制数100%，改善义务教育基本办学条件，提升办学能力，有效提高学生的学习环境100%，学校和教师满意率90%。</w:t>
      </w:r>
    </w:p>
    <w:p>
      <w:pPr>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bCs/>
          <w:sz w:val="32"/>
          <w:szCs w:val="32"/>
          <w:highlight w:val="none"/>
        </w:rPr>
        <w:t>资金投入和使用情况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w:t>
      </w:r>
      <w:r>
        <w:rPr>
          <w:rStyle w:val="16"/>
          <w:rFonts w:hint="eastAsia" w:ascii="仿宋_GB2312" w:hAnsi="仿宋_GB2312" w:eastAsia="仿宋_GB2312" w:cs="仿宋_GB2312"/>
          <w:b w:val="0"/>
          <w:bCs/>
          <w:spacing w:val="-4"/>
          <w:sz w:val="32"/>
          <w:szCs w:val="32"/>
          <w:highlight w:val="none"/>
        </w:rPr>
        <w:t>53.1978</w:t>
      </w:r>
      <w:r>
        <w:rPr>
          <w:rFonts w:hint="eastAsia" w:ascii="仿宋_GB2312" w:hAnsi="仿宋_GB2312" w:eastAsia="仿宋_GB2312" w:cs="仿宋_GB2312"/>
          <w:sz w:val="32"/>
          <w:szCs w:val="32"/>
          <w:highlight w:val="none"/>
          <w:lang w:val="en-US" w:eastAsia="zh-CN"/>
        </w:rPr>
        <w:t>万元，全年预算数</w:t>
      </w:r>
      <w:r>
        <w:rPr>
          <w:rStyle w:val="16"/>
          <w:rFonts w:hint="eastAsia" w:ascii="仿宋_GB2312" w:hAnsi="仿宋_GB2312" w:eastAsia="仿宋_GB2312" w:cs="仿宋_GB2312"/>
          <w:b w:val="0"/>
          <w:bCs/>
          <w:spacing w:val="-4"/>
          <w:sz w:val="32"/>
          <w:szCs w:val="32"/>
          <w:highlight w:val="none"/>
        </w:rPr>
        <w:t>53.1978</w:t>
      </w:r>
      <w:r>
        <w:rPr>
          <w:rFonts w:hint="eastAsia" w:ascii="仿宋_GB2312" w:hAnsi="仿宋_GB2312" w:eastAsia="仿宋_GB2312" w:cs="仿宋_GB2312"/>
          <w:sz w:val="32"/>
          <w:szCs w:val="32"/>
          <w:highlight w:val="none"/>
          <w:lang w:val="en-US" w:eastAsia="zh-CN"/>
        </w:rPr>
        <w:t>万元，该项目资金已全部落实到位，资金来源为</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w:t>
      </w:r>
      <w:r>
        <w:rPr>
          <w:rStyle w:val="16"/>
          <w:rFonts w:hint="eastAsia" w:ascii="仿宋_GB2312" w:hAnsi="仿宋_GB2312" w:eastAsia="仿宋_GB2312" w:cs="仿宋_GB2312"/>
          <w:b w:val="0"/>
          <w:bCs/>
          <w:spacing w:val="-4"/>
          <w:sz w:val="32"/>
          <w:szCs w:val="32"/>
          <w:highlight w:val="none"/>
        </w:rPr>
        <w:t>53.1978</w:t>
      </w:r>
      <w:r>
        <w:rPr>
          <w:rFonts w:hint="eastAsia" w:ascii="仿宋_GB2312" w:hAnsi="仿宋_GB2312" w:eastAsia="仿宋_GB2312" w:cs="仿宋_GB2312"/>
          <w:sz w:val="32"/>
          <w:szCs w:val="32"/>
          <w:highlight w:val="none"/>
          <w:lang w:val="en-US" w:eastAsia="zh-CN"/>
        </w:rPr>
        <w:t>万元，全年预算数</w:t>
      </w:r>
      <w:r>
        <w:rPr>
          <w:rStyle w:val="16"/>
          <w:rFonts w:hint="eastAsia" w:ascii="仿宋_GB2312" w:hAnsi="仿宋_GB2312" w:eastAsia="仿宋_GB2312" w:cs="仿宋_GB2312"/>
          <w:b w:val="0"/>
          <w:bCs/>
          <w:spacing w:val="-4"/>
          <w:sz w:val="32"/>
          <w:szCs w:val="32"/>
          <w:highlight w:val="none"/>
        </w:rPr>
        <w:t>53.1978</w:t>
      </w:r>
      <w:r>
        <w:rPr>
          <w:rFonts w:hint="eastAsia" w:ascii="仿宋_GB2312" w:hAnsi="仿宋_GB2312" w:eastAsia="仿宋_GB2312" w:cs="仿宋_GB2312"/>
          <w:sz w:val="32"/>
          <w:szCs w:val="32"/>
          <w:highlight w:val="none"/>
          <w:lang w:val="en-US" w:eastAsia="zh-CN"/>
        </w:rPr>
        <w:t>万元，全年执行数</w:t>
      </w:r>
      <w:r>
        <w:rPr>
          <w:rStyle w:val="16"/>
          <w:rFonts w:hint="eastAsia" w:ascii="仿宋_GB2312" w:hAnsi="仿宋_GB2312" w:eastAsia="仿宋_GB2312" w:cs="仿宋_GB2312"/>
          <w:b w:val="0"/>
          <w:bCs/>
          <w:spacing w:val="-4"/>
          <w:sz w:val="32"/>
          <w:szCs w:val="32"/>
          <w:highlight w:val="none"/>
        </w:rPr>
        <w:t>53.1978</w:t>
      </w:r>
      <w:r>
        <w:rPr>
          <w:rFonts w:hint="eastAsia" w:ascii="仿宋_GB2312" w:hAnsi="仿宋_GB2312" w:eastAsia="仿宋_GB2312" w:cs="仿宋_GB2312"/>
          <w:sz w:val="32"/>
          <w:szCs w:val="32"/>
          <w:highlight w:val="none"/>
          <w:lang w:val="en-US" w:eastAsia="zh-CN"/>
        </w:rPr>
        <w:t>万元，预算执行率为100%，主要用于：</w:t>
      </w:r>
      <w:r>
        <w:rPr>
          <w:rFonts w:hint="eastAsia" w:ascii="Times New Roman" w:hAnsi="Times New Roman" w:eastAsia="仿宋_GB2312" w:cs="Times New Roman"/>
          <w:b w:val="0"/>
          <w:bCs w:val="0"/>
          <w:kern w:val="2"/>
          <w:sz w:val="30"/>
          <w:szCs w:val="30"/>
          <w:highlight w:val="none"/>
          <w:lang w:val="en-US" w:eastAsia="zh-CN" w:bidi="ar-SA"/>
        </w:rPr>
        <w:t>保障学校正常运转，优化公共设施，提高学生的学习环境。</w:t>
      </w:r>
    </w:p>
    <w:p>
      <w:pPr>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（二）项目绩效目标</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32"/>
          <w:szCs w:val="32"/>
          <w:highlight w:val="none"/>
        </w:rPr>
        <w:t>总体目标</w:t>
      </w:r>
    </w:p>
    <w:p>
      <w:pPr>
        <w:spacing w:line="560" w:lineRule="exact"/>
        <w:ind w:firstLine="624" w:firstLineChars="200"/>
        <w:rPr>
          <w:rStyle w:val="16"/>
          <w:rFonts w:hint="eastAsia" w:ascii="仿宋_GB2312" w:hAnsi="仿宋_GB2312" w:eastAsia="仿宋_GB2312" w:cs="仿宋_GB2312"/>
          <w:b w:val="0"/>
          <w:bCs/>
          <w:spacing w:val="-4"/>
          <w:sz w:val="32"/>
          <w:szCs w:val="32"/>
          <w:highlight w:val="none"/>
        </w:rPr>
      </w:pPr>
      <w:r>
        <w:rPr>
          <w:rStyle w:val="16"/>
          <w:rFonts w:hint="eastAsia" w:ascii="仿宋_GB2312" w:hAnsi="仿宋_GB2312" w:eastAsia="仿宋_GB2312" w:cs="仿宋_GB2312"/>
          <w:b w:val="0"/>
          <w:bCs/>
          <w:spacing w:val="-4"/>
          <w:sz w:val="32"/>
          <w:szCs w:val="32"/>
          <w:highlight w:val="none"/>
        </w:rPr>
        <w:t>本项目拟投入</w:t>
      </w:r>
      <w:bookmarkStart w:id="1" w:name="OLE_LINK2"/>
      <w:r>
        <w:rPr>
          <w:rStyle w:val="16"/>
          <w:rFonts w:hint="eastAsia" w:ascii="仿宋_GB2312" w:hAnsi="仿宋_GB2312" w:eastAsia="仿宋_GB2312" w:cs="仿宋_GB2312"/>
          <w:b w:val="0"/>
          <w:bCs/>
          <w:spacing w:val="-4"/>
          <w:sz w:val="32"/>
          <w:szCs w:val="32"/>
          <w:highlight w:val="none"/>
        </w:rPr>
        <w:t>53.1978</w:t>
      </w:r>
      <w:bookmarkEnd w:id="1"/>
      <w:r>
        <w:rPr>
          <w:rStyle w:val="16"/>
          <w:rFonts w:hint="eastAsia" w:ascii="仿宋_GB2312" w:hAnsi="仿宋_GB2312" w:eastAsia="仿宋_GB2312" w:cs="仿宋_GB2312"/>
          <w:b w:val="0"/>
          <w:bCs/>
          <w:spacing w:val="-4"/>
          <w:sz w:val="32"/>
          <w:szCs w:val="32"/>
          <w:highlight w:val="none"/>
        </w:rPr>
        <w:t>万元用于发放2024年义务教育保障机制经费，其中，学生人数350人，随班就读残疾学生9人，非寄宿生补助享受人数247人，补助标准625元，寄宿生补助享受人数60人，补助标准1250元，小学公用经费标准小学公用经费标准720元/生/年，学生家庭经济负担有效降低，家长满意度、学生满意度、教师满意度大于等于90%。</w:t>
      </w:r>
    </w:p>
    <w:p>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32"/>
          <w:szCs w:val="32"/>
          <w:highlight w:val="none"/>
        </w:rPr>
        <w:t>阶段性目标</w:t>
      </w:r>
    </w:p>
    <w:p>
      <w:pPr>
        <w:spacing w:line="560" w:lineRule="exact"/>
        <w:ind w:firstLine="624" w:firstLineChars="200"/>
        <w:rPr>
          <w:rStyle w:val="16"/>
          <w:rFonts w:hint="eastAsia" w:ascii="仿宋_GB2312" w:hAnsi="仿宋_GB2312" w:eastAsia="仿宋_GB2312" w:cs="仿宋_GB2312"/>
          <w:b w:val="0"/>
          <w:bCs/>
          <w:spacing w:val="-4"/>
          <w:sz w:val="32"/>
          <w:szCs w:val="32"/>
          <w:highlight w:val="none"/>
          <w:lang w:val="en-US" w:eastAsia="zh-CN"/>
        </w:rPr>
      </w:pPr>
      <w:r>
        <w:rPr>
          <w:rStyle w:val="16"/>
          <w:rFonts w:hint="eastAsia" w:ascii="仿宋_GB2312" w:hAnsi="仿宋_GB2312" w:eastAsia="仿宋_GB2312" w:cs="仿宋_GB2312"/>
          <w:b w:val="0"/>
          <w:bCs/>
          <w:spacing w:val="-4"/>
          <w:sz w:val="32"/>
          <w:szCs w:val="32"/>
          <w:highlight w:val="none"/>
          <w:lang w:val="en-US" w:eastAsia="zh-CN"/>
        </w:rPr>
        <w:t>第一阶段：（1-6月）完成邮电费、电费等日常支付：完成相应的办公用品采购、教师培训活动、设备维修等。</w:t>
      </w:r>
    </w:p>
    <w:p>
      <w:pPr>
        <w:spacing w:line="560" w:lineRule="exact"/>
        <w:rPr>
          <w:rStyle w:val="16"/>
          <w:rFonts w:hint="eastAsia" w:ascii="仿宋_GB2312" w:hAnsi="仿宋_GB2312" w:eastAsia="仿宋_GB2312" w:cs="仿宋_GB2312"/>
          <w:b w:val="0"/>
          <w:bCs/>
          <w:spacing w:val="-4"/>
          <w:sz w:val="32"/>
          <w:szCs w:val="32"/>
          <w:highlight w:val="none"/>
          <w:lang w:val="en-US" w:eastAsia="zh-CN"/>
        </w:rPr>
      </w:pPr>
      <w:r>
        <w:rPr>
          <w:rStyle w:val="16"/>
          <w:rFonts w:hint="eastAsia" w:ascii="仿宋_GB2312" w:hAnsi="仿宋_GB2312" w:eastAsia="仿宋_GB2312" w:cs="仿宋_GB2312"/>
          <w:b w:val="0"/>
          <w:bCs/>
          <w:spacing w:val="-4"/>
          <w:sz w:val="32"/>
          <w:szCs w:val="32"/>
          <w:highlight w:val="none"/>
          <w:lang w:val="en-US" w:eastAsia="zh-CN"/>
        </w:rPr>
        <w:t>学习第二阶段：（7-12月）完成取暖费支付、教师培训学习等支付。</w:t>
      </w:r>
    </w:p>
    <w:p>
      <w:pPr>
        <w:spacing w:line="560" w:lineRule="exact"/>
        <w:ind w:firstLine="640" w:firstLineChars="200"/>
        <w:rPr>
          <w:rFonts w:hint="eastAsia" w:ascii="Times New Roman" w:hAnsi="Times New Roman" w:eastAsia="黑体" w:cs="Times New Roman"/>
          <w:bCs/>
          <w:sz w:val="32"/>
          <w:szCs w:val="32"/>
          <w:highlight w:val="none"/>
        </w:rPr>
      </w:pPr>
      <w:r>
        <w:rPr>
          <w:rFonts w:hint="eastAsia" w:ascii="Times New Roman" w:hAnsi="Times New Roman" w:eastAsia="黑体" w:cs="Times New Roman"/>
          <w:bCs/>
          <w:sz w:val="32"/>
          <w:szCs w:val="32"/>
          <w:highlight w:val="none"/>
        </w:rPr>
        <w:t>二、绩效评价工作开展情况</w:t>
      </w:r>
    </w:p>
    <w:p>
      <w:pPr>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lang w:val="en-US" w:eastAsia="zh-CN"/>
        </w:rPr>
        <w:t>1.绩效评价完整性</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如学校的日常办公、维修数量、资金的支付等多方面进行预测，使项目更加完整，监管更加严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是否量化教学设施更新率、教师培训完成率、学生活动开展次数等直接成果。是否评估教学质量提升（如学业成绩、竞赛获奖）、学生满意度、社会认可度等长期影响。通过多维度指标，全面反映</w:t>
      </w:r>
      <w:r>
        <w:rPr>
          <w:rFonts w:hint="eastAsia" w:ascii="Times New Roman" w:hAnsi="Times New Roman" w:eastAsia="仿宋_GB2312" w:cs="Times New Roman"/>
          <w:sz w:val="32"/>
          <w:szCs w:val="32"/>
          <w:highlight w:val="none"/>
          <w:lang w:val="en-US" w:eastAsia="zh-CN"/>
        </w:rPr>
        <w:t>义务教育段公用经费的综合绩效。</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当前实践中的完整性不足表现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缺乏对教学质量提升、学生发展等深层次效益的评估。示例：教师培训费占比未达5%标准，但评价中未进一步分析培训内容与教学改进的关联性。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提升完整性的建议</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优化指标体系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引入分层分类指标：根据学校类型（如寄宿制、随班就读生比例）设置差异化权重。增加效益类指标权重：将“学生综合素质提升率”“教师培训费</w:t>
      </w:r>
      <w:r>
        <w:rPr>
          <w:rFonts w:hint="eastAsia" w:ascii="Times New Roman" w:hAnsi="Times New Roman" w:eastAsia="仿宋_GB2312" w:cs="Times New Roman"/>
          <w:sz w:val="32"/>
          <w:szCs w:val="32"/>
          <w:highlight w:val="none"/>
          <w:lang w:val="en-US" w:eastAsia="zh-CN"/>
        </w:rPr>
        <w:t>支付率</w:t>
      </w:r>
      <w:r>
        <w:rPr>
          <w:rFonts w:hint="default" w:ascii="Times New Roman" w:hAnsi="Times New Roman" w:eastAsia="仿宋_GB2312" w:cs="Times New Roman"/>
          <w:sz w:val="32"/>
          <w:szCs w:val="32"/>
          <w:highlight w:val="none"/>
          <w:lang w:val="en-US" w:eastAsia="zh-CN"/>
        </w:rPr>
        <w:t>”等纳入核心指标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强化过程管理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实时追踪资金流向。</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数据收集与分析环节，采用了多种科学合理的方法，如通过查阅财务凭证、核对台账、发放满意度问卷等，以确保评价结论的科学性和可靠性。此外，还对数据的质量和完整性进行了严格把控，对于缺失或异常的数据进行了合理的处理和说明，保证了评价数据的真实性和有效性。</w:t>
      </w:r>
    </w:p>
    <w:p>
      <w:pPr>
        <w:numPr>
          <w:ilvl w:val="0"/>
          <w:numId w:val="1"/>
        </w:num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义务教育段</w:t>
      </w:r>
      <w:r>
        <w:rPr>
          <w:rFonts w:hint="default" w:ascii="Times New Roman" w:hAnsi="Times New Roman" w:eastAsia="仿宋_GB2312" w:cs="Times New Roman"/>
          <w:sz w:val="32"/>
          <w:szCs w:val="32"/>
          <w:highlight w:val="none"/>
          <w:lang w:val="en-US" w:eastAsia="zh-CN"/>
        </w:rPr>
        <w:t>公用经费项目绩效评价的核心目的可归纳为以下</w:t>
      </w:r>
      <w:r>
        <w:rPr>
          <w:rFonts w:hint="eastAsia" w:ascii="Times New Roman" w:hAnsi="Times New Roman" w:eastAsia="仿宋_GB2312" w:cs="Times New Roman"/>
          <w:sz w:val="32"/>
          <w:szCs w:val="32"/>
          <w:highlight w:val="none"/>
          <w:lang w:val="en-US" w:eastAsia="zh-CN"/>
        </w:rPr>
        <w:t>几</w:t>
      </w:r>
      <w:r>
        <w:rPr>
          <w:rFonts w:hint="default" w:ascii="Times New Roman" w:hAnsi="Times New Roman" w:eastAsia="仿宋_GB2312" w:cs="Times New Roman"/>
          <w:sz w:val="32"/>
          <w:szCs w:val="32"/>
          <w:highlight w:val="none"/>
          <w:lang w:val="en-US" w:eastAsia="zh-CN"/>
        </w:rPr>
        <w:t>个维度，旨在通过系统性评估推动教育经费管理优化与教育质量提升：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kern w:val="2"/>
          <w:sz w:val="30"/>
          <w:szCs w:val="30"/>
          <w:highlight w:val="none"/>
          <w:lang w:val="en-US" w:eastAsia="zh-CN" w:bidi="ar-SA"/>
        </w:rPr>
        <w:t>一</w:t>
      </w:r>
      <w:r>
        <w:rPr>
          <w:rFonts w:hint="default" w:ascii="Times New Roman" w:hAnsi="Times New Roman" w:eastAsia="仿宋_GB2312" w:cs="Times New Roman"/>
          <w:sz w:val="32"/>
          <w:szCs w:val="32"/>
          <w:highlight w:val="none"/>
          <w:lang w:val="en-US" w:eastAsia="zh-CN"/>
        </w:rPr>
        <w:t>、强化资金使用效益，避免资源浪费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确保合规使用</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杜绝挤占、挪用或滞留资金，例如禁止将公用经费用于人员工资</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偿还债务</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，确保专款专用。规范采购流程，避免大额支出未履行政府采购程序（如设备购置、维修工程），减少合规风险。通过成本效益分析，识别低效支出（如超预算“三公经费”），为下一年度预算调整提供依据。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二、规范学校管理流程，提升治理能力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健全内部控制制度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推动学校建立经费使用审批、实物管理、财务公开等制度，例如明确物品验收、领用流程，避免账外资金。强化责任落实，将绩效目标分解至具体部门，如教学部门负责设备使用效率，总务部门管控维修成本。减少违规操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私设账外资金（如食堂收支未入账）等问题，保障学生权益。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b w:val="0"/>
          <w:bCs w:val="0"/>
          <w:kern w:val="2"/>
          <w:sz w:val="30"/>
          <w:szCs w:val="30"/>
          <w:highlight w:val="none"/>
          <w:lang w:val="en-US" w:eastAsia="zh-CN" w:bidi="ar-SA"/>
        </w:rPr>
        <w:t>三</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提升教育质量，服务学生全面发展改善办学条件</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保障校舍维修、饮用水安全、校方责任险等基础需求，为学生提供安全学习环境。支持特色活动（如六一游园、科技竞赛），促进德智体美劳全面发展。支持教师专业发展确保教师培训经费充足，提升教学能力（如校本教研、外出学习），间接提高教学质量。公开绩效评价结果（如群众满意度、社会效益），增强政策透明度，</w:t>
      </w:r>
      <w:r>
        <w:rPr>
          <w:rFonts w:hint="eastAsia" w:ascii="Times New Roman" w:hAnsi="Times New Roman" w:eastAsia="仿宋_GB2312" w:cs="Times New Roman"/>
          <w:sz w:val="32"/>
          <w:szCs w:val="32"/>
          <w:highlight w:val="none"/>
          <w:lang w:val="en-US" w:eastAsia="zh-CN"/>
        </w:rPr>
        <w:t>增强</w:t>
      </w:r>
      <w:r>
        <w:rPr>
          <w:rFonts w:hint="default" w:ascii="Times New Roman" w:hAnsi="Times New Roman" w:eastAsia="仿宋_GB2312" w:cs="Times New Roman"/>
          <w:sz w:val="32"/>
          <w:szCs w:val="32"/>
          <w:highlight w:val="none"/>
          <w:lang w:val="en-US" w:eastAsia="zh-CN"/>
        </w:rPr>
        <w:t>学校规范管理。</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lang w:val="en-US" w:eastAsia="zh-CN"/>
        </w:rPr>
        <w:t>3</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highlight w:val="none"/>
        </w:rPr>
        <w:t>绩效评价的对象</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本项目预算绩效评价报告的评价对象是昌州财教[2023]90号关于提前下达2024年城乡义务教育补助经费预算[中央直达资金]的通知-公用经费及其预算执行情况。该项目由</w:t>
      </w:r>
      <w:r>
        <w:rPr>
          <w:rFonts w:hint="eastAsia" w:ascii="仿宋_GB2312" w:hAnsi="仿宋_GB2312" w:eastAsia="仿宋_GB2312" w:cs="仿宋_GB2312"/>
          <w:b w:val="0"/>
          <w:bCs w:val="0"/>
          <w:highlight w:val="none"/>
          <w:lang w:val="en-US" w:eastAsia="zh-CN"/>
        </w:rPr>
        <w:t>奇台县西地镇中心学校</w:t>
      </w:r>
      <w:r>
        <w:rPr>
          <w:rFonts w:hint="eastAsia" w:ascii="仿宋_GB2312" w:hAnsi="仿宋_GB2312" w:eastAsia="仿宋_GB2312" w:cs="仿宋_GB2312"/>
          <w:b w:val="0"/>
          <w:bCs w:val="0"/>
          <w:highlight w:val="none"/>
        </w:rPr>
        <w:t>负责实施，旨在改善义务教育基本办学条件，提升办学能力，有效提高学生的学习环境100%，学校和教师满意率90%。项目预算涵盖从[</w:t>
      </w:r>
      <w:r>
        <w:rPr>
          <w:rFonts w:hint="eastAsia" w:ascii="仿宋_GB2312" w:hAnsi="仿宋_GB2312" w:eastAsia="仿宋_GB2312" w:cs="仿宋_GB2312"/>
          <w:b w:val="0"/>
          <w:bCs w:val="0"/>
          <w:highlight w:val="none"/>
          <w:lang w:val="en-US" w:eastAsia="zh-CN"/>
        </w:rPr>
        <w:t>2024年1月1日</w:t>
      </w:r>
      <w:r>
        <w:rPr>
          <w:rFonts w:hint="eastAsia" w:ascii="仿宋_GB2312" w:hAnsi="仿宋_GB2312" w:eastAsia="仿宋_GB2312" w:cs="仿宋_GB2312"/>
          <w:b w:val="0"/>
          <w:bCs w:val="0"/>
          <w:highlight w:val="none"/>
        </w:rPr>
        <w:t>至</w:t>
      </w:r>
      <w:r>
        <w:rPr>
          <w:rFonts w:hint="eastAsia" w:ascii="仿宋_GB2312" w:hAnsi="仿宋_GB2312" w:eastAsia="仿宋_GB2312" w:cs="仿宋_GB2312"/>
          <w:b w:val="0"/>
          <w:bCs w:val="0"/>
          <w:highlight w:val="none"/>
          <w:lang w:val="en-US" w:eastAsia="zh-CN"/>
        </w:rPr>
        <w:t>2024年12月31日</w:t>
      </w:r>
      <w:r>
        <w:rPr>
          <w:rFonts w:hint="eastAsia" w:ascii="仿宋_GB2312" w:hAnsi="仿宋_GB2312" w:eastAsia="仿宋_GB2312" w:cs="仿宋_GB2312"/>
          <w:b w:val="0"/>
          <w:bCs w:val="0"/>
          <w:highlight w:val="none"/>
        </w:rPr>
        <w:t>的全部资金投入与支出，涉及资金总额为</w:t>
      </w:r>
      <w:r>
        <w:rPr>
          <w:rStyle w:val="16"/>
          <w:rFonts w:hint="eastAsia" w:ascii="仿宋_GB2312" w:hAnsi="仿宋_GB2312" w:eastAsia="仿宋_GB2312" w:cs="仿宋_GB2312"/>
          <w:b w:val="0"/>
          <w:bCs/>
          <w:spacing w:val="-4"/>
          <w:sz w:val="32"/>
          <w:szCs w:val="32"/>
          <w:highlight w:val="none"/>
        </w:rPr>
        <w:t>53.1978</w:t>
      </w:r>
      <w:r>
        <w:rPr>
          <w:rFonts w:hint="eastAsia" w:ascii="仿宋_GB2312" w:hAnsi="仿宋_GB2312" w:eastAsia="仿宋_GB2312" w:cs="仿宋_GB2312"/>
          <w:b w:val="0"/>
          <w:bCs w:val="0"/>
          <w:highlight w:val="none"/>
          <w:lang w:val="en-US" w:eastAsia="zh-CN"/>
        </w:rPr>
        <w:t>万</w:t>
      </w:r>
      <w:r>
        <w:rPr>
          <w:rFonts w:hint="eastAsia" w:ascii="仿宋_GB2312" w:hAnsi="仿宋_GB2312" w:eastAsia="仿宋_GB2312" w:cs="仿宋_GB2312"/>
          <w:b w:val="0"/>
          <w:bCs w:val="0"/>
          <w:highlight w:val="none"/>
        </w:rPr>
        <w:t>元。</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rPr>
        <w:t>绩效评价的范围</w:t>
      </w:r>
    </w:p>
    <w:p>
      <w:pPr>
        <w:pStyle w:val="10"/>
        <w:widowControl w:val="0"/>
        <w:numPr>
          <w:ilvl w:val="0"/>
          <w:numId w:val="2"/>
        </w:numPr>
        <w:spacing w:before="0" w:after="0" w:line="560" w:lineRule="exact"/>
        <w:ind w:firstLine="640" w:firstLineChars="200"/>
        <w:jc w:val="both"/>
        <w:outlineLvl w:val="9"/>
        <w:rPr>
          <w:rFonts w:hint="eastAsia" w:ascii="仿宋_GB2312" w:hAnsi="仿宋_GB2312" w:eastAsia="仿宋_GB2312" w:cs="仿宋_GB2312"/>
          <w:b w:val="0"/>
          <w:bCs w:val="0"/>
          <w:highlight w:val="none"/>
          <w:lang w:eastAsia="zh-CN"/>
        </w:rPr>
      </w:pPr>
      <w:r>
        <w:rPr>
          <w:rFonts w:hint="eastAsia" w:ascii="仿宋_GB2312" w:hAnsi="仿宋_GB2312" w:eastAsia="仿宋_GB2312" w:cs="仿宋_GB2312"/>
          <w:b w:val="0"/>
          <w:bCs w:val="0"/>
          <w:highlight w:val="none"/>
        </w:rPr>
        <w:t>本项目预算绩效评价报告的评价范围广泛而全面，涵盖了项目</w:t>
      </w:r>
      <w:r>
        <w:rPr>
          <w:rFonts w:hint="eastAsia" w:ascii="仿宋_GB2312" w:hAnsi="仿宋_GB2312" w:eastAsia="仿宋_GB2312" w:cs="仿宋_GB2312"/>
          <w:b w:val="0"/>
          <w:bCs w:val="0"/>
          <w:highlight w:val="none"/>
          <w:lang w:val="en-US" w:eastAsia="zh-CN"/>
        </w:rPr>
        <w:t>的运算编制及执行，资金管理、项目实施的进度和产出效益带来的成果。</w:t>
      </w:r>
    </w:p>
    <w:p>
      <w:pPr>
        <w:spacing w:line="560" w:lineRule="exact"/>
        <w:ind w:firstLine="643" w:firstLineChars="200"/>
        <w:rPr>
          <w:rFonts w:hint="eastAsia" w:ascii="仿宋_GB2312" w:hAnsi="仿宋_GB2312" w:eastAsia="仿宋_GB2312" w:cs="仿宋_GB2312"/>
          <w:highlight w:val="none"/>
        </w:rPr>
      </w:pPr>
      <w:r>
        <w:rPr>
          <w:rFonts w:hint="eastAsia" w:ascii="仿宋_GB2312" w:hAnsi="仿宋_GB2312" w:eastAsia="仿宋_GB2312" w:cs="仿宋_GB2312"/>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rPr>
        <w:t>1</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highlight w:val="none"/>
        </w:rPr>
        <w:t>绩效评价原则</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highlight w:val="none"/>
        </w:rPr>
        <w:t>评价指标体系</w:t>
      </w:r>
    </w:p>
    <w:p>
      <w:pPr>
        <w:spacing w:line="560" w:lineRule="exact"/>
        <w:ind w:firstLine="708" w:firstLineChars="200"/>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pPr>
        <w:spacing w:line="560" w:lineRule="exact"/>
        <w:ind w:firstLine="708" w:firstLineChars="200"/>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spacing w:line="560" w:lineRule="exact"/>
        <w:ind w:firstLine="708" w:firstLineChars="200"/>
        <w:rPr>
          <w:rFonts w:hint="eastAsia" w:ascii="仿宋_GB2312" w:hAnsi="仿宋_GB2312" w:eastAsia="仿宋_GB2312" w:cs="仿宋_GB2312"/>
          <w:color w:val="FF0000"/>
          <w:spacing w:val="17"/>
          <w:sz w:val="32"/>
          <w:szCs w:val="32"/>
          <w:highlight w:val="none"/>
          <w:lang w:eastAsia="zh-CN"/>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确定各个指标相对于项目总体绩效的权重分值。在绩效评价指标体系中，项目决策权重为2</w:t>
      </w:r>
      <w:r>
        <w:rPr>
          <w:rFonts w:hint="eastAsia" w:ascii="仿宋_GB2312" w:hAnsi="仿宋_GB2312" w:eastAsia="仿宋_GB2312" w:cs="仿宋_GB2312"/>
          <w:color w:val="000000"/>
          <w:spacing w:val="17"/>
          <w:sz w:val="32"/>
          <w:szCs w:val="32"/>
          <w:highlight w:val="none"/>
          <w:lang w:val="en-US" w:eastAsia="zh-CN"/>
        </w:rPr>
        <w:t>0</w:t>
      </w:r>
      <w:r>
        <w:rPr>
          <w:rFonts w:hint="eastAsia" w:ascii="仿宋_GB2312" w:hAnsi="仿宋_GB2312" w:eastAsia="仿宋_GB2312" w:cs="仿宋_GB2312"/>
          <w:color w:val="000000"/>
          <w:spacing w:val="17"/>
          <w:sz w:val="32"/>
          <w:szCs w:val="32"/>
          <w:highlight w:val="none"/>
        </w:rPr>
        <w:t>分，项目过程权重为</w:t>
      </w:r>
      <w:r>
        <w:rPr>
          <w:rFonts w:hint="eastAsia" w:ascii="仿宋_GB2312" w:hAnsi="仿宋_GB2312" w:eastAsia="仿宋_GB2312" w:cs="仿宋_GB2312"/>
          <w:color w:val="000000"/>
          <w:spacing w:val="17"/>
          <w:sz w:val="32"/>
          <w:szCs w:val="32"/>
          <w:highlight w:val="none"/>
          <w:lang w:val="en-US" w:eastAsia="zh-CN"/>
        </w:rPr>
        <w:t>20</w:t>
      </w:r>
      <w:r>
        <w:rPr>
          <w:rFonts w:hint="eastAsia" w:ascii="仿宋_GB2312" w:hAnsi="仿宋_GB2312" w:eastAsia="仿宋_GB2312" w:cs="仿宋_GB2312"/>
          <w:color w:val="000000"/>
          <w:spacing w:val="17"/>
          <w:sz w:val="32"/>
          <w:szCs w:val="32"/>
          <w:highlight w:val="none"/>
        </w:rPr>
        <w:t>分，项目产出权重为40分，项目效益权重为20分。</w:t>
      </w:r>
    </w:p>
    <w:p>
      <w:pPr>
        <w:spacing w:line="560" w:lineRule="exact"/>
        <w:ind w:firstLine="708" w:firstLineChars="200"/>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pPr>
        <w:spacing w:line="560" w:lineRule="exact"/>
        <w:ind w:firstLine="708" w:firstLineChars="200"/>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eastAsia"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eastAsia" w:ascii="仿宋_GB2312" w:hAnsi="仿宋_GB2312" w:eastAsia="仿宋_GB2312" w:cs="仿宋_GB2312"/>
          <w:b w:val="0"/>
          <w:bCs w:val="0"/>
          <w:color w:val="000000"/>
          <w:spacing w:val="17"/>
          <w:highlight w:val="none"/>
        </w:rPr>
      </w:pPr>
      <w:r>
        <w:rPr>
          <w:rFonts w:hint="eastAsia" w:ascii="仿宋_GB2312" w:hAnsi="仿宋_GB2312" w:eastAsia="仿宋_GB2312" w:cs="仿宋_GB2312"/>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w:t>
      </w:r>
      <w:r>
        <w:rPr>
          <w:rFonts w:hint="eastAsia" w:ascii="仿宋_GB2312" w:hAnsi="仿宋_GB2312" w:eastAsia="仿宋_GB2312" w:cs="仿宋_GB2312"/>
          <w:b w:val="0"/>
          <w:bCs w:val="0"/>
          <w:highlight w:val="none"/>
          <w:lang w:val="en-US" w:eastAsia="zh-CN"/>
        </w:rPr>
        <w:t>.</w:t>
      </w:r>
      <w:r>
        <w:rPr>
          <w:rFonts w:hint="eastAsia" w:ascii="仿宋_GB2312" w:hAnsi="仿宋_GB2312" w:eastAsia="仿宋_GB2312" w:cs="仿宋_GB2312"/>
          <w:b w:val="0"/>
          <w:bCs w:val="0"/>
          <w:highlight w:val="none"/>
        </w:rPr>
        <w:t>绩效评价方法</w:t>
      </w:r>
    </w:p>
    <w:p>
      <w:pPr>
        <w:spacing w:line="560" w:lineRule="exact"/>
        <w:ind w:firstLine="708" w:firstLineChars="200"/>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本次绩效评价采用的方法比较法</w:t>
      </w:r>
      <w:r>
        <w:rPr>
          <w:rFonts w:hint="default" w:ascii="Times New Roman" w:hAnsi="Times New Roman" w:eastAsia="仿宋_GB2312" w:cs="Times New Roman"/>
          <w:sz w:val="32"/>
          <w:szCs w:val="32"/>
          <w:lang w:eastAsia="zh-CN"/>
        </w:rPr>
        <w:t>、因素分析法、公众评判法</w:t>
      </w:r>
      <w:r>
        <w:rPr>
          <w:rFonts w:hint="default" w:ascii="Times New Roman" w:hAnsi="Times New Roman" w:eastAsia="仿宋_GB2312" w:cs="Times New Roman"/>
          <w:sz w:val="32"/>
          <w:szCs w:val="32"/>
          <w:lang w:val="en-US" w:eastAsia="zh-CN"/>
        </w:rPr>
        <w:t>对项目绩效目标预期指标值与实施情况进行比较，以及采取公众问卷及抽样调查等方式进行评判的方法对昌州财教[2023]90号关于提前下达2024年城乡义务教育补助经费预算[中央直达资金]的通知-公用经费进行评价。</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highlight w:val="none"/>
        </w:rPr>
        <w:t>评价标准</w:t>
      </w:r>
    </w:p>
    <w:p>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绩效评价标准通常包括计划标准、行业标准、历史标准等，用于对绩效指标完成情况进行比较、分析、评价。本次评价主要采用了计划标准。</w:t>
      </w:r>
    </w:p>
    <w:p>
      <w:pPr>
        <w:pStyle w:val="10"/>
        <w:numPr>
          <w:ilvl w:val="0"/>
          <w:numId w:val="3"/>
        </w:numPr>
        <w:spacing w:before="0" w:after="0" w:line="560" w:lineRule="exact"/>
        <w:ind w:firstLine="711" w:firstLineChars="200"/>
        <w:jc w:val="both"/>
        <w:rPr>
          <w:rFonts w:hint="eastAsia" w:ascii="仿宋_GB2312" w:hAnsi="仿宋_GB2312" w:eastAsia="仿宋_GB2312" w:cs="仿宋_GB2312"/>
          <w:color w:val="000000"/>
          <w:spacing w:val="17"/>
          <w:highlight w:val="none"/>
        </w:rPr>
      </w:pPr>
      <w:r>
        <w:rPr>
          <w:rFonts w:hint="eastAsia" w:ascii="仿宋_GB2312" w:hAnsi="仿宋_GB2312" w:eastAsia="仿宋_GB2312" w:cs="仿宋_GB2312"/>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依据项目的性质、目标以及预期成果，构建了科学合理的绩效评价指标体系。该指标体系涵盖了</w:t>
      </w:r>
      <w:r>
        <w:rPr>
          <w:rFonts w:hint="eastAsia" w:ascii="仿宋_GB2312" w:hAnsi="仿宋_GB2312" w:eastAsia="仿宋_GB2312" w:cs="仿宋_GB2312"/>
          <w:color w:val="000000"/>
          <w:spacing w:val="17"/>
          <w:sz w:val="32"/>
          <w:szCs w:val="32"/>
          <w:highlight w:val="none"/>
        </w:rPr>
        <w:t>项目决策、项目过程、项目产出、项目效益四个维度</w:t>
      </w:r>
      <w:r>
        <w:rPr>
          <w:rFonts w:hint="eastAsia" w:ascii="仿宋_GB2312" w:hAnsi="仿宋_GB2312" w:eastAsia="仿宋_GB2312" w:cs="仿宋_GB2312"/>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w:t>
      </w:r>
      <w:r>
        <w:rPr>
          <w:rFonts w:hint="default" w:ascii="Times New Roman" w:hAnsi="Times New Roman" w:eastAsia="仿宋_GB2312" w:cs="Times New Roman"/>
          <w:sz w:val="32"/>
          <w:szCs w:val="32"/>
          <w:highlight w:val="none"/>
          <w:lang w:eastAsia="zh-CN"/>
        </w:rPr>
        <w:t>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仿宋" w:hAnsi="仿宋" w:eastAsia="仿宋" w:cs="仿宋"/>
          <w:kern w:val="0"/>
          <w:sz w:val="32"/>
          <w:szCs w:val="32"/>
          <w:highlight w:val="none"/>
        </w:rPr>
        <w:t>昌州财教[2023]90号关于提前下达2024年城乡义务教育补助经费预算[中央直达资金]的通知-公用经费</w:t>
      </w:r>
      <w:r>
        <w:rPr>
          <w:rFonts w:hint="default" w:ascii="Times New Roman" w:hAnsi="Times New Roman" w:eastAsia="仿宋_GB2312" w:cs="Times New Roman"/>
          <w:sz w:val="32"/>
          <w:szCs w:val="32"/>
          <w:highlight w:val="none"/>
        </w:rPr>
        <w:t>在项目预算控制率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维修完成及时率等方面表现出色，达到了预期的标准与要求。同时，项目也在</w:t>
      </w:r>
      <w:r>
        <w:rPr>
          <w:rFonts w:hint="default" w:ascii="Times New Roman" w:hAnsi="Times New Roman" w:eastAsia="仿宋_GB2312" w:cs="Times New Roman"/>
          <w:color w:val="auto"/>
          <w:sz w:val="32"/>
          <w:szCs w:val="32"/>
          <w:highlight w:val="none"/>
        </w:rPr>
        <w:t>维修次数</w:t>
      </w:r>
      <w:r>
        <w:rPr>
          <w:rFonts w:hint="default" w:ascii="Times New Roman" w:hAnsi="Times New Roman" w:eastAsia="仿宋_GB2312" w:cs="Times New Roman"/>
          <w:sz w:val="32"/>
          <w:szCs w:val="32"/>
          <w:highlight w:val="none"/>
        </w:rPr>
        <w:t>取得了显著的成效，如维修完成及时率、维修改造质量达标率等。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奇台县西地镇中心学校</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从项目效益的角度来看，本项目不仅实现了预期的社会效益等方面产生了积极的影响。具体而言，提高学生的学习环境等方面的提升，为项目的利益相关者带来了实实在在的利益。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仿宋" w:hAnsi="仿宋" w:eastAsia="仿宋" w:cs="仿宋"/>
          <w:kern w:val="0"/>
          <w:sz w:val="32"/>
          <w:szCs w:val="32"/>
          <w:highlight w:val="none"/>
        </w:rPr>
        <w:t>昌州财教[2023]90号关于提前下达2024年城乡义务教育补助经费预算[中央直达资金]的通知-公用经费</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99.7</w:t>
      </w:r>
      <w:r>
        <w:rPr>
          <w:rFonts w:hint="default" w:ascii="Times New Roman" w:hAnsi="Times New Roman" w:eastAsia="仿宋_GB2312" w:cs="Times New Roman"/>
          <w:b w:val="0"/>
          <w:bCs w:val="0"/>
          <w:highlight w:val="none"/>
        </w:rPr>
        <w:t>分，属于“优”。其中，项目决策类指标权重为2</w:t>
      </w:r>
      <w:r>
        <w:rPr>
          <w:rFonts w:hint="eastAsia" w:ascii="Times New Roman" w:hAnsi="Times New Roman" w:eastAsia="仿宋_GB2312" w:cs="Times New Roman"/>
          <w:b w:val="0"/>
          <w:bCs w:val="0"/>
          <w:highlight w:val="none"/>
          <w:lang w:val="en-US" w:eastAsia="zh-CN"/>
        </w:rPr>
        <w:t>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39.7</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99.7</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39.7</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39.7%</w:t>
            </w:r>
          </w:p>
        </w:tc>
      </w:tr>
      <w:tr>
        <w:tblPrEx>
          <w:tblLayout w:type="fixed"/>
          <w:tblCellMar>
            <w:top w:w="0" w:type="dxa"/>
            <w:left w:w="108" w:type="dxa"/>
            <w:bottom w:w="0" w:type="dxa"/>
            <w:right w:w="108" w:type="dxa"/>
          </w:tblCellMar>
        </w:tblPrEx>
        <w:trPr>
          <w:trHeight w:val="9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99.7</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99.7%</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Style w:val="16"/>
          <w:rFonts w:hint="default" w:ascii="Times New Roman" w:hAnsi="Times New Roman" w:eastAsia="黑体" w:cs="Times New Roman"/>
          <w:b w:val="0"/>
          <w:bCs/>
          <w:spacing w:val="-4"/>
          <w:sz w:val="32"/>
          <w:szCs w:val="32"/>
          <w:highlight w:val="none"/>
        </w:rPr>
        <w:t>53.1978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Style w:val="16"/>
          <w:rFonts w:hint="default" w:ascii="Times New Roman" w:hAnsi="Times New Roman" w:eastAsia="黑体" w:cs="Times New Roman"/>
          <w:b w:val="0"/>
          <w:bCs/>
          <w:spacing w:val="-4"/>
          <w:sz w:val="32"/>
          <w:szCs w:val="32"/>
          <w:highlight w:val="none"/>
        </w:rPr>
        <w:t>53.1978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本项目的资金使用严格遵循了《中华人民共和国义务教育法》，《中华人民共和国预算法》与《中华人民共和国会计法》《</w:t>
      </w:r>
      <w:r>
        <w:rPr>
          <w:rFonts w:hint="eastAsia" w:eastAsia="仿宋_GB2312" w:cs="Times New Roman"/>
          <w:sz w:val="32"/>
          <w:szCs w:val="32"/>
          <w:highlight w:val="none"/>
          <w:lang w:val="en-US" w:eastAsia="zh-CN"/>
        </w:rPr>
        <w:t>奇台县教育局</w:t>
      </w:r>
      <w:r>
        <w:rPr>
          <w:rFonts w:hint="default" w:ascii="Times New Roman" w:hAnsi="Times New Roman" w:eastAsia="仿宋_GB2312" w:cs="Times New Roman"/>
          <w:sz w:val="32"/>
          <w:szCs w:val="32"/>
          <w:highlight w:val="none"/>
          <w:lang w:eastAsia="zh-CN"/>
        </w:rPr>
        <w:t>中小学校财务制度</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w:t>
      </w:r>
      <w:r>
        <w:rPr>
          <w:rFonts w:hint="eastAsia" w:eastAsia="仿宋_GB2312" w:cs="Times New Roman"/>
          <w:sz w:val="32"/>
          <w:szCs w:val="32"/>
          <w:highlight w:val="none"/>
          <w:lang w:val="en-US" w:eastAsia="zh-CN"/>
        </w:rPr>
        <w:t>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指标1：公用经费享受学生人数，指标值：=350人，实际完成值</w:t>
      </w:r>
      <w:r>
        <w:rPr>
          <w:rFonts w:hint="eastAsia" w:eastAsia="仿宋_GB2312" w:cs="Times New Roman"/>
          <w:sz w:val="32"/>
          <w:szCs w:val="32"/>
          <w:highlight w:val="none"/>
          <w:lang w:val="en-US" w:eastAsia="zh-CN"/>
        </w:rPr>
        <w:t>=339人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96.85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，偏差原因：当时设置目标值350人，</w:t>
      </w:r>
      <w:r>
        <w:rPr>
          <w:rFonts w:hint="eastAsia" w:eastAsia="仿宋_GB2312" w:cs="Times New Roman"/>
          <w:sz w:val="32"/>
          <w:szCs w:val="32"/>
          <w:highlight w:val="none"/>
          <w:lang w:val="en-US" w:eastAsia="zh-CN"/>
        </w:rPr>
        <w:t>设置目标值偏高，</w:t>
      </w:r>
      <w:r>
        <w:rPr>
          <w:rFonts w:hint="default" w:ascii="Times New Roman" w:hAnsi="Times New Roman" w:eastAsia="仿宋_GB2312" w:cs="Times New Roman"/>
          <w:sz w:val="32"/>
          <w:szCs w:val="32"/>
          <w:highlight w:val="none"/>
          <w:lang w:eastAsia="zh-CN"/>
        </w:rPr>
        <w:t>实际学生人数339人</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以后按客观要求填写。</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维修次数</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指标值：&gt;=20次，实际完成值</w:t>
      </w:r>
      <w:r>
        <w:rPr>
          <w:rFonts w:hint="eastAsia" w:eastAsia="仿宋_GB2312" w:cs="Times New Roman"/>
          <w:sz w:val="32"/>
          <w:szCs w:val="32"/>
          <w:highlight w:val="none"/>
          <w:lang w:val="en-US" w:eastAsia="zh-CN"/>
        </w:rPr>
        <w:t>=20次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质量指标：维修改造质量达标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指标值：=95%，实际完成值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时效指标：维修完成及时率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指标值：=95%，实际完成值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成本指标：项目预算控制率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指标值：有效提高，实际完成值</w:t>
      </w:r>
      <w:r>
        <w:rPr>
          <w:rFonts w:hint="eastAsia" w:eastAsia="仿宋_GB2312" w:cs="Times New Roman"/>
          <w:sz w:val="32"/>
          <w:szCs w:val="32"/>
          <w:highlight w:val="none"/>
          <w:lang w:val="en-US" w:eastAsia="zh-CN"/>
        </w:rPr>
        <w:t>有效提高</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社会效益指标：提高学生的学习环境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学校和教师满意率（%）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指标值：&gt;=90%，实际完成值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spacing w:line="560" w:lineRule="exact"/>
        <w:ind w:firstLine="640"/>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rPr>
        <w:t>昌州财教[2023]90号关于提前下达2024年城乡义务教育补助经费预算[中央直达资金]的通知-公用经费</w:t>
      </w:r>
      <w:r>
        <w:rPr>
          <w:rFonts w:hint="default" w:ascii="仿宋" w:hAnsi="仿宋" w:eastAsia="仿宋" w:cs="仿宋"/>
          <w:kern w:val="0"/>
          <w:sz w:val="32"/>
          <w:szCs w:val="32"/>
          <w:highlight w:val="none"/>
        </w:rPr>
        <w:t>项目年初预算</w:t>
      </w:r>
      <w:r>
        <w:rPr>
          <w:rFonts w:hint="eastAsia" w:ascii="仿宋" w:hAnsi="仿宋" w:eastAsia="仿宋" w:cs="仿宋"/>
          <w:kern w:val="0"/>
          <w:sz w:val="32"/>
          <w:szCs w:val="32"/>
          <w:highlight w:val="none"/>
          <w:lang w:val="en-US" w:eastAsia="zh-CN"/>
        </w:rPr>
        <w:t>53.1978</w:t>
      </w:r>
      <w:r>
        <w:rPr>
          <w:rFonts w:hint="default" w:ascii="仿宋" w:hAnsi="仿宋" w:eastAsia="仿宋" w:cs="仿宋"/>
          <w:kern w:val="0"/>
          <w:sz w:val="32"/>
          <w:szCs w:val="32"/>
          <w:highlight w:val="none"/>
        </w:rPr>
        <w:t>万元，全年预算</w:t>
      </w:r>
      <w:r>
        <w:rPr>
          <w:rFonts w:hint="eastAsia" w:ascii="仿宋" w:hAnsi="仿宋" w:eastAsia="仿宋" w:cs="仿宋"/>
          <w:kern w:val="0"/>
          <w:sz w:val="32"/>
          <w:szCs w:val="32"/>
          <w:highlight w:val="none"/>
          <w:lang w:val="en-US" w:eastAsia="zh-CN"/>
        </w:rPr>
        <w:t>53.1978</w:t>
      </w:r>
      <w:r>
        <w:rPr>
          <w:rFonts w:hint="default" w:ascii="仿宋" w:hAnsi="仿宋" w:eastAsia="仿宋" w:cs="仿宋"/>
          <w:kern w:val="0"/>
          <w:sz w:val="32"/>
          <w:szCs w:val="32"/>
          <w:highlight w:val="none"/>
        </w:rPr>
        <w:t>万元，实际支出</w:t>
      </w:r>
      <w:r>
        <w:rPr>
          <w:rFonts w:hint="eastAsia" w:ascii="仿宋" w:hAnsi="仿宋" w:eastAsia="仿宋" w:cs="仿宋"/>
          <w:kern w:val="0"/>
          <w:sz w:val="32"/>
          <w:szCs w:val="32"/>
          <w:highlight w:val="none"/>
          <w:lang w:val="en-US" w:eastAsia="zh-CN"/>
        </w:rPr>
        <w:t>53.1978</w:t>
      </w:r>
      <w:r>
        <w:rPr>
          <w:rFonts w:hint="default" w:ascii="仿宋" w:hAnsi="仿宋" w:eastAsia="仿宋" w:cs="仿宋"/>
          <w:kern w:val="0"/>
          <w:sz w:val="32"/>
          <w:szCs w:val="32"/>
          <w:highlight w:val="none"/>
        </w:rPr>
        <w:t>万元，预算执行率为</w:t>
      </w:r>
      <w:r>
        <w:rPr>
          <w:rFonts w:hint="eastAsia" w:ascii="仿宋" w:hAnsi="仿宋" w:eastAsia="仿宋" w:cs="仿宋"/>
          <w:kern w:val="0"/>
          <w:sz w:val="32"/>
          <w:szCs w:val="32"/>
          <w:highlight w:val="none"/>
          <w:lang w:val="en-US" w:eastAsia="zh-CN"/>
        </w:rPr>
        <w:t>100</w:t>
      </w:r>
      <w:r>
        <w:rPr>
          <w:rFonts w:hint="default" w:ascii="仿宋" w:hAnsi="仿宋" w:eastAsia="仿宋" w:cs="仿宋"/>
          <w:kern w:val="0"/>
          <w:sz w:val="32"/>
          <w:szCs w:val="32"/>
          <w:highlight w:val="none"/>
        </w:rPr>
        <w:t>%，项目绩效指标总体完成率为</w:t>
      </w:r>
      <w:r>
        <w:rPr>
          <w:rFonts w:hint="eastAsia" w:ascii="仿宋" w:hAnsi="仿宋" w:eastAsia="仿宋" w:cs="仿宋"/>
          <w:kern w:val="0"/>
          <w:sz w:val="32"/>
          <w:szCs w:val="32"/>
          <w:highlight w:val="none"/>
          <w:lang w:val="en-US" w:eastAsia="zh-CN"/>
        </w:rPr>
        <w:t>101</w:t>
      </w:r>
      <w:r>
        <w:rPr>
          <w:rFonts w:hint="default" w:ascii="仿宋" w:hAnsi="仿宋" w:eastAsia="仿宋" w:cs="仿宋"/>
          <w:kern w:val="0"/>
          <w:sz w:val="32"/>
          <w:szCs w:val="32"/>
          <w:highlight w:val="none"/>
        </w:rPr>
        <w:t>%，</w:t>
      </w:r>
      <w:r>
        <w:rPr>
          <w:rFonts w:hint="default" w:ascii="仿宋" w:hAnsi="仿宋" w:eastAsia="仿宋" w:cs="仿宋"/>
          <w:kern w:val="0"/>
          <w:sz w:val="32"/>
          <w:szCs w:val="32"/>
          <w:highlight w:val="none"/>
          <w:lang w:eastAsia="zh-Hans"/>
        </w:rPr>
        <w:t>总体</w:t>
      </w:r>
      <w:r>
        <w:rPr>
          <w:rFonts w:hint="default" w:ascii="仿宋" w:hAnsi="仿宋" w:eastAsia="仿宋" w:cs="仿宋"/>
          <w:kern w:val="0"/>
          <w:sz w:val="32"/>
          <w:szCs w:val="32"/>
          <w:highlight w:val="none"/>
        </w:rPr>
        <w:t>偏差率为</w:t>
      </w:r>
      <w:r>
        <w:rPr>
          <w:rFonts w:hint="eastAsia" w:ascii="仿宋" w:hAnsi="仿宋" w:eastAsia="仿宋" w:cs="仿宋"/>
          <w:kern w:val="0"/>
          <w:sz w:val="32"/>
          <w:szCs w:val="32"/>
          <w:highlight w:val="none"/>
          <w:lang w:val="en-US" w:eastAsia="zh-CN"/>
        </w:rPr>
        <w:t>1</w:t>
      </w:r>
      <w:r>
        <w:rPr>
          <w:rFonts w:hint="default"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我单位</w:t>
      </w:r>
      <w:r>
        <w:rPr>
          <w:rFonts w:hint="default" w:ascii="Times New Roman" w:hAnsi="Times New Roman" w:eastAsia="仿宋_GB2312" w:cs="Times New Roman"/>
          <w:color w:val="auto"/>
          <w:sz w:val="32"/>
          <w:szCs w:val="32"/>
          <w:highlight w:val="none"/>
        </w:rPr>
        <w:t>由</w:t>
      </w:r>
      <w:r>
        <w:rPr>
          <w:rFonts w:hint="eastAsia" w:ascii="Times New Roman" w:hAnsi="Times New Roman" w:eastAsia="仿宋_GB2312" w:cs="Times New Roman"/>
          <w:color w:val="auto"/>
          <w:sz w:val="32"/>
          <w:szCs w:val="32"/>
          <w:highlight w:val="none"/>
          <w:lang w:val="en-US" w:eastAsia="zh-CN"/>
        </w:rPr>
        <w:t>书记</w:t>
      </w:r>
      <w:r>
        <w:rPr>
          <w:rFonts w:hint="default" w:ascii="Times New Roman" w:hAnsi="Times New Roman" w:eastAsia="仿宋_GB2312" w:cs="Times New Roman"/>
          <w:color w:val="auto"/>
          <w:sz w:val="32"/>
          <w:szCs w:val="32"/>
          <w:highlight w:val="none"/>
        </w:rPr>
        <w:t>牵头，联合财务、教务、总务等部门负责人，组建公用经费管理领导小组，明确各部门在预算编制、执行、监督中的职责</w:t>
      </w:r>
      <w:r>
        <w:rPr>
          <w:rFonts w:hint="eastAsia" w:ascii="Times New Roman" w:hAnsi="Times New Roman" w:eastAsia="仿宋_GB2312" w:cs="Times New Roman"/>
          <w:color w:val="auto"/>
          <w:sz w:val="32"/>
          <w:szCs w:val="32"/>
          <w:highlight w:val="none"/>
          <w:lang w:eastAsia="zh-CN"/>
        </w:rPr>
        <w:t>，</w:t>
      </w:r>
      <w:r>
        <w:rPr>
          <w:rFonts w:hint="eastAsia" w:eastAsia="仿宋_GB2312" w:cs="Times New Roman"/>
          <w:sz w:val="32"/>
          <w:szCs w:val="32"/>
          <w:highlight w:val="none"/>
          <w:lang w:val="en-US" w:eastAsia="zh-CN"/>
        </w:rPr>
        <w:t>按照职责分工积极配合、履职尽责。</w:t>
      </w: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pStyle w:val="10"/>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numPr>
          <w:ilvl w:val="0"/>
          <w:numId w:val="7"/>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 2. 基层财务管理能力不足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人员专业水平低：学校财务人员人手不够，由教学老师兼任，财经知识相对薄弱，难以有效履行财务管理职责。例如，部分学校会计业务水平不精，对公用经费使用不能合理记录反映，造成科目核算不准确</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学校多</w:t>
      </w:r>
      <w:r>
        <w:rPr>
          <w:rFonts w:hint="default" w:ascii="Times New Roman" w:hAnsi="Times New Roman" w:eastAsia="仿宋_GB2312" w:cs="Times New Roman"/>
          <w:sz w:val="32"/>
          <w:szCs w:val="32"/>
          <w:highlight w:val="none"/>
          <w:lang w:val="en-US" w:eastAsia="zh-CN"/>
        </w:rPr>
        <w:t>进行有关绩效管理工作方面的培训。</w:t>
      </w:r>
      <w:r>
        <w:rPr>
          <w:rFonts w:hint="eastAsia" w:eastAsia="仿宋_GB2312" w:cs="Times New Roman"/>
          <w:sz w:val="32"/>
          <w:szCs w:val="32"/>
          <w:highlight w:val="none"/>
          <w:lang w:val="en-US" w:eastAsia="zh-CN"/>
        </w:rPr>
        <w:t>让财务人员多参加</w:t>
      </w:r>
      <w:r>
        <w:rPr>
          <w:rFonts w:hint="default" w:ascii="Times New Roman" w:hAnsi="Times New Roman" w:eastAsia="仿宋_GB2312" w:cs="Times New Roman"/>
          <w:sz w:val="32"/>
          <w:szCs w:val="32"/>
          <w:highlight w:val="none"/>
          <w:lang w:val="en-US" w:eastAsia="zh-CN"/>
        </w:rPr>
        <w:t>绩效管理工作培训，进一步夯实业务基础，提高我单位绩效</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lang w:val="en-US" w:eastAsia="zh-CN"/>
        </w:rPr>
        <w:t>水平。</w:t>
      </w:r>
    </w:p>
    <w:p>
      <w:pPr>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实施“财务+教学”双轮培训</w:t>
      </w:r>
    </w:p>
    <w:p>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财务培训：每季度开展《政府会计制度》《中小学财务制度》专题培训，重点讲解经费使用红线。教学培训：联合教研部门，指导教师编制设备采购需求说明书、培训成果转化方案。</w:t>
      </w:r>
    </w:p>
    <w:p>
      <w:pPr>
        <w:numPr>
          <w:ilvl w:val="0"/>
          <w:numId w:val="0"/>
        </w:numPr>
        <w:spacing w:line="560" w:lineRule="exact"/>
        <w:ind w:left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3.建立“以老带新”帮扶机制，结对帮扶：安排城区学校务骨干与农村学校结对，每学期至少开展2次现场指导。</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2" w:name="page8"/>
      <w:bookmarkEnd w:id="2"/>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3" w:name="_Toc30064_WPSOffice_Level1"/>
      <w:bookmarkStart w:id="4" w:name="_Toc26499_WPSOffice_Level2"/>
      <w:r>
        <w:rPr>
          <w:rFonts w:hint="default" w:ascii="仿宋_GB2312" w:hAnsi="仿宋_GB2312" w:eastAsia="仿宋_GB2312" w:cs="仿宋_GB2312"/>
          <w:b/>
          <w:bCs/>
          <w:sz w:val="28"/>
          <w:szCs w:val="40"/>
          <w:highlight w:val="none"/>
        </w:rPr>
        <w:t>昌州财教[2023]90号关于提前下达2024年城乡义务教育补助经费预算[中央直达资金]的通知-公用经费</w:t>
      </w:r>
      <w:r>
        <w:rPr>
          <w:rFonts w:hint="eastAsia" w:ascii="仿宋_GB2312" w:hAnsi="仿宋_GB2312" w:eastAsia="仿宋_GB2312" w:cs="仿宋_GB2312"/>
          <w:b/>
          <w:bCs/>
          <w:sz w:val="28"/>
          <w:szCs w:val="40"/>
          <w:highlight w:val="none"/>
        </w:rPr>
        <w:t>绩效评价指标体系及综合评分表</w:t>
      </w:r>
      <w:bookmarkEnd w:id="3"/>
      <w:bookmarkEnd w:id="4"/>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99.7</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（2024年度）</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昌州财教[2023]90号关于提前下达2024年城乡义务教育补助经费预算[中央直达资金]的通知-公用经费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奇台县教育局</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奇台县西地镇中心学校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53.2</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53.2</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53.2</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53.2</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53.2</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53.2</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8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本项目拟投入53.1978万元用于发放2024年义务教育保障机制经费，其中，学生人数350人，随班就读残疾学生9人，非寄宿生补助享受人数247人，补助标准625元，寄宿生补助享受人数60人，补助标准1250元，小学公用经费标准小学公用经费标准720元/生/年，学生家庭经济负担有效降低，家长满意度、学生满意度、教师满意度大于等于90%。</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根据昌州财教[2023]90号关于提前下达2024年城乡义务教育补助经费预算[中央直达资金]的通知-公用经费实施本项目实施投入53.1978万元用于2024年义务教育保障机制经费，其中小学公用经费标准小学公用经费标准720元/生/年，公用经费享受学生人数339人，随班就读残疾学生9人，维修次数20次，维修改造质量达标95%，维修完成及时率95%，项目预算控制数100%，改善义务教育基本办学条件，提升办学能力，有效提高学生的学习环境100%，学校和教师满意率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6"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公用经费享受学生人数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=350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在校学生数</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339</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年报数据</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=339</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96.85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9.25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当时设置目标值350人，实际学生人数339人，以后按客观要求填写。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维修次数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&gt;=20次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往年维修数据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维修合同</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维修改造质量达标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eastAsia="zh-CN"/>
              </w:rPr>
              <w:t>往年维修质量</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维修验收单</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当时设置目标值太低，现在达到100%,以后按客观事实填写。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维修完成及时率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往年依据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维修验收单</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r>
              <w:rPr>
                <w:rFonts w:hint="eastAsia" w:ascii="仿宋_GB2312" w:hAnsi="仿宋_GB2312" w:eastAsia="仿宋_GB2312" w:cs="仿宋_GB2312"/>
                <w:b/>
                <w:bCs/>
                <w:i w:val="0"/>
                <w:iCs w:val="0"/>
                <w:color w:val="000000"/>
                <w:sz w:val="18"/>
                <w:szCs w:val="18"/>
                <w:highlight w:val="none"/>
                <w:u w:val="none"/>
              </w:rPr>
              <w:t>当时设置目标值太低，现在达到100%，以后按客观事实填写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项目预算控制率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往年数据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支付凭证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提高学生的学习环境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有效提高</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kern w:val="0"/>
                <w:sz w:val="18"/>
                <w:szCs w:val="18"/>
                <w:highlight w:val="none"/>
                <w:u w:val="none"/>
                <w:lang w:val="en-US" w:eastAsia="zh-CN" w:bidi="ar"/>
              </w:rPr>
              <w:t>公用经费说明</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有效提高</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学校和教师满意率（%）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实际要求</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满意度调查表</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98.25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1B2737D4"/>
    <w:multiLevelType w:val="singleLevel"/>
    <w:tmpl w:val="1B2737D4"/>
    <w:lvl w:ilvl="0" w:tentative="0">
      <w:start w:val="1"/>
      <w:numFmt w:val="decimal"/>
      <w:lvlText w:val="%1."/>
      <w:lvlJc w:val="left"/>
      <w:pPr>
        <w:tabs>
          <w:tab w:val="left" w:pos="312"/>
        </w:tabs>
      </w:p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abstractNum w:abstractNumId="6">
    <w:nsid w:val="7E2E090C"/>
    <w:multiLevelType w:val="singleLevel"/>
    <w:tmpl w:val="7E2E090C"/>
    <w:lvl w:ilvl="0" w:tentative="0">
      <w:start w:val="2"/>
      <w:numFmt w:val="decimal"/>
      <w:lvlText w:val="%1."/>
      <w:lvlJc w:val="left"/>
      <w:pPr>
        <w:tabs>
          <w:tab w:val="left" w:pos="312"/>
        </w:tabs>
      </w:pPr>
    </w:lvl>
  </w:abstractNum>
  <w:num w:numId="1">
    <w:abstractNumId w:val="6"/>
  </w:num>
  <w:num w:numId="2">
    <w:abstractNumId w:val="0"/>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292C56"/>
    <w:rsid w:val="01610122"/>
    <w:rsid w:val="02510197"/>
    <w:rsid w:val="02B85DA3"/>
    <w:rsid w:val="02DD6E56"/>
    <w:rsid w:val="03EC461B"/>
    <w:rsid w:val="05020FEF"/>
    <w:rsid w:val="055D7FE8"/>
    <w:rsid w:val="071A5591"/>
    <w:rsid w:val="07397B77"/>
    <w:rsid w:val="09740EEF"/>
    <w:rsid w:val="09AE783E"/>
    <w:rsid w:val="0AD007F3"/>
    <w:rsid w:val="0AEF465C"/>
    <w:rsid w:val="0B690FE0"/>
    <w:rsid w:val="0BBB4334"/>
    <w:rsid w:val="0BD3068C"/>
    <w:rsid w:val="0C7D4B95"/>
    <w:rsid w:val="0CB846BF"/>
    <w:rsid w:val="0D082A6E"/>
    <w:rsid w:val="0D7375A3"/>
    <w:rsid w:val="0E3C619F"/>
    <w:rsid w:val="0F6273CA"/>
    <w:rsid w:val="0FB706B6"/>
    <w:rsid w:val="0FE60DAF"/>
    <w:rsid w:val="100F38EC"/>
    <w:rsid w:val="10673053"/>
    <w:rsid w:val="11170296"/>
    <w:rsid w:val="114F0971"/>
    <w:rsid w:val="12C66037"/>
    <w:rsid w:val="12CD1ABC"/>
    <w:rsid w:val="13471461"/>
    <w:rsid w:val="13B90F01"/>
    <w:rsid w:val="151364A3"/>
    <w:rsid w:val="155E4C4D"/>
    <w:rsid w:val="164A4CE5"/>
    <w:rsid w:val="16B708FE"/>
    <w:rsid w:val="181066D2"/>
    <w:rsid w:val="193A2EB2"/>
    <w:rsid w:val="1C671E73"/>
    <w:rsid w:val="1CC46299"/>
    <w:rsid w:val="1D1106CE"/>
    <w:rsid w:val="1D322C47"/>
    <w:rsid w:val="1FA57AA4"/>
    <w:rsid w:val="21F71F90"/>
    <w:rsid w:val="22290DFD"/>
    <w:rsid w:val="235D3F6F"/>
    <w:rsid w:val="23616034"/>
    <w:rsid w:val="23696C97"/>
    <w:rsid w:val="23AE181C"/>
    <w:rsid w:val="24480FA2"/>
    <w:rsid w:val="25227A45"/>
    <w:rsid w:val="26AC3A6A"/>
    <w:rsid w:val="28AD0264"/>
    <w:rsid w:val="2B9D7E25"/>
    <w:rsid w:val="2C7C7A3B"/>
    <w:rsid w:val="2D9C0ED5"/>
    <w:rsid w:val="2DDC4C64"/>
    <w:rsid w:val="2F364819"/>
    <w:rsid w:val="2FD63906"/>
    <w:rsid w:val="351A5A1B"/>
    <w:rsid w:val="37215DAE"/>
    <w:rsid w:val="38681EC8"/>
    <w:rsid w:val="38AE34DE"/>
    <w:rsid w:val="38CA40DD"/>
    <w:rsid w:val="38F9349E"/>
    <w:rsid w:val="395F2B56"/>
    <w:rsid w:val="3B482032"/>
    <w:rsid w:val="3BB60E74"/>
    <w:rsid w:val="3BBA0580"/>
    <w:rsid w:val="3BECE841"/>
    <w:rsid w:val="3CDE204C"/>
    <w:rsid w:val="3D363C36"/>
    <w:rsid w:val="3DC740FC"/>
    <w:rsid w:val="3E9C3F6D"/>
    <w:rsid w:val="3F4334A7"/>
    <w:rsid w:val="3FF7797D"/>
    <w:rsid w:val="41D55C80"/>
    <w:rsid w:val="42F16CBA"/>
    <w:rsid w:val="44781814"/>
    <w:rsid w:val="46690BD8"/>
    <w:rsid w:val="471B6BCD"/>
    <w:rsid w:val="488F0531"/>
    <w:rsid w:val="49775D1A"/>
    <w:rsid w:val="49D45EE9"/>
    <w:rsid w:val="49F70BF1"/>
    <w:rsid w:val="4A643D44"/>
    <w:rsid w:val="4B4340EE"/>
    <w:rsid w:val="4BD85032"/>
    <w:rsid w:val="503D507A"/>
    <w:rsid w:val="503E18C7"/>
    <w:rsid w:val="50B648A8"/>
    <w:rsid w:val="51EF2FCA"/>
    <w:rsid w:val="51FA74D0"/>
    <w:rsid w:val="52AA4A52"/>
    <w:rsid w:val="539D3AD1"/>
    <w:rsid w:val="54A01B84"/>
    <w:rsid w:val="56ED01EC"/>
    <w:rsid w:val="5717567A"/>
    <w:rsid w:val="58384F7A"/>
    <w:rsid w:val="59892BA1"/>
    <w:rsid w:val="59943D66"/>
    <w:rsid w:val="59A91F74"/>
    <w:rsid w:val="59E051FD"/>
    <w:rsid w:val="59E6355E"/>
    <w:rsid w:val="5A0F4603"/>
    <w:rsid w:val="5B6F0429"/>
    <w:rsid w:val="5B821531"/>
    <w:rsid w:val="5BFF6039"/>
    <w:rsid w:val="5D76A616"/>
    <w:rsid w:val="5D7F20B9"/>
    <w:rsid w:val="5D953091"/>
    <w:rsid w:val="5DAC7D0E"/>
    <w:rsid w:val="5DF7230F"/>
    <w:rsid w:val="5EB31628"/>
    <w:rsid w:val="5F98B5AF"/>
    <w:rsid w:val="5FFE8511"/>
    <w:rsid w:val="5FFEACE2"/>
    <w:rsid w:val="609D5BF6"/>
    <w:rsid w:val="61073070"/>
    <w:rsid w:val="61B9080E"/>
    <w:rsid w:val="61DF3FED"/>
    <w:rsid w:val="62606CE8"/>
    <w:rsid w:val="62954494"/>
    <w:rsid w:val="62CE5286"/>
    <w:rsid w:val="62E23B9A"/>
    <w:rsid w:val="642B176B"/>
    <w:rsid w:val="643EE26D"/>
    <w:rsid w:val="649A4259"/>
    <w:rsid w:val="649E4B2A"/>
    <w:rsid w:val="64B006AD"/>
    <w:rsid w:val="656019A0"/>
    <w:rsid w:val="65F242EE"/>
    <w:rsid w:val="666D7E19"/>
    <w:rsid w:val="6795295B"/>
    <w:rsid w:val="68376930"/>
    <w:rsid w:val="68C50E81"/>
    <w:rsid w:val="68F91E38"/>
    <w:rsid w:val="6A5158B4"/>
    <w:rsid w:val="6B3158B9"/>
    <w:rsid w:val="6BA02A3F"/>
    <w:rsid w:val="6BE71EE6"/>
    <w:rsid w:val="6C105349"/>
    <w:rsid w:val="6C1E5A53"/>
    <w:rsid w:val="6DB81D9F"/>
    <w:rsid w:val="6E0C1E69"/>
    <w:rsid w:val="6F5C41AC"/>
    <w:rsid w:val="6FAF6C78"/>
    <w:rsid w:val="7160775F"/>
    <w:rsid w:val="716167CC"/>
    <w:rsid w:val="718A7AD1"/>
    <w:rsid w:val="72A44BC2"/>
    <w:rsid w:val="7317C656"/>
    <w:rsid w:val="734ED73F"/>
    <w:rsid w:val="73C82B32"/>
    <w:rsid w:val="73F94DAE"/>
    <w:rsid w:val="74115E67"/>
    <w:rsid w:val="74220495"/>
    <w:rsid w:val="747D1B6F"/>
    <w:rsid w:val="749E5641"/>
    <w:rsid w:val="761B5720"/>
    <w:rsid w:val="76271066"/>
    <w:rsid w:val="76563E3D"/>
    <w:rsid w:val="76B93CD1"/>
    <w:rsid w:val="76C559B0"/>
    <w:rsid w:val="77FD8BE9"/>
    <w:rsid w:val="78000AED"/>
    <w:rsid w:val="78036054"/>
    <w:rsid w:val="78637DBC"/>
    <w:rsid w:val="79071A80"/>
    <w:rsid w:val="793C2481"/>
    <w:rsid w:val="79716A69"/>
    <w:rsid w:val="79A9BD3F"/>
    <w:rsid w:val="7AC5270E"/>
    <w:rsid w:val="7B776F12"/>
    <w:rsid w:val="7BFFFDD0"/>
    <w:rsid w:val="7C336E5F"/>
    <w:rsid w:val="7C8D4919"/>
    <w:rsid w:val="7D7A5F86"/>
    <w:rsid w:val="7E4B683A"/>
    <w:rsid w:val="7E5E656D"/>
    <w:rsid w:val="7E8F2BCB"/>
    <w:rsid w:val="7E90794F"/>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2158</Words>
  <Characters>2225</Characters>
  <Lines>58</Lines>
  <Paragraphs>16</Paragraphs>
  <TotalTime>1</TotalTime>
  <ScaleCrop>false</ScaleCrop>
  <LinksUpToDate>false</LinksUpToDate>
  <CharactersWithSpaces>2225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2025-06-17T02:14:55Z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