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10678A">
      <w:pPr>
        <w:spacing w:line="540" w:lineRule="exact"/>
        <w:jc w:val="center"/>
        <w:rPr>
          <w:rFonts w:hint="default" w:ascii="Times New Roman" w:hAnsi="Times New Roman" w:eastAsia="华文中宋" w:cs="Times New Roman"/>
          <w:b/>
          <w:kern w:val="0"/>
          <w:sz w:val="52"/>
          <w:szCs w:val="52"/>
        </w:rPr>
      </w:pPr>
    </w:p>
    <w:p w14:paraId="0C66A993">
      <w:pPr>
        <w:spacing w:line="540" w:lineRule="exact"/>
        <w:rPr>
          <w:rFonts w:hint="default" w:ascii="Times New Roman" w:hAnsi="Times New Roman" w:eastAsia="华文中宋" w:cs="Times New Roman"/>
          <w:b/>
          <w:kern w:val="0"/>
          <w:sz w:val="52"/>
          <w:szCs w:val="52"/>
        </w:rPr>
      </w:pPr>
    </w:p>
    <w:p w14:paraId="3455543D">
      <w:pPr>
        <w:spacing w:line="540" w:lineRule="exact"/>
        <w:jc w:val="center"/>
        <w:rPr>
          <w:rFonts w:hint="default" w:ascii="Times New Roman" w:hAnsi="Times New Roman" w:eastAsia="华文中宋" w:cs="Times New Roman"/>
          <w:b/>
          <w:kern w:val="0"/>
          <w:sz w:val="52"/>
          <w:szCs w:val="52"/>
        </w:rPr>
      </w:pPr>
    </w:p>
    <w:p w14:paraId="7B5E20FD">
      <w:pPr>
        <w:spacing w:line="540" w:lineRule="exact"/>
        <w:jc w:val="center"/>
        <w:rPr>
          <w:rFonts w:hint="default" w:ascii="Times New Roman" w:hAnsi="Times New Roman" w:eastAsia="华文中宋" w:cs="Times New Roman"/>
          <w:b/>
          <w:kern w:val="0"/>
          <w:sz w:val="52"/>
          <w:szCs w:val="52"/>
        </w:rPr>
      </w:pPr>
    </w:p>
    <w:p w14:paraId="06B990FB">
      <w:pPr>
        <w:spacing w:line="540" w:lineRule="exact"/>
        <w:jc w:val="center"/>
        <w:rPr>
          <w:rFonts w:hint="eastAsia" w:eastAsia="方正小标宋_GBK" w:cs="Times New Roman"/>
          <w:kern w:val="0"/>
          <w:sz w:val="48"/>
          <w:szCs w:val="48"/>
          <w:lang w:val="en-US" w:eastAsia="zh-CN"/>
        </w:rPr>
      </w:pPr>
      <w:r>
        <w:rPr>
          <w:rFonts w:hint="eastAsia" w:eastAsia="方正小标宋_GBK" w:cs="Times New Roman"/>
          <w:kern w:val="0"/>
          <w:sz w:val="48"/>
          <w:szCs w:val="48"/>
          <w:lang w:val="en-US" w:eastAsia="zh-CN"/>
        </w:rPr>
        <w:t>《</w:t>
      </w:r>
      <w:r>
        <w:rPr>
          <w:rFonts w:hint="eastAsia" w:ascii="Times New Roman" w:hAnsi="Times New Roman" w:eastAsia="方正小标宋_GBK" w:cs="Times New Roman"/>
          <w:kern w:val="0"/>
          <w:sz w:val="48"/>
          <w:szCs w:val="48"/>
          <w:lang w:val="en-US" w:eastAsia="zh-CN"/>
        </w:rPr>
        <w:t>昌州财建[2023]97号奇台江布拉克机场场外供电项目35kv输变电工程</w:t>
      </w:r>
      <w:r>
        <w:rPr>
          <w:rFonts w:hint="eastAsia" w:eastAsia="方正小标宋_GBK" w:cs="Times New Roman"/>
          <w:kern w:val="0"/>
          <w:sz w:val="48"/>
          <w:szCs w:val="48"/>
          <w:lang w:val="en-US" w:eastAsia="zh-CN"/>
        </w:rPr>
        <w:t>》项目</w:t>
      </w:r>
    </w:p>
    <w:p w14:paraId="089C9AB2">
      <w:pPr>
        <w:spacing w:line="540" w:lineRule="exact"/>
        <w:jc w:val="center"/>
        <w:rPr>
          <w:rFonts w:hint="default" w:ascii="Times New Roman" w:hAnsi="Times New Roman" w:eastAsia="方正小标宋_GBK" w:cs="Times New Roman"/>
          <w:kern w:val="0"/>
          <w:sz w:val="48"/>
          <w:szCs w:val="48"/>
        </w:rPr>
      </w:pPr>
      <w:r>
        <w:rPr>
          <w:rFonts w:hint="default" w:ascii="Times New Roman" w:hAnsi="Times New Roman" w:eastAsia="方正小标宋_GBK" w:cs="Times New Roman"/>
          <w:kern w:val="0"/>
          <w:sz w:val="48"/>
          <w:szCs w:val="48"/>
        </w:rPr>
        <w:t>支出绩效评价报告</w:t>
      </w:r>
    </w:p>
    <w:p w14:paraId="714BCE0D">
      <w:pPr>
        <w:spacing w:line="540" w:lineRule="exact"/>
        <w:jc w:val="center"/>
        <w:rPr>
          <w:rFonts w:hint="default" w:ascii="Times New Roman" w:hAnsi="Times New Roman" w:eastAsia="华文中宋" w:cs="Times New Roman"/>
          <w:b/>
          <w:kern w:val="0"/>
          <w:sz w:val="52"/>
          <w:szCs w:val="52"/>
        </w:rPr>
      </w:pPr>
    </w:p>
    <w:p w14:paraId="5851FBBD">
      <w:pPr>
        <w:spacing w:line="540" w:lineRule="exact"/>
        <w:jc w:val="center"/>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（202</w:t>
      </w:r>
      <w:r>
        <w:rPr>
          <w:rFonts w:hint="default" w:ascii="Times New Roman" w:hAnsi="Times New Roman"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年度）</w:t>
      </w:r>
    </w:p>
    <w:p w14:paraId="4E2AC2B9">
      <w:pPr>
        <w:spacing w:line="540" w:lineRule="exact"/>
        <w:jc w:val="center"/>
        <w:rPr>
          <w:rFonts w:hint="default" w:ascii="Times New Roman" w:hAnsi="Times New Roman" w:eastAsia="仿宋_GB2312" w:cs="Times New Roman"/>
          <w:kern w:val="0"/>
          <w:sz w:val="30"/>
          <w:szCs w:val="30"/>
        </w:rPr>
      </w:pPr>
    </w:p>
    <w:p w14:paraId="09F7DAE5">
      <w:pPr>
        <w:spacing w:line="540" w:lineRule="exact"/>
        <w:jc w:val="center"/>
        <w:rPr>
          <w:rFonts w:hint="default" w:ascii="Times New Roman" w:hAnsi="Times New Roman" w:eastAsia="仿宋_GB2312" w:cs="Times New Roman"/>
          <w:kern w:val="0"/>
          <w:sz w:val="30"/>
          <w:szCs w:val="30"/>
        </w:rPr>
      </w:pPr>
    </w:p>
    <w:p w14:paraId="7A000EEA">
      <w:pPr>
        <w:spacing w:line="540" w:lineRule="exact"/>
        <w:jc w:val="center"/>
        <w:rPr>
          <w:rFonts w:hint="default" w:ascii="Times New Roman" w:hAnsi="Times New Roman" w:eastAsia="仿宋_GB2312" w:cs="Times New Roman"/>
          <w:kern w:val="0"/>
          <w:sz w:val="30"/>
          <w:szCs w:val="30"/>
        </w:rPr>
      </w:pPr>
    </w:p>
    <w:p w14:paraId="1726FA57">
      <w:pPr>
        <w:pStyle w:val="10"/>
        <w:rPr>
          <w:rFonts w:hint="default" w:ascii="Times New Roman" w:hAnsi="Times New Roman" w:cs="Times New Roman"/>
        </w:rPr>
      </w:pPr>
    </w:p>
    <w:p w14:paraId="4F4D5940">
      <w:pPr>
        <w:spacing w:line="540" w:lineRule="exact"/>
        <w:jc w:val="center"/>
        <w:rPr>
          <w:rFonts w:hint="default" w:ascii="Times New Roman" w:hAnsi="Times New Roman" w:eastAsia="仿宋_GB2312" w:cs="Times New Roman"/>
          <w:kern w:val="0"/>
          <w:sz w:val="30"/>
          <w:szCs w:val="30"/>
        </w:rPr>
      </w:pPr>
    </w:p>
    <w:p w14:paraId="65B369B4">
      <w:pPr>
        <w:spacing w:line="540" w:lineRule="exact"/>
        <w:rPr>
          <w:rFonts w:hint="default" w:ascii="Times New Roman" w:hAnsi="Times New Roman" w:eastAsia="仿宋_GB2312" w:cs="Times New Roman"/>
          <w:kern w:val="0"/>
          <w:sz w:val="30"/>
          <w:szCs w:val="30"/>
        </w:rPr>
      </w:pPr>
    </w:p>
    <w:p w14:paraId="2E83787F">
      <w:pPr>
        <w:spacing w:line="700" w:lineRule="exact"/>
        <w:ind w:firstLine="1440" w:firstLineChars="400"/>
        <w:jc w:val="left"/>
        <w:rPr>
          <w:rFonts w:hint="default" w:ascii="Times New Roman" w:hAnsi="Times New Roman" w:eastAsia="仿宋_GB2312" w:cs="Times New Roman"/>
          <w:kern w:val="0"/>
          <w:sz w:val="36"/>
          <w:szCs w:val="36"/>
          <w:lang w:val="en-US" w:eastAsia="zh-CN"/>
        </w:rPr>
      </w:pPr>
      <w:r>
        <w:rPr>
          <w:rFonts w:hint="default" w:ascii="Times New Roman" w:hAnsi="Times New Roman" w:eastAsia="仿宋_GB2312" w:cs="Times New Roman"/>
          <w:kern w:val="0"/>
          <w:sz w:val="36"/>
          <w:szCs w:val="36"/>
        </w:rPr>
        <w:t>项目名称：</w:t>
      </w:r>
      <w:r>
        <w:rPr>
          <w:rFonts w:hint="eastAsia" w:eastAsia="仿宋_GB2312" w:cs="Times New Roman"/>
          <w:kern w:val="0"/>
          <w:sz w:val="36"/>
          <w:szCs w:val="36"/>
          <w:lang w:val="en-US" w:eastAsia="zh-CN"/>
        </w:rPr>
        <w:t>昌州财建[2023]97号奇台江布拉克机场场外供电项目35kv输变电工程</w:t>
      </w:r>
    </w:p>
    <w:p w14:paraId="16AADAD0">
      <w:pPr>
        <w:spacing w:line="700" w:lineRule="exact"/>
        <w:ind w:firstLine="1440" w:firstLineChars="400"/>
        <w:jc w:val="left"/>
        <w:rPr>
          <w:rFonts w:hint="default" w:ascii="Times New Roman" w:hAnsi="Times New Roman" w:eastAsia="仿宋_GB2312" w:cs="Times New Roman"/>
          <w:kern w:val="0"/>
          <w:sz w:val="36"/>
          <w:szCs w:val="36"/>
          <w:lang w:val="en-US" w:eastAsia="zh-CN"/>
        </w:rPr>
      </w:pPr>
      <w:r>
        <w:rPr>
          <w:rFonts w:hint="default" w:ascii="Times New Roman" w:hAnsi="Times New Roman" w:eastAsia="仿宋_GB2312" w:cs="Times New Roman"/>
          <w:kern w:val="0"/>
          <w:sz w:val="36"/>
          <w:szCs w:val="36"/>
        </w:rPr>
        <w:t>实施单位（公章）：</w:t>
      </w:r>
      <w:r>
        <w:rPr>
          <w:rFonts w:hint="eastAsia" w:eastAsia="仿宋_GB2312" w:cs="Times New Roman"/>
          <w:kern w:val="0"/>
          <w:sz w:val="36"/>
          <w:szCs w:val="36"/>
          <w:lang w:val="en-US" w:eastAsia="zh-CN"/>
        </w:rPr>
        <w:t>奇台县西北湾镇人民政府</w:t>
      </w:r>
    </w:p>
    <w:p w14:paraId="60EC6CE4">
      <w:pPr>
        <w:spacing w:line="700" w:lineRule="exact"/>
        <w:ind w:firstLine="1440" w:firstLineChars="400"/>
        <w:jc w:val="left"/>
        <w:rPr>
          <w:rFonts w:hint="default" w:ascii="Times New Roman" w:hAnsi="Times New Roman" w:eastAsia="仿宋_GB2312" w:cs="Times New Roman"/>
          <w:kern w:val="0"/>
          <w:sz w:val="36"/>
          <w:szCs w:val="36"/>
          <w:lang w:val="en-US" w:eastAsia="zh-CN"/>
        </w:rPr>
      </w:pPr>
      <w:r>
        <w:rPr>
          <w:rFonts w:hint="default" w:ascii="Times New Roman" w:hAnsi="Times New Roman" w:eastAsia="仿宋_GB2312" w:cs="Times New Roman"/>
          <w:kern w:val="0"/>
          <w:sz w:val="36"/>
          <w:szCs w:val="36"/>
        </w:rPr>
        <w:t>主管部门（公章）：</w:t>
      </w:r>
      <w:r>
        <w:rPr>
          <w:rFonts w:hint="eastAsia" w:eastAsia="仿宋_GB2312" w:cs="Times New Roman"/>
          <w:kern w:val="0"/>
          <w:sz w:val="36"/>
          <w:szCs w:val="36"/>
          <w:lang w:val="en-US" w:eastAsia="zh-CN"/>
        </w:rPr>
        <w:t>奇台县西北湾镇人民政府</w:t>
      </w:r>
    </w:p>
    <w:p w14:paraId="5FFBC158">
      <w:pPr>
        <w:spacing w:line="700" w:lineRule="exact"/>
        <w:ind w:firstLine="1440" w:firstLineChars="400"/>
        <w:jc w:val="left"/>
        <w:rPr>
          <w:rFonts w:hint="eastAsia" w:ascii="Times New Roman" w:hAnsi="Times New Roman" w:eastAsia="仿宋_GB2312" w:cs="Times New Roman"/>
          <w:kern w:val="0"/>
          <w:sz w:val="36"/>
          <w:szCs w:val="36"/>
          <w:lang w:eastAsia="zh-CN"/>
        </w:rPr>
      </w:pPr>
      <w:r>
        <w:rPr>
          <w:rFonts w:hint="default" w:ascii="Times New Roman" w:hAnsi="Times New Roman" w:eastAsia="仿宋_GB2312" w:cs="Times New Roman"/>
          <w:kern w:val="0"/>
          <w:sz w:val="36"/>
          <w:szCs w:val="36"/>
        </w:rPr>
        <w:t>项目负责人（签章）：</w:t>
      </w:r>
      <w:r>
        <w:rPr>
          <w:rFonts w:hint="eastAsia" w:eastAsia="仿宋_GB2312" w:cs="Times New Roman"/>
          <w:kern w:val="0"/>
          <w:sz w:val="36"/>
          <w:szCs w:val="36"/>
          <w:lang w:val="en-US" w:eastAsia="zh-CN"/>
        </w:rPr>
        <w:t>赵娟</w:t>
      </w:r>
    </w:p>
    <w:p w14:paraId="6C0A9BD3">
      <w:pPr>
        <w:spacing w:line="700" w:lineRule="exact"/>
        <w:ind w:firstLine="1440" w:firstLineChars="4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填报时间：</w:t>
      </w:r>
      <w:r>
        <w:rPr>
          <w:rFonts w:hint="eastAsia" w:eastAsia="仿宋_GB2312" w:cs="Times New Roman"/>
          <w:kern w:val="0"/>
          <w:sz w:val="36"/>
          <w:szCs w:val="36"/>
          <w:lang w:val="en-US" w:eastAsia="zh-CN"/>
        </w:rPr>
        <w:t>2025</w:t>
      </w:r>
      <w:r>
        <w:rPr>
          <w:rFonts w:hint="default" w:ascii="Times New Roman" w:hAnsi="Times New Roman" w:eastAsia="仿宋_GB2312" w:cs="Times New Roman"/>
          <w:kern w:val="0"/>
          <w:sz w:val="36"/>
          <w:szCs w:val="36"/>
        </w:rPr>
        <w:t>年</w:t>
      </w:r>
      <w:r>
        <w:rPr>
          <w:rFonts w:hint="eastAsia"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月</w:t>
      </w:r>
      <w:r>
        <w:rPr>
          <w:rFonts w:hint="eastAsia" w:eastAsia="仿宋_GB2312" w:cs="Times New Roman"/>
          <w:kern w:val="0"/>
          <w:sz w:val="36"/>
          <w:szCs w:val="36"/>
          <w:lang w:val="en-US" w:eastAsia="zh-CN"/>
        </w:rPr>
        <w:t>28</w:t>
      </w:r>
      <w:r>
        <w:rPr>
          <w:rFonts w:hint="default" w:ascii="Times New Roman" w:hAnsi="Times New Roman" w:eastAsia="仿宋_GB2312" w:cs="Times New Roman"/>
          <w:kern w:val="0"/>
          <w:sz w:val="36"/>
          <w:szCs w:val="36"/>
        </w:rPr>
        <w:t>日</w:t>
      </w:r>
    </w:p>
    <w:p w14:paraId="530F156D">
      <w:pPr>
        <w:spacing w:line="700" w:lineRule="exact"/>
        <w:ind w:firstLine="1440" w:firstLineChars="400"/>
        <w:jc w:val="left"/>
        <w:rPr>
          <w:rFonts w:hint="default" w:ascii="Times New Roman" w:hAnsi="Times New Roman" w:eastAsia="仿宋_GB2312" w:cs="Times New Roman"/>
          <w:kern w:val="0"/>
          <w:sz w:val="36"/>
          <w:szCs w:val="36"/>
        </w:rPr>
      </w:pPr>
    </w:p>
    <w:p w14:paraId="0EC7DCE9">
      <w:pPr>
        <w:spacing w:line="700" w:lineRule="exact"/>
        <w:ind w:firstLine="1440" w:firstLineChars="400"/>
        <w:jc w:val="left"/>
        <w:rPr>
          <w:rFonts w:hint="default" w:ascii="Times New Roman" w:hAnsi="Times New Roman" w:eastAsia="仿宋_GB2312" w:cs="Times New Roman"/>
          <w:kern w:val="0"/>
          <w:sz w:val="36"/>
          <w:szCs w:val="36"/>
        </w:rPr>
      </w:pPr>
    </w:p>
    <w:p w14:paraId="69FE52FF">
      <w:pPr>
        <w:spacing w:line="700" w:lineRule="exact"/>
        <w:ind w:firstLine="1280" w:firstLineChars="400"/>
        <w:jc w:val="left"/>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一、基本情况</w:t>
      </w:r>
    </w:p>
    <w:p w14:paraId="07FFA2C6">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（一）项目概况</w:t>
      </w:r>
    </w:p>
    <w:p w14:paraId="3613DA19">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项目背景</w:t>
      </w:r>
    </w:p>
    <w:p w14:paraId="7E64356F">
      <w:pPr>
        <w:spacing w:line="560" w:lineRule="exact"/>
        <w:ind w:firstLine="640" w:firstLineChars="200"/>
        <w:rPr>
          <w:rStyle w:val="16"/>
          <w:rFonts w:hint="default" w:ascii="Times New Roman" w:hAnsi="Times New Roman" w:eastAsia="黑体" w:cs="Times New Roman"/>
          <w:b w:val="0"/>
          <w:bCs/>
          <w:spacing w:val="-4"/>
          <w:sz w:val="32"/>
          <w:szCs w:val="32"/>
          <w:highlight w:val="yellow"/>
          <w:lang w:val="en-US" w:eastAsia="zh-CN"/>
        </w:rPr>
      </w:pPr>
      <w:bookmarkStart w:id="0" w:name="OLE_LINK3"/>
      <w:bookmarkStart w:id="1" w:name="OLE_LINK2"/>
      <w:r>
        <w:rPr>
          <w:rFonts w:hint="eastAsia" w:ascii="仿宋_GB2312" w:hAnsi="仿宋_GB2312" w:eastAsia="仿宋_GB2312" w:cs="仿宋_GB2312"/>
          <w:b w:val="0"/>
          <w:bCs w:val="0"/>
          <w:i w:val="0"/>
          <w:color w:val="auto"/>
          <w:spacing w:val="0"/>
          <w:w w:val="100"/>
          <w:sz w:val="32"/>
          <w:szCs w:val="32"/>
          <w:lang w:val="en-US" w:eastAsia="zh-CN"/>
        </w:rPr>
        <w:t>奇台江布拉克机场场外供电项目35千伏输变电工程</w:t>
      </w:r>
      <w:bookmarkEnd w:id="0"/>
      <w:r>
        <w:rPr>
          <w:rFonts w:hint="eastAsia" w:ascii="仿宋_GB2312" w:hAnsi="仿宋_GB2312" w:eastAsia="仿宋_GB2312" w:cs="仿宋_GB2312"/>
          <w:b w:val="0"/>
          <w:bCs w:val="0"/>
          <w:i w:val="0"/>
          <w:color w:val="auto"/>
          <w:spacing w:val="0"/>
          <w:w w:val="100"/>
          <w:sz w:val="32"/>
          <w:szCs w:val="32"/>
          <w:lang w:val="en-US" w:eastAsia="zh-CN"/>
        </w:rPr>
        <w:t>是奇台江布拉克机场配套保障工程。根据《关于拨付奇台江布拉克机场建设项目地方财政配套资金[第二批]的通知》（昌州财建[2023]97号）和《关于拨付奇台江布拉克机场场外供电项目耕地占用税的通知》（奇乡财[2024]59号）文件精神，主要建设奇台江布拉克机场场外供电项目2条35kv输变电工程，1回接入110千伏古城变，1回接入110千伏犁铧变，在机场南侧新建35千伏变电站1座，配套变电站至机场用电等负荷点10千伏供电线路2.8KM及场内道路、事故油池等设施建设,为奇台江布拉克机场提供供电保障。</w:t>
      </w:r>
      <w:bookmarkEnd w:id="1"/>
    </w:p>
    <w:p w14:paraId="7742B64B">
      <w:pPr>
        <w:pStyle w:val="10"/>
        <w:numPr>
          <w:ilvl w:val="0"/>
          <w:numId w:val="0"/>
        </w:numPr>
        <w:spacing w:before="0" w:after="0" w:line="560" w:lineRule="exact"/>
        <w:ind w:firstLine="643" w:firstLineChars="200"/>
        <w:jc w:val="both"/>
        <w:rPr>
          <w:rFonts w:hint="default" w:ascii="Times New Roman" w:hAnsi="Times New Roman" w:eastAsia="仿宋_GB2312" w:cs="Times New Roman"/>
          <w:kern w:val="2"/>
        </w:rPr>
      </w:pPr>
      <w:r>
        <w:rPr>
          <w:rFonts w:hint="default" w:ascii="Times New Roman" w:hAnsi="Times New Roman" w:eastAsia="仿宋_GB2312" w:cs="Times New Roman"/>
          <w:kern w:val="2"/>
          <w:lang w:val="en-US" w:eastAsia="zh-CN"/>
        </w:rPr>
        <w:t>2.</w:t>
      </w:r>
      <w:r>
        <w:rPr>
          <w:rFonts w:hint="default" w:ascii="Times New Roman" w:hAnsi="Times New Roman" w:eastAsia="仿宋_GB2312" w:cs="Times New Roman"/>
          <w:kern w:val="2"/>
        </w:rPr>
        <w:t>项目主要内容：</w:t>
      </w:r>
    </w:p>
    <w:p w14:paraId="739D6635">
      <w:pPr>
        <w:spacing w:line="560" w:lineRule="exact"/>
        <w:ind w:firstLine="600" w:firstLineChars="200"/>
        <w:rPr>
          <w:rFonts w:hint="default" w:ascii="仿宋_GB2312" w:hAnsi="仿宋_GB2312" w:eastAsia="仿宋_GB2312" w:cs="仿宋_GB2312"/>
          <w:b w:val="0"/>
          <w:bCs w:val="0"/>
          <w:i w:val="0"/>
          <w:color w:val="auto"/>
          <w:spacing w:val="0"/>
          <w:w w:val="100"/>
          <w:sz w:val="32"/>
          <w:szCs w:val="32"/>
          <w:highlight w:val="yellow"/>
          <w:lang w:val="en-US" w:eastAsia="zh-CN"/>
        </w:rPr>
      </w:pPr>
      <w:r>
        <w:rPr>
          <w:rFonts w:hint="default" w:ascii="Times New Roman" w:hAnsi="Times New Roman" w:eastAsia="仿宋_GB2312" w:cs="Times New Roman"/>
          <w:sz w:val="30"/>
          <w:szCs w:val="30"/>
          <w:highlight w:val="none"/>
          <w:lang w:val="en-US" w:eastAsia="zh-CN"/>
        </w:rPr>
        <w:t>项目主要内容：</w:t>
      </w:r>
      <w:r>
        <w:rPr>
          <w:rFonts w:hint="default" w:ascii="仿宋_GB2312" w:hAnsi="仿宋_GB2312" w:eastAsia="仿宋_GB2312" w:cs="仿宋_GB2312"/>
          <w:b w:val="0"/>
          <w:bCs w:val="0"/>
          <w:i w:val="0"/>
          <w:color w:val="auto"/>
          <w:spacing w:val="0"/>
          <w:w w:val="100"/>
          <w:sz w:val="32"/>
          <w:szCs w:val="32"/>
          <w:lang w:val="en-US" w:eastAsia="zh-CN"/>
        </w:rPr>
        <w:t>奇台江布拉克机场场外供电项目2条35kv输变电工程，1回接入110千伏古城变，1回接入110千伏犁铧变，在机场南侧新建35千伏变电站1座，配套变电站至机场用电等负荷点10千伏供电线路2.8KM及场内道路、事故油池等设施建设。</w:t>
      </w:r>
    </w:p>
    <w:p w14:paraId="0A7F18F2">
      <w:pPr>
        <w:spacing w:line="560" w:lineRule="exact"/>
        <w:ind w:firstLine="640" w:firstLineChars="200"/>
        <w:rPr>
          <w:rFonts w:hint="default" w:ascii="Times New Roman" w:hAnsi="Times New Roman" w:cs="Times New Roman"/>
          <w:color w:val="auto"/>
          <w:highlight w:val="none"/>
        </w:rPr>
      </w:pPr>
      <w:r>
        <w:rPr>
          <w:rFonts w:hint="default" w:ascii="Times New Roman" w:hAnsi="Times New Roman" w:eastAsia="仿宋_GB2312" w:cs="Times New Roman"/>
          <w:sz w:val="32"/>
          <w:szCs w:val="32"/>
        </w:rPr>
        <w:t>项目实施</w:t>
      </w:r>
      <w:r>
        <w:rPr>
          <w:rFonts w:hint="default" w:ascii="Times New Roman" w:hAnsi="Times New Roman" w:eastAsia="仿宋_GB2312" w:cs="Times New Roman"/>
          <w:color w:val="auto"/>
          <w:sz w:val="32"/>
          <w:szCs w:val="32"/>
          <w:highlight w:val="none"/>
        </w:rPr>
        <w:t>情况：</w:t>
      </w:r>
      <w:r>
        <w:rPr>
          <w:rFonts w:hint="eastAsia" w:ascii="仿宋_GB2312" w:hAnsi="仿宋_GB2312" w:eastAsia="仿宋_GB2312" w:cs="仿宋_GB2312"/>
          <w:b w:val="0"/>
          <w:bCs w:val="0"/>
          <w:i w:val="0"/>
          <w:color w:val="auto"/>
          <w:spacing w:val="0"/>
          <w:w w:val="100"/>
          <w:sz w:val="32"/>
          <w:szCs w:val="32"/>
          <w:lang w:val="en-US" w:eastAsia="zh-CN"/>
        </w:rPr>
        <w:t>根据《关于拨付奇台江布拉克机场建设项目地方财政配套资金[第二批]的通知》（昌州财建[2023]97号）和《关于拨付奇台江布拉克机场场外供电项目耕地占用税的通知》（奇乡财[2024]59号）文件精神，目前已实施完成奇台江布拉克机场场外供电项目2条35kv输变电工程，1回接入110千伏古城变，1回接入110千伏犁铧变，在机场南侧新建35千伏变电站1座，配套变电站至机场用电等负荷点10千伏供电线路2.8KM及场内道路、事故油池等设施建设。确保工程验收合格率达100%，项目在当年及时开工，在批复阶段内及时竣工，资金支付及时率达100%，项目资金支付笔数15笔，金额919.42万元，资金支付有效保障机场供电。</w:t>
      </w:r>
    </w:p>
    <w:p w14:paraId="0F19C4B0">
      <w:pPr>
        <w:spacing w:line="560" w:lineRule="exact"/>
        <w:ind w:firstLine="643" w:firstLineChars="200"/>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b/>
          <w:bCs/>
          <w:color w:val="auto"/>
          <w:sz w:val="32"/>
          <w:szCs w:val="32"/>
          <w:highlight w:val="none"/>
        </w:rPr>
        <w:t>3</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bCs/>
          <w:color w:val="auto"/>
          <w:sz w:val="32"/>
          <w:szCs w:val="32"/>
          <w:highlight w:val="none"/>
        </w:rPr>
        <w:t>资金投入和使用情况</w:t>
      </w:r>
    </w:p>
    <w:p w14:paraId="3ECB2856">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（1）资金投入情况</w:t>
      </w:r>
    </w:p>
    <w:p w14:paraId="6865B212">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该项目年初预算数</w:t>
      </w:r>
      <w:r>
        <w:rPr>
          <w:rFonts w:hint="eastAsia" w:eastAsia="仿宋_GB2312" w:cs="Times New Roman"/>
          <w:color w:val="auto"/>
          <w:sz w:val="32"/>
          <w:szCs w:val="32"/>
          <w:highlight w:val="none"/>
          <w:lang w:val="en-US" w:eastAsia="zh-CN"/>
        </w:rPr>
        <w:t>400</w:t>
      </w:r>
      <w:r>
        <w:rPr>
          <w:rFonts w:hint="default" w:ascii="Times New Roman" w:hAnsi="Times New Roman" w:eastAsia="仿宋_GB2312" w:cs="Times New Roman"/>
          <w:color w:val="auto"/>
          <w:sz w:val="32"/>
          <w:szCs w:val="32"/>
          <w:highlight w:val="none"/>
          <w:lang w:val="en-US" w:eastAsia="zh-CN"/>
        </w:rPr>
        <w:t>万元，</w:t>
      </w:r>
      <w:r>
        <w:rPr>
          <w:rFonts w:hint="eastAsia" w:eastAsia="仿宋_GB2312" w:cs="Times New Roman"/>
          <w:color w:val="auto"/>
          <w:sz w:val="32"/>
          <w:szCs w:val="32"/>
          <w:highlight w:val="none"/>
          <w:lang w:val="en-US" w:eastAsia="zh-CN"/>
        </w:rPr>
        <w:t>年中追加资金519.42万元，</w:t>
      </w:r>
      <w:r>
        <w:rPr>
          <w:rFonts w:hint="default" w:ascii="Times New Roman" w:hAnsi="Times New Roman" w:eastAsia="仿宋_GB2312" w:cs="Times New Roman"/>
          <w:color w:val="auto"/>
          <w:sz w:val="32"/>
          <w:szCs w:val="32"/>
          <w:highlight w:val="none"/>
          <w:lang w:val="en-US" w:eastAsia="zh-CN"/>
        </w:rPr>
        <w:t>全年预算数</w:t>
      </w:r>
      <w:r>
        <w:rPr>
          <w:rFonts w:hint="eastAsia" w:eastAsia="仿宋_GB2312" w:cs="Times New Roman"/>
          <w:color w:val="auto"/>
          <w:sz w:val="32"/>
          <w:szCs w:val="32"/>
          <w:highlight w:val="none"/>
          <w:lang w:val="en-US" w:eastAsia="zh-CN"/>
        </w:rPr>
        <w:t>919.42</w:t>
      </w:r>
      <w:r>
        <w:rPr>
          <w:rFonts w:hint="default" w:ascii="Times New Roman" w:hAnsi="Times New Roman" w:eastAsia="仿宋_GB2312" w:cs="Times New Roman"/>
          <w:color w:val="auto"/>
          <w:sz w:val="32"/>
          <w:szCs w:val="32"/>
          <w:highlight w:val="none"/>
          <w:lang w:val="en-US" w:eastAsia="zh-CN"/>
        </w:rPr>
        <w:t>万元，该项目资金已全部落实到位，资金来源为</w:t>
      </w:r>
      <w:r>
        <w:rPr>
          <w:rFonts w:hint="eastAsia" w:eastAsia="仿宋_GB2312" w:cs="Times New Roman"/>
          <w:color w:val="auto"/>
          <w:sz w:val="32"/>
          <w:szCs w:val="32"/>
          <w:highlight w:val="none"/>
          <w:lang w:val="en-US" w:eastAsia="zh-CN"/>
        </w:rPr>
        <w:t>财政拨款。</w:t>
      </w:r>
    </w:p>
    <w:p w14:paraId="63726091">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（2）资金使用情况</w:t>
      </w:r>
    </w:p>
    <w:p w14:paraId="00B167ED">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该项目年初预算数</w:t>
      </w:r>
      <w:r>
        <w:rPr>
          <w:rFonts w:hint="eastAsia" w:eastAsia="仿宋_GB2312" w:cs="Times New Roman"/>
          <w:color w:val="auto"/>
          <w:sz w:val="32"/>
          <w:szCs w:val="32"/>
          <w:highlight w:val="none"/>
          <w:lang w:val="en-US" w:eastAsia="zh-CN"/>
        </w:rPr>
        <w:t>400</w:t>
      </w:r>
      <w:r>
        <w:rPr>
          <w:rFonts w:hint="default" w:ascii="Times New Roman" w:hAnsi="Times New Roman" w:eastAsia="仿宋_GB2312" w:cs="Times New Roman"/>
          <w:color w:val="auto"/>
          <w:sz w:val="32"/>
          <w:szCs w:val="32"/>
          <w:highlight w:val="none"/>
          <w:lang w:val="en-US" w:eastAsia="zh-CN"/>
        </w:rPr>
        <w:t>万元，</w:t>
      </w:r>
      <w:r>
        <w:rPr>
          <w:rFonts w:hint="eastAsia" w:eastAsia="仿宋_GB2312" w:cs="Times New Roman"/>
          <w:color w:val="auto"/>
          <w:sz w:val="32"/>
          <w:szCs w:val="32"/>
          <w:highlight w:val="none"/>
          <w:lang w:val="en-US" w:eastAsia="zh-CN"/>
        </w:rPr>
        <w:t>年中追加资金519.42万元，</w:t>
      </w:r>
      <w:r>
        <w:rPr>
          <w:rFonts w:hint="default" w:ascii="Times New Roman" w:hAnsi="Times New Roman" w:eastAsia="仿宋_GB2312" w:cs="Times New Roman"/>
          <w:color w:val="auto"/>
          <w:sz w:val="32"/>
          <w:szCs w:val="32"/>
          <w:highlight w:val="none"/>
          <w:lang w:val="en-US" w:eastAsia="zh-CN"/>
        </w:rPr>
        <w:t>全年预算数</w:t>
      </w:r>
      <w:r>
        <w:rPr>
          <w:rFonts w:hint="eastAsia" w:eastAsia="仿宋_GB2312" w:cs="Times New Roman"/>
          <w:color w:val="auto"/>
          <w:sz w:val="32"/>
          <w:szCs w:val="32"/>
          <w:highlight w:val="none"/>
          <w:lang w:val="en-US" w:eastAsia="zh-CN"/>
        </w:rPr>
        <w:t>919.42</w:t>
      </w:r>
      <w:r>
        <w:rPr>
          <w:rFonts w:hint="default" w:ascii="Times New Roman" w:hAnsi="Times New Roman" w:eastAsia="仿宋_GB2312" w:cs="Times New Roman"/>
          <w:color w:val="auto"/>
          <w:sz w:val="32"/>
          <w:szCs w:val="32"/>
          <w:highlight w:val="none"/>
          <w:lang w:val="en-US" w:eastAsia="zh-CN"/>
        </w:rPr>
        <w:t>万元</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全年执行数</w:t>
      </w:r>
      <w:r>
        <w:rPr>
          <w:rFonts w:hint="eastAsia" w:eastAsia="仿宋_GB2312" w:cs="Times New Roman"/>
          <w:color w:val="auto"/>
          <w:sz w:val="32"/>
          <w:szCs w:val="32"/>
          <w:highlight w:val="none"/>
          <w:lang w:val="en-US" w:eastAsia="zh-CN"/>
        </w:rPr>
        <w:t>919.42</w:t>
      </w:r>
      <w:r>
        <w:rPr>
          <w:rFonts w:hint="default" w:ascii="Times New Roman" w:hAnsi="Times New Roman" w:eastAsia="仿宋_GB2312" w:cs="Times New Roman"/>
          <w:color w:val="auto"/>
          <w:sz w:val="32"/>
          <w:szCs w:val="32"/>
          <w:highlight w:val="none"/>
          <w:lang w:val="en-US" w:eastAsia="zh-CN"/>
        </w:rPr>
        <w:t>万元，预算执行率为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%，主要用于：</w:t>
      </w:r>
      <w:r>
        <w:rPr>
          <w:rFonts w:hint="eastAsia" w:eastAsia="仿宋_GB2312" w:cs="Times New Roman"/>
          <w:color w:val="auto"/>
          <w:sz w:val="32"/>
          <w:szCs w:val="32"/>
          <w:highlight w:val="none"/>
          <w:lang w:val="en-US" w:eastAsia="zh-CN"/>
        </w:rPr>
        <w:t>设计、水保方案编制及监理等前期费68万元、工程建设费850万元、耕地占用税1.42万元</w:t>
      </w:r>
      <w:r>
        <w:rPr>
          <w:rFonts w:hint="default" w:ascii="Times New Roman" w:hAnsi="Times New Roman" w:eastAsia="仿宋_GB2312" w:cs="Times New Roman"/>
          <w:color w:val="auto"/>
          <w:sz w:val="32"/>
          <w:szCs w:val="32"/>
          <w:highlight w:val="none"/>
          <w:lang w:val="en-US" w:eastAsia="zh-CN"/>
        </w:rPr>
        <w:t>。</w:t>
      </w:r>
    </w:p>
    <w:p w14:paraId="2F7EED51">
      <w:pPr>
        <w:spacing w:line="560" w:lineRule="exact"/>
        <w:ind w:firstLine="643" w:firstLineChars="200"/>
        <w:rPr>
          <w:rFonts w:hint="default" w:ascii="Times New Roman" w:hAnsi="Times New Roman" w:eastAsia="楷体_GB2312" w:cs="Times New Roman"/>
          <w:b/>
          <w:bCs/>
          <w:color w:val="auto"/>
          <w:sz w:val="32"/>
          <w:szCs w:val="32"/>
          <w:highlight w:val="none"/>
        </w:rPr>
      </w:pPr>
      <w:r>
        <w:rPr>
          <w:rFonts w:hint="default" w:ascii="Times New Roman" w:hAnsi="Times New Roman" w:eastAsia="楷体_GB2312" w:cs="Times New Roman"/>
          <w:b/>
          <w:bCs/>
          <w:color w:val="auto"/>
          <w:sz w:val="32"/>
          <w:szCs w:val="32"/>
          <w:highlight w:val="none"/>
        </w:rPr>
        <w:t>（二）项目绩效目标</w:t>
      </w:r>
    </w:p>
    <w:p w14:paraId="52EC35D0">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1</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color w:val="auto"/>
          <w:sz w:val="32"/>
          <w:szCs w:val="32"/>
          <w:highlight w:val="none"/>
        </w:rPr>
        <w:t>总体目标</w:t>
      </w:r>
    </w:p>
    <w:p w14:paraId="02DC4FF7">
      <w:pPr>
        <w:spacing w:line="560" w:lineRule="exact"/>
        <w:ind w:firstLine="640" w:firstLineChars="200"/>
        <w:rPr>
          <w:rFonts w:hint="default" w:eastAsia="仿宋_GB2312" w:cs="Times New Roman"/>
          <w:color w:val="auto"/>
          <w:sz w:val="32"/>
          <w:szCs w:val="32"/>
          <w:highlight w:val="none"/>
          <w:lang w:val="en-US" w:eastAsia="zh-CN"/>
        </w:rPr>
      </w:pPr>
      <w:r>
        <w:rPr>
          <w:rFonts w:hint="default" w:eastAsia="仿宋_GB2312" w:cs="Times New Roman"/>
          <w:color w:val="auto"/>
          <w:sz w:val="32"/>
          <w:szCs w:val="32"/>
          <w:highlight w:val="none"/>
          <w:lang w:val="en-US" w:eastAsia="zh-CN"/>
        </w:rPr>
        <w:t>根据</w:t>
      </w:r>
      <w:r>
        <w:rPr>
          <w:rFonts w:hint="eastAsia" w:ascii="仿宋_GB2312" w:hAnsi="仿宋_GB2312" w:eastAsia="仿宋_GB2312" w:cs="仿宋_GB2312"/>
          <w:b w:val="0"/>
          <w:bCs w:val="0"/>
          <w:i w:val="0"/>
          <w:color w:val="auto"/>
          <w:spacing w:val="0"/>
          <w:w w:val="100"/>
          <w:sz w:val="32"/>
          <w:szCs w:val="32"/>
          <w:lang w:val="en-US" w:eastAsia="zh-CN"/>
        </w:rPr>
        <w:t>《关于拨付奇台江布拉克机场建设项目地方财政配套资金[第二批]的通知》（昌州财建[2023]97号）和《关于拨付奇台江布拉克机场场外供电项目耕地占用税的通知》（奇乡财[2024]59号）</w:t>
      </w:r>
      <w:r>
        <w:rPr>
          <w:rFonts w:hint="default" w:eastAsia="仿宋_GB2312" w:cs="Times New Roman"/>
          <w:color w:val="auto"/>
          <w:sz w:val="32"/>
          <w:szCs w:val="32"/>
          <w:highlight w:val="none"/>
          <w:lang w:val="en-US" w:eastAsia="zh-CN"/>
        </w:rPr>
        <w:t>文件精神，主要建设实施奇台江布拉克机场场外供电项目2条35kv输变电工程，1回接入110千伏古城变，1回接入110千伏犁铧变，在机场南侧新建35千伏变电站1座，配套变电站至机场用电等负荷点10千伏供电线路2.8KM及场内道路、事故油池等设施建设。确保工程验收合格率达100%，项目在当年及时开工，在批复阶段内及时竣工，资金支付及时率100%，项目资金支付笔数15笔，金额919.42万元，资金支付有效保障机场供电。</w:t>
      </w:r>
    </w:p>
    <w:p w14:paraId="1039D449">
      <w:pPr>
        <w:numPr>
          <w:ilvl w:val="0"/>
          <w:numId w:val="1"/>
        </w:num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阶段性目标</w:t>
      </w:r>
    </w:p>
    <w:p w14:paraId="0C45FF59">
      <w:pPr>
        <w:spacing w:line="560" w:lineRule="exact"/>
        <w:ind w:firstLine="640" w:firstLineChars="200"/>
        <w:rPr>
          <w:rFonts w:hint="default"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落实：根据</w:t>
      </w:r>
      <w:r>
        <w:rPr>
          <w:rFonts w:hint="eastAsia" w:ascii="仿宋_GB2312" w:hAnsi="仿宋_GB2312" w:eastAsia="仿宋_GB2312" w:cs="仿宋_GB2312"/>
          <w:b w:val="0"/>
          <w:bCs w:val="0"/>
          <w:i w:val="0"/>
          <w:color w:val="auto"/>
          <w:spacing w:val="0"/>
          <w:w w:val="100"/>
          <w:sz w:val="32"/>
          <w:szCs w:val="32"/>
          <w:lang w:val="en-US" w:eastAsia="zh-CN"/>
        </w:rPr>
        <w:t>《关于拨付奇台江布拉克机场建设项目地方财政配套资金[第二批]的通知》（昌州财建[2023]97号）和《关于拨付奇台江布拉克机场场外供电项目耕地占用税的通知》（奇乡财[2024]59号）</w:t>
      </w:r>
      <w:r>
        <w:rPr>
          <w:rFonts w:hint="default" w:eastAsia="仿宋_GB2312" w:cs="Times New Roman"/>
          <w:color w:val="auto"/>
          <w:sz w:val="32"/>
          <w:szCs w:val="32"/>
          <w:highlight w:val="none"/>
          <w:lang w:val="en-US" w:eastAsia="zh-CN"/>
        </w:rPr>
        <w:t>文件精神，主要建设实施奇台江布拉克机场场外供电项目2条35kv输变电工程，1回接入110千伏古城变，1回接入110千伏犁铧变，在机场南侧新建35千伏变电站1座，配套变电站至机场用电等负荷点10千伏供电线路2.8KM及场内道路、事故油池等设施建设。确保工程验收合格率达100%，项目在当年及时开工，在批复阶段内及时竣工，资金支付及时率100%，</w:t>
      </w:r>
      <w:r>
        <w:rPr>
          <w:rFonts w:hint="eastAsia" w:eastAsia="仿宋_GB2312" w:cs="Times New Roman"/>
          <w:color w:val="auto"/>
          <w:sz w:val="32"/>
          <w:szCs w:val="32"/>
          <w:highlight w:val="none"/>
          <w:lang w:val="en-US" w:eastAsia="zh-CN"/>
        </w:rPr>
        <w:t>有效</w:t>
      </w:r>
      <w:r>
        <w:rPr>
          <w:rFonts w:hint="default" w:eastAsia="仿宋_GB2312" w:cs="Times New Roman"/>
          <w:color w:val="auto"/>
          <w:sz w:val="32"/>
          <w:szCs w:val="32"/>
          <w:highlight w:val="none"/>
          <w:lang w:val="en-US" w:eastAsia="zh-CN"/>
        </w:rPr>
        <w:t>保障机场供电。</w:t>
      </w:r>
    </w:p>
    <w:p w14:paraId="37034CF6">
      <w:pPr>
        <w:spacing w:line="560" w:lineRule="exact"/>
        <w:ind w:firstLine="640" w:firstLineChars="200"/>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二、绩效评价工作开展情况</w:t>
      </w:r>
    </w:p>
    <w:p w14:paraId="5AD5B6C1">
      <w:pPr>
        <w:spacing w:line="560" w:lineRule="exact"/>
        <w:ind w:firstLine="643" w:firstLineChars="200"/>
        <w:rPr>
          <w:rFonts w:hint="default" w:ascii="Times New Roman" w:hAnsi="Times New Roman" w:eastAsia="楷体_GB2312" w:cs="Times New Roman"/>
          <w:b/>
          <w:bCs/>
          <w:color w:val="auto"/>
          <w:sz w:val="32"/>
          <w:szCs w:val="32"/>
          <w:highlight w:val="none"/>
        </w:rPr>
      </w:pPr>
      <w:r>
        <w:rPr>
          <w:rFonts w:hint="default" w:ascii="Times New Roman" w:hAnsi="Times New Roman" w:eastAsia="楷体_GB2312" w:cs="Times New Roman"/>
          <w:b/>
          <w:bCs/>
          <w:color w:val="auto"/>
          <w:sz w:val="32"/>
          <w:szCs w:val="32"/>
          <w:highlight w:val="none"/>
        </w:rPr>
        <w:t>（一）绩效评价目的、对象和范围</w:t>
      </w:r>
    </w:p>
    <w:p w14:paraId="5FF49EE6">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val="en-US" w:eastAsia="zh-CN"/>
        </w:rPr>
      </w:pPr>
      <w:r>
        <w:rPr>
          <w:rFonts w:hint="default" w:ascii="Times New Roman" w:hAnsi="Times New Roman" w:eastAsia="仿宋_GB2312" w:cs="Times New Roman"/>
          <w:b w:val="0"/>
          <w:bCs w:val="0"/>
          <w:color w:val="auto"/>
          <w:highlight w:val="none"/>
          <w:lang w:val="en-US" w:eastAsia="zh-CN"/>
        </w:rPr>
        <w:t>1.绩效评价完整性</w:t>
      </w:r>
    </w:p>
    <w:p w14:paraId="7EE03584">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本项目预算绩效评价报告在编制过程中，严格遵循</w:t>
      </w:r>
      <w:r>
        <w:rPr>
          <w:rFonts w:hint="eastAsia" w:ascii="仿宋_GB2312" w:hAnsi="仿宋_GB2312" w:eastAsia="仿宋_GB2312" w:cs="仿宋_GB2312"/>
          <w:b w:val="0"/>
          <w:bCs w:val="0"/>
          <w:i w:val="0"/>
          <w:color w:val="auto"/>
          <w:spacing w:val="0"/>
          <w:w w:val="100"/>
          <w:sz w:val="32"/>
          <w:szCs w:val="32"/>
          <w:lang w:val="en-US" w:eastAsia="zh-CN"/>
        </w:rPr>
        <w:t>《关于拨付奇台江布拉克机场建设项目地方财政配套资金[第二批]的通知》（昌州财建[2023]97号）和《关于拨付奇台江布拉克机场场外供电项目耕地占用税的通知》（奇乡财[2024]59号）</w:t>
      </w:r>
      <w:r>
        <w:rPr>
          <w:rFonts w:hint="default" w:eastAsia="仿宋_GB2312" w:cs="Times New Roman"/>
          <w:color w:val="auto"/>
          <w:sz w:val="32"/>
          <w:szCs w:val="32"/>
          <w:highlight w:val="none"/>
          <w:lang w:val="en-US" w:eastAsia="zh-CN"/>
        </w:rPr>
        <w:t>文件精神</w:t>
      </w:r>
      <w:r>
        <w:rPr>
          <w:rFonts w:hint="default" w:ascii="Times New Roman" w:hAnsi="Times New Roman" w:eastAsia="仿宋_GB2312" w:cs="Times New Roman"/>
          <w:color w:val="auto"/>
          <w:sz w:val="32"/>
          <w:szCs w:val="32"/>
          <w:highlight w:val="none"/>
          <w:lang w:val="en-US" w:eastAsia="zh-CN"/>
        </w:rPr>
        <w:t>，确保评价内容的全面性与准确性。报告涵盖了项目从预算编制、执行到完成的全过程，对项目的各项绩效指标进行了细致的梳理与评估。</w:t>
      </w:r>
    </w:p>
    <w:p w14:paraId="3BC145B1">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评价指标体系的构建上，充分考虑了项目的性质、目标以及预期成果，选取了具有代表性和可衡量性的关键指标，涵盖了社会效益维度，力求全方位反映项目的绩效状况。同时，对于每个指标的评价标准和数据来源均进行了明确说明，确保评价结果的客观性和可追溯性。</w:t>
      </w:r>
    </w:p>
    <w:p w14:paraId="5B355457">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在数据收集与分析环节，采用了多种科学合理的方法，如奇台江布拉克机场场外供电项目35千伏输变电工程施工合同</w:t>
      </w:r>
      <w:r>
        <w:rPr>
          <w:rFonts w:hint="eastAsia" w:eastAsia="仿宋_GB2312" w:cs="Times New Roman"/>
          <w:color w:val="auto"/>
          <w:sz w:val="32"/>
          <w:szCs w:val="32"/>
          <w:highlight w:val="none"/>
          <w:lang w:val="en-US" w:eastAsia="zh-CN"/>
        </w:rPr>
        <w:t>、客户受电工程竣工检验意见单、国库集中支付凭证机场建设、农业生产发展支出、情况说明</w:t>
      </w:r>
      <w:r>
        <w:rPr>
          <w:rFonts w:hint="default" w:ascii="Times New Roman" w:hAnsi="Times New Roman" w:eastAsia="仿宋_GB2312" w:cs="Times New Roman"/>
          <w:color w:val="auto"/>
          <w:sz w:val="32"/>
          <w:szCs w:val="32"/>
          <w:highlight w:val="none"/>
          <w:lang w:val="en-US" w:eastAsia="zh-CN"/>
        </w:rPr>
        <w:t>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57AFDF74">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在报告的</w:t>
      </w:r>
      <w:r>
        <w:rPr>
          <w:rFonts w:hint="eastAsia" w:eastAsia="仿宋_GB2312" w:cs="Times New Roman"/>
          <w:sz w:val="32"/>
          <w:szCs w:val="32"/>
          <w:highlight w:val="none"/>
          <w:lang w:val="en-US" w:eastAsia="zh-CN"/>
        </w:rPr>
        <w:t>编撰</w:t>
      </w:r>
      <w:r>
        <w:rPr>
          <w:rFonts w:hint="default" w:ascii="Times New Roman" w:hAnsi="Times New Roman" w:eastAsia="仿宋_GB2312" w:cs="Times New Roman"/>
          <w:sz w:val="32"/>
          <w:szCs w:val="32"/>
          <w:highlight w:val="none"/>
          <w:lang w:val="en-US" w:eastAsia="zh-CN"/>
        </w:rPr>
        <w:t>上，按照统一的格式和规范进行</w:t>
      </w:r>
      <w:r>
        <w:rPr>
          <w:rFonts w:hint="eastAsia" w:eastAsia="仿宋_GB2312" w:cs="Times New Roman"/>
          <w:sz w:val="32"/>
          <w:szCs w:val="32"/>
          <w:highlight w:val="none"/>
          <w:lang w:val="en-US" w:eastAsia="zh-CN"/>
        </w:rPr>
        <w:t>撰写</w:t>
      </w:r>
      <w:r>
        <w:rPr>
          <w:rFonts w:hint="default" w:ascii="Times New Roman" w:hAnsi="Times New Roman" w:eastAsia="仿宋_GB2312" w:cs="Times New Roman"/>
          <w:sz w:val="32"/>
          <w:szCs w:val="32"/>
          <w:highlight w:val="none"/>
          <w:lang w:val="en-US" w:eastAsia="zh-CN"/>
        </w:rPr>
        <w:t>，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6B42E83B">
      <w:pPr>
        <w:spacing w:line="560" w:lineRule="exact"/>
        <w:ind w:firstLine="640" w:firstLineChars="200"/>
        <w:rPr>
          <w:rFonts w:hint="default" w:ascii="Times New Roman" w:hAnsi="Times New Roman" w:eastAsia="仿宋_GB2312" w:cs="Times New Roman"/>
          <w:sz w:val="32"/>
          <w:szCs w:val="32"/>
          <w:highlight w:val="green"/>
          <w:lang w:val="en-US" w:eastAsia="zh-CN"/>
        </w:rPr>
      </w:pPr>
      <w:r>
        <w:rPr>
          <w:rFonts w:hint="default" w:ascii="Times New Roman" w:hAnsi="Times New Roman" w:eastAsia="仿宋_GB2312" w:cs="Times New Roman"/>
          <w:sz w:val="32"/>
          <w:szCs w:val="32"/>
          <w:highlight w:val="none"/>
          <w:lang w:val="en-US" w:eastAsia="zh-CN"/>
        </w:rPr>
        <w:t>本项目预算绩效评价报告在内容、方法和数据等方面均具备较高的完整性，能够真实、客观地反映项目的绩效情况，为项目管理决策提供了参考依据。在</w:t>
      </w:r>
      <w:r>
        <w:rPr>
          <w:rFonts w:hint="eastAsia" w:eastAsia="仿宋_GB2312" w:cs="Times New Roman"/>
          <w:sz w:val="32"/>
          <w:szCs w:val="32"/>
          <w:highlight w:val="none"/>
          <w:lang w:val="en-US" w:eastAsia="zh-CN"/>
        </w:rPr>
        <w:t>今后</w:t>
      </w:r>
      <w:r>
        <w:rPr>
          <w:rFonts w:hint="default" w:ascii="Times New Roman" w:hAnsi="Times New Roman" w:eastAsia="仿宋_GB2312" w:cs="Times New Roman"/>
          <w:sz w:val="32"/>
          <w:szCs w:val="32"/>
          <w:highlight w:val="none"/>
          <w:lang w:val="en-US" w:eastAsia="zh-CN"/>
        </w:rPr>
        <w:t>的工作中，我们将</w:t>
      </w:r>
      <w:r>
        <w:rPr>
          <w:rFonts w:hint="eastAsia" w:eastAsia="仿宋_GB2312" w:cs="Times New Roman"/>
          <w:sz w:val="32"/>
          <w:szCs w:val="32"/>
          <w:highlight w:val="none"/>
          <w:lang w:val="en-US" w:eastAsia="zh-CN"/>
        </w:rPr>
        <w:t>进一步</w:t>
      </w:r>
      <w:r>
        <w:rPr>
          <w:rFonts w:hint="default" w:ascii="Times New Roman" w:hAnsi="Times New Roman" w:eastAsia="仿宋_GB2312" w:cs="Times New Roman"/>
          <w:sz w:val="32"/>
          <w:szCs w:val="32"/>
          <w:highlight w:val="none"/>
          <w:lang w:val="en-US" w:eastAsia="zh-CN"/>
        </w:rPr>
        <w:t>完善绩效评价体系，不断提升评价工作的质量和水平，以更好地服务于项目的管理和优化。</w:t>
      </w:r>
    </w:p>
    <w:p w14:paraId="71671D7E">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绩效评价的目的</w:t>
      </w:r>
    </w:p>
    <w:p w14:paraId="3017ACA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（1）评估项目实施效果</w:t>
      </w:r>
    </w:p>
    <w:p w14:paraId="1E42A2F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通过对项目预算执行情况及各项绩效目标达成程度的系统性分析，全面、客观地评估项目在预定周期内的实施效果，</w:t>
      </w:r>
      <w:r>
        <w:rPr>
          <w:rFonts w:hint="eastAsia" w:eastAsia="仿宋_GB2312" w:cs="Times New Roman"/>
          <w:sz w:val="32"/>
          <w:szCs w:val="32"/>
          <w:highlight w:val="none"/>
          <w:lang w:val="en-US" w:eastAsia="zh-CN"/>
        </w:rPr>
        <w:t>项目相关的指标内容</w:t>
      </w:r>
      <w:r>
        <w:rPr>
          <w:rFonts w:hint="default" w:ascii="Times New Roman" w:hAnsi="Times New Roman" w:eastAsia="仿宋_GB2312" w:cs="Times New Roman"/>
          <w:sz w:val="32"/>
          <w:szCs w:val="32"/>
          <w:highlight w:val="none"/>
        </w:rPr>
        <w:t>，为项目后续的改进与优化提供科学依据。</w:t>
      </w:r>
    </w:p>
    <w:p w14:paraId="7BEC606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（2）提升资源利用效率</w:t>
      </w:r>
    </w:p>
    <w:p w14:paraId="3DA5FD8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67A5A5E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（3）强化项目管理责任</w:t>
      </w:r>
    </w:p>
    <w:p w14:paraId="7E7FA4B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10F5B2E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（4）为决策提供支持</w:t>
      </w:r>
    </w:p>
    <w:p w14:paraId="737AFE5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1893461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（5）促进项目持续改进</w:t>
      </w:r>
    </w:p>
    <w:p w14:paraId="219E371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2BF51A0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green"/>
        </w:rPr>
      </w:pPr>
      <w:r>
        <w:rPr>
          <w:rFonts w:hint="default" w:ascii="Times New Roman" w:hAnsi="Times New Roman" w:eastAsia="仿宋_GB2312" w:cs="Times New Roman"/>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6FCDF18A">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val="en-US" w:eastAsia="zh-CN"/>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绩效评价的对象</w:t>
      </w:r>
    </w:p>
    <w:p w14:paraId="1AFB26D8">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color w:val="auto"/>
          <w:highlight w:val="none"/>
        </w:rPr>
        <w:t>本项目预算绩效评价报告的评价对象是昌州财建[2023]97号奇台江布拉克机场场外供电项目35kv输变电工程及其预算执行情况。该项目由</w:t>
      </w:r>
      <w:r>
        <w:rPr>
          <w:rFonts w:hint="eastAsia" w:ascii="Times New Roman" w:hAnsi="Times New Roman" w:eastAsia="仿宋_GB2312" w:cs="Times New Roman"/>
          <w:b w:val="0"/>
          <w:bCs w:val="0"/>
          <w:color w:val="auto"/>
          <w:highlight w:val="none"/>
          <w:lang w:val="en-US" w:eastAsia="zh-CN"/>
        </w:rPr>
        <w:t>奇台县西北湾镇政府</w:t>
      </w:r>
      <w:r>
        <w:rPr>
          <w:rFonts w:hint="default" w:ascii="Times New Roman" w:hAnsi="Times New Roman" w:eastAsia="仿宋_GB2312" w:cs="Times New Roman"/>
          <w:b w:val="0"/>
          <w:bCs w:val="0"/>
          <w:color w:val="auto"/>
          <w:highlight w:val="none"/>
        </w:rPr>
        <w:t>负责实施，</w:t>
      </w:r>
      <w:r>
        <w:rPr>
          <w:rFonts w:hint="eastAsia" w:ascii="Times New Roman" w:hAnsi="Times New Roman" w:eastAsia="仿宋_GB2312" w:cs="Times New Roman"/>
          <w:b w:val="0"/>
          <w:bCs w:val="0"/>
          <w:color w:val="auto"/>
          <w:highlight w:val="none"/>
          <w:lang w:val="en-US" w:eastAsia="zh-CN"/>
        </w:rPr>
        <w:t>目前已建成</w:t>
      </w:r>
      <w:r>
        <w:rPr>
          <w:rFonts w:hint="default" w:ascii="Times New Roman" w:hAnsi="Times New Roman" w:eastAsia="仿宋_GB2312" w:cs="Times New Roman"/>
          <w:b w:val="0"/>
          <w:bCs w:val="0"/>
          <w:color w:val="auto"/>
          <w:highlight w:val="none"/>
        </w:rPr>
        <w:t>奇台江布拉克机场场外供电项目2条35kv输变电工程，1回接入110千伏古城变</w:t>
      </w:r>
      <w:r>
        <w:rPr>
          <w:rFonts w:hint="eastAsia" w:ascii="Times New Roman" w:hAnsi="Times New Roman" w:eastAsia="仿宋_GB2312" w:cs="Times New Roman"/>
          <w:b w:val="0"/>
          <w:bCs w:val="0"/>
          <w:color w:val="auto"/>
          <w:highlight w:val="none"/>
          <w:lang w:eastAsia="zh-CN"/>
        </w:rPr>
        <w:t>，</w:t>
      </w:r>
      <w:r>
        <w:rPr>
          <w:rFonts w:hint="eastAsia" w:ascii="Times New Roman" w:hAnsi="Times New Roman" w:eastAsia="仿宋_GB2312" w:cs="Times New Roman"/>
          <w:b w:val="0"/>
          <w:bCs w:val="0"/>
          <w:color w:val="auto"/>
          <w:highlight w:val="none"/>
          <w:lang w:val="en-US" w:eastAsia="zh-CN"/>
        </w:rPr>
        <w:t>线路总长29.993㎞</w:t>
      </w:r>
      <w:r>
        <w:rPr>
          <w:rFonts w:hint="default" w:ascii="Times New Roman" w:hAnsi="Times New Roman" w:eastAsia="仿宋_GB2312" w:cs="Times New Roman"/>
          <w:b w:val="0"/>
          <w:bCs w:val="0"/>
          <w:color w:val="auto"/>
          <w:highlight w:val="none"/>
        </w:rPr>
        <w:t>，1回接入110千伏犁铧变，</w:t>
      </w:r>
      <w:r>
        <w:rPr>
          <w:rFonts w:hint="eastAsia" w:ascii="Times New Roman" w:hAnsi="Times New Roman" w:eastAsia="仿宋_GB2312" w:cs="Times New Roman"/>
          <w:b w:val="0"/>
          <w:bCs w:val="0"/>
          <w:color w:val="auto"/>
          <w:highlight w:val="none"/>
          <w:lang w:val="en-US" w:eastAsia="zh-CN"/>
        </w:rPr>
        <w:t>线路总长21.8㎞</w:t>
      </w:r>
      <w:r>
        <w:rPr>
          <w:rFonts w:hint="default" w:ascii="Times New Roman" w:hAnsi="Times New Roman" w:eastAsia="仿宋_GB2312" w:cs="Times New Roman"/>
          <w:b w:val="0"/>
          <w:bCs w:val="0"/>
          <w:color w:val="auto"/>
          <w:highlight w:val="none"/>
        </w:rPr>
        <w:t>，在机场南侧新建35千伏变电站1座，</w:t>
      </w:r>
      <w:r>
        <w:rPr>
          <w:rFonts w:hint="eastAsia" w:ascii="Times New Roman" w:hAnsi="Times New Roman" w:eastAsia="仿宋_GB2312" w:cs="Times New Roman"/>
          <w:b w:val="0"/>
          <w:bCs w:val="0"/>
          <w:color w:val="auto"/>
          <w:highlight w:val="none"/>
          <w:lang w:val="en-US" w:eastAsia="zh-CN"/>
        </w:rPr>
        <w:t>面积361.76㎡，</w:t>
      </w:r>
      <w:r>
        <w:rPr>
          <w:rFonts w:hint="default" w:ascii="Times New Roman" w:hAnsi="Times New Roman" w:eastAsia="仿宋_GB2312" w:cs="Times New Roman"/>
          <w:b w:val="0"/>
          <w:bCs w:val="0"/>
          <w:color w:val="auto"/>
          <w:highlight w:val="none"/>
        </w:rPr>
        <w:t>配套变电站至机场用电等负荷点10千伏供电线路2.8</w:t>
      </w:r>
      <w:r>
        <w:rPr>
          <w:rFonts w:hint="eastAsia" w:ascii="Times New Roman" w:hAnsi="Times New Roman" w:eastAsia="仿宋_GB2312" w:cs="Times New Roman"/>
          <w:b w:val="0"/>
          <w:bCs w:val="0"/>
          <w:color w:val="auto"/>
          <w:highlight w:val="none"/>
          <w:lang w:val="en-US" w:eastAsia="zh-CN"/>
        </w:rPr>
        <w:t>㎞</w:t>
      </w:r>
      <w:r>
        <w:rPr>
          <w:rFonts w:hint="default" w:ascii="Times New Roman" w:hAnsi="Times New Roman" w:eastAsia="仿宋_GB2312" w:cs="Times New Roman"/>
          <w:b w:val="0"/>
          <w:bCs w:val="0"/>
          <w:color w:val="auto"/>
          <w:highlight w:val="none"/>
        </w:rPr>
        <w:t>及场内道路、事故油池等设施建设。项目预算涵盖从</w:t>
      </w:r>
      <w:r>
        <w:rPr>
          <w:rFonts w:hint="eastAsia" w:ascii="Times New Roman" w:hAnsi="Times New Roman" w:eastAsia="仿宋_GB2312" w:cs="Times New Roman"/>
          <w:b w:val="0"/>
          <w:bCs w:val="0"/>
          <w:color w:val="auto"/>
          <w:highlight w:val="none"/>
          <w:lang w:val="en-US" w:eastAsia="zh-CN"/>
        </w:rPr>
        <w:t>2024年1月1日</w:t>
      </w:r>
      <w:r>
        <w:rPr>
          <w:rFonts w:hint="default" w:ascii="Times New Roman" w:hAnsi="Times New Roman" w:eastAsia="仿宋_GB2312" w:cs="Times New Roman"/>
          <w:b w:val="0"/>
          <w:bCs w:val="0"/>
          <w:color w:val="auto"/>
          <w:highlight w:val="none"/>
        </w:rPr>
        <w:t>至</w:t>
      </w:r>
      <w:r>
        <w:rPr>
          <w:rFonts w:hint="eastAsia" w:ascii="Times New Roman" w:hAnsi="Times New Roman" w:eastAsia="仿宋_GB2312" w:cs="Times New Roman"/>
          <w:b w:val="0"/>
          <w:bCs w:val="0"/>
          <w:color w:val="auto"/>
          <w:highlight w:val="none"/>
          <w:lang w:val="en-US" w:eastAsia="zh-CN"/>
        </w:rPr>
        <w:t>2024年12月31日</w:t>
      </w:r>
      <w:r>
        <w:rPr>
          <w:rFonts w:hint="default" w:ascii="Times New Roman" w:hAnsi="Times New Roman" w:eastAsia="仿宋_GB2312" w:cs="Times New Roman"/>
          <w:b w:val="0"/>
          <w:bCs w:val="0"/>
          <w:color w:val="auto"/>
          <w:highlight w:val="none"/>
        </w:rPr>
        <w:t>的全部资金投入与支出，涉及资金总额为</w:t>
      </w:r>
      <w:r>
        <w:rPr>
          <w:rFonts w:hint="eastAsia" w:ascii="Times New Roman" w:hAnsi="Times New Roman" w:eastAsia="仿宋_GB2312" w:cs="Times New Roman"/>
          <w:b w:val="0"/>
          <w:bCs w:val="0"/>
          <w:color w:val="auto"/>
          <w:highlight w:val="none"/>
          <w:lang w:val="en-US" w:eastAsia="zh-CN"/>
        </w:rPr>
        <w:t>919.42</w:t>
      </w:r>
      <w:r>
        <w:rPr>
          <w:rFonts w:hint="default" w:ascii="Times New Roman" w:hAnsi="Times New Roman" w:eastAsia="仿宋_GB2312" w:cs="Times New Roman"/>
          <w:b w:val="0"/>
          <w:bCs w:val="0"/>
          <w:color w:val="auto"/>
          <w:highlight w:val="none"/>
          <w:lang w:val="en-US" w:eastAsia="zh-CN"/>
        </w:rPr>
        <w:t>万</w:t>
      </w:r>
      <w:r>
        <w:rPr>
          <w:rFonts w:hint="default" w:ascii="Times New Roman" w:hAnsi="Times New Roman" w:eastAsia="仿宋_GB2312" w:cs="Times New Roman"/>
          <w:b w:val="0"/>
          <w:bCs w:val="0"/>
          <w:color w:val="auto"/>
          <w:highlight w:val="none"/>
        </w:rPr>
        <w:t>元。</w:t>
      </w:r>
    </w:p>
    <w:p w14:paraId="37AA4552">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val="en-US" w:eastAsia="zh-CN"/>
        </w:rPr>
        <w:t>4.</w:t>
      </w:r>
      <w:r>
        <w:rPr>
          <w:rFonts w:hint="default" w:ascii="Times New Roman" w:hAnsi="Times New Roman" w:eastAsia="仿宋_GB2312" w:cs="Times New Roman"/>
          <w:b w:val="0"/>
          <w:bCs w:val="0"/>
        </w:rPr>
        <w:t>绩效评价的范围</w:t>
      </w:r>
    </w:p>
    <w:p w14:paraId="06E6E9DD">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本项目预算绩效评价报告的评价范围广泛而全面，涵盖了从项目立项至评价时点期间的所有关键预算活动和财务流程。具体而言，评价范围包括以下几个方面：</w:t>
      </w:r>
    </w:p>
    <w:p w14:paraId="1E699361">
      <w:pPr>
        <w:pStyle w:val="10"/>
        <w:widowControl w:val="0"/>
        <w:numPr>
          <w:ilvl w:val="0"/>
          <w:numId w:val="2"/>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项目预算编制与执行：全面审视项目预算的编制依据、合理性、科学性以及实际执行情况，包括预算调整的原因和效果。</w:t>
      </w:r>
    </w:p>
    <w:p w14:paraId="484C0AE4">
      <w:pPr>
        <w:pStyle w:val="10"/>
        <w:widowControl w:val="0"/>
        <w:numPr>
          <w:ilvl w:val="0"/>
          <w:numId w:val="2"/>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资金管理：深入分析项目资金的分配、使用和监管情况，确保资金使用的合规性、高效性和透明度。</w:t>
      </w:r>
    </w:p>
    <w:p w14:paraId="7187A525">
      <w:pPr>
        <w:pStyle w:val="10"/>
        <w:widowControl w:val="0"/>
        <w:numPr>
          <w:ilvl w:val="0"/>
          <w:numId w:val="2"/>
        </w:numP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eastAsia="zh-CN"/>
        </w:rPr>
      </w:pPr>
      <w:r>
        <w:rPr>
          <w:rFonts w:hint="default" w:ascii="Times New Roman" w:hAnsi="Times New Roman" w:eastAsia="仿宋_GB2312" w:cs="Times New Roman"/>
          <w:b w:val="0"/>
          <w:bCs w:val="0"/>
          <w:highlight w:val="none"/>
        </w:rPr>
        <w:t>项目实施进度与产出：评估项目是否按照既定计划顺利推进，各项任务是否按时完成，以及项目产出的数量、质量和时效性是否符合预期。</w:t>
      </w:r>
    </w:p>
    <w:p w14:paraId="57FFF23C">
      <w:pPr>
        <w:pStyle w:val="10"/>
        <w:widowControl w:val="0"/>
        <w:numPr>
          <w:ilvl w:val="0"/>
          <w:numId w:val="0"/>
        </w:numPr>
        <w:spacing w:before="0" w:after="0" w:line="560" w:lineRule="exact"/>
        <w:ind w:firstLine="640" w:firstLineChars="200"/>
        <w:jc w:val="both"/>
        <w:outlineLvl w:val="9"/>
        <w:rPr>
          <w:rFonts w:hint="default" w:ascii="Times New Roman" w:hAnsi="Times New Roman" w:eastAsia="仿宋_GB2312" w:cs="Times New Roman"/>
          <w:b w:val="0"/>
          <w:bCs w:val="0"/>
          <w:highlight w:val="red"/>
          <w:lang w:eastAsia="zh-CN"/>
        </w:rPr>
      </w:pPr>
      <w:r>
        <w:rPr>
          <w:rFonts w:hint="eastAsia" w:ascii="Times New Roman" w:hAnsi="Times New Roman" w:eastAsia="仿宋_GB2312" w:cs="Times New Roman"/>
          <w:b w:val="0"/>
          <w:bCs w:val="0"/>
          <w:color w:val="auto"/>
          <w:highlight w:val="none"/>
          <w:lang w:eastAsia="zh-CN"/>
        </w:rPr>
        <w:t>（</w:t>
      </w:r>
      <w:r>
        <w:rPr>
          <w:rFonts w:hint="eastAsia" w:ascii="Times New Roman" w:hAnsi="Times New Roman" w:eastAsia="仿宋_GB2312" w:cs="Times New Roman"/>
          <w:b w:val="0"/>
          <w:bCs w:val="0"/>
          <w:color w:val="auto"/>
          <w:highlight w:val="none"/>
          <w:lang w:val="en-US" w:eastAsia="zh-CN"/>
        </w:rPr>
        <w:t>4）</w:t>
      </w:r>
      <w:r>
        <w:rPr>
          <w:rFonts w:hint="default" w:ascii="Times New Roman" w:hAnsi="Times New Roman" w:eastAsia="仿宋_GB2312" w:cs="Times New Roman"/>
          <w:b w:val="0"/>
          <w:bCs w:val="0"/>
          <w:color w:val="auto"/>
          <w:highlight w:val="none"/>
        </w:rPr>
        <w:t>社会</w:t>
      </w:r>
      <w:r>
        <w:rPr>
          <w:rFonts w:hint="default" w:ascii="Times New Roman" w:hAnsi="Times New Roman" w:eastAsia="仿宋_GB2312" w:cs="Times New Roman"/>
          <w:b w:val="0"/>
          <w:bCs w:val="0"/>
          <w:color w:val="auto"/>
          <w:highlight w:val="none"/>
          <w:lang w:eastAsia="zh-CN"/>
        </w:rPr>
        <w:t>、</w:t>
      </w:r>
      <w:r>
        <w:rPr>
          <w:rFonts w:hint="eastAsia" w:ascii="Times New Roman" w:hAnsi="Times New Roman" w:eastAsia="仿宋_GB2312" w:cs="Times New Roman"/>
          <w:b w:val="0"/>
          <w:bCs w:val="0"/>
          <w:color w:val="auto"/>
          <w:highlight w:val="none"/>
          <w:lang w:val="en-US" w:eastAsia="zh-CN"/>
        </w:rPr>
        <w:t>生态</w:t>
      </w:r>
      <w:r>
        <w:rPr>
          <w:rFonts w:hint="default" w:ascii="Times New Roman" w:hAnsi="Times New Roman" w:eastAsia="仿宋_GB2312" w:cs="Times New Roman"/>
          <w:b w:val="0"/>
          <w:bCs w:val="0"/>
          <w:color w:val="auto"/>
          <w:highlight w:val="none"/>
          <w:lang w:val="en-US" w:eastAsia="zh-CN"/>
        </w:rPr>
        <w:t>等</w:t>
      </w:r>
      <w:r>
        <w:rPr>
          <w:rFonts w:hint="default" w:ascii="Times New Roman" w:hAnsi="Times New Roman" w:eastAsia="仿宋_GB2312" w:cs="Times New Roman"/>
          <w:b w:val="0"/>
          <w:bCs w:val="0"/>
          <w:color w:val="auto"/>
          <w:highlight w:val="none"/>
        </w:rPr>
        <w:t>影响：截止2024年12月31日，该项目完成奇台江布拉克机场场外供电项目2条35kv输变电工程，通过该项目实施实现奇台江布拉克机场年内通航的目标。带动周边地区经济发展和旅游资源开发。</w:t>
      </w:r>
    </w:p>
    <w:p w14:paraId="64732A8D">
      <w:pPr>
        <w:spacing w:line="560" w:lineRule="exact"/>
        <w:ind w:firstLine="643" w:firstLineChars="200"/>
        <w:rPr>
          <w:rFonts w:hint="default" w:ascii="Times New Roman" w:hAnsi="Times New Roman" w:cs="Times New Roman"/>
          <w:highlight w:val="red"/>
        </w:rPr>
      </w:pPr>
      <w:r>
        <w:rPr>
          <w:rFonts w:hint="default" w:ascii="Times New Roman" w:hAnsi="Times New Roman" w:eastAsia="楷体_GB2312" w:cs="Times New Roman"/>
          <w:b/>
          <w:bCs/>
          <w:sz w:val="32"/>
          <w:szCs w:val="32"/>
          <w:highlight w:val="none"/>
        </w:rPr>
        <w:t>（二）绩效评价原则、评价指标体系（详情见表1）、评价方法、评价标准。</w:t>
      </w:r>
    </w:p>
    <w:p w14:paraId="657A4E24">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绩效评价原则</w:t>
      </w:r>
    </w:p>
    <w:p w14:paraId="38093AED">
      <w:pPr>
        <w:spacing w:line="56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本次项目绩效评价遵循以下基本原则：</w:t>
      </w:r>
    </w:p>
    <w:p w14:paraId="1639495B">
      <w:pPr>
        <w:pStyle w:val="1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（1）科学公正。绩效评价应当运用科学合理的方法，按照规范的程序，对项目绩效进行客观、公正的反映。</w:t>
      </w:r>
    </w:p>
    <w:p w14:paraId="19414288">
      <w:pPr>
        <w:pStyle w:val="1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（2）统筹兼顾。单位自评、部门评价和财政评价应职责明确，各有侧重，相互衔接。单位自评应由项目单位自主实施，即“谁支出、谁自评”。部门评价和财政评价应在单位自评的基础上开展。</w:t>
      </w:r>
    </w:p>
    <w:p w14:paraId="53D4AF4F">
      <w:pPr>
        <w:pStyle w:val="1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（3）激励约束。绩效评价结果应与预算安排、政策调整、改进管理实质性挂钩，体现奖优罚劣和激励相容导向，有效要安排、低效要压减、无效要问责。</w:t>
      </w:r>
    </w:p>
    <w:p w14:paraId="40A2C46E">
      <w:pPr>
        <w:pStyle w:val="1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（4）公开透明。绩效评价结果应依法依规公开，并自觉接受社会监督。</w:t>
      </w:r>
    </w:p>
    <w:p w14:paraId="388C32A0">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评价指标体系</w:t>
      </w:r>
    </w:p>
    <w:p w14:paraId="026F8876">
      <w:pPr>
        <w:spacing w:line="560" w:lineRule="exact"/>
        <w:ind w:firstLine="708" w:firstLineChars="200"/>
        <w:rPr>
          <w:rFonts w:hint="default" w:ascii="Times New Roman" w:hAnsi="Times New Roman"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绩效评价框架是开展绩效评价的核心。绩效评价框架包括评价准则、关键评价问题、评价指标、数据来源、数据收集方法等。指标体系建立过程如下：</w:t>
      </w:r>
    </w:p>
    <w:p w14:paraId="61355B8D">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（1）确定评价指标</w:t>
      </w:r>
    </w:p>
    <w:p w14:paraId="4020E761">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581EAAD5">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（2）确定权重</w:t>
      </w:r>
    </w:p>
    <w:p w14:paraId="68FBA698">
      <w:pPr>
        <w:spacing w:line="560" w:lineRule="exact"/>
        <w:ind w:firstLine="708" w:firstLineChars="200"/>
        <w:rPr>
          <w:rFonts w:hint="default" w:ascii="Times New Roman" w:hAnsi="Times New Roman" w:eastAsia="仿宋_GB2312" w:cs="Times New Roman"/>
          <w:color w:val="auto"/>
          <w:spacing w:val="17"/>
          <w:sz w:val="32"/>
          <w:szCs w:val="32"/>
          <w:lang w:eastAsia="zh-CN"/>
        </w:rPr>
      </w:pPr>
      <w:r>
        <w:rPr>
          <w:rFonts w:hint="default" w:ascii="Times New Roman" w:hAnsi="Times New Roman" w:eastAsia="仿宋_GB2312" w:cs="Times New Roman"/>
          <w:color w:val="auto"/>
          <w:spacing w:val="17"/>
          <w:sz w:val="32"/>
          <w:szCs w:val="32"/>
        </w:rPr>
        <w:t>确定各个指标相对于项目总体绩效的权重分值。在绩效评价指标体系中，项目决策权重为20分，项目过程权重为20分，项目产出权重为40分，项目效益权重为20分。</w:t>
      </w:r>
    </w:p>
    <w:p w14:paraId="18089029">
      <w:pPr>
        <w:spacing w:line="560" w:lineRule="exact"/>
        <w:ind w:firstLine="708" w:firstLineChars="200"/>
        <w:rPr>
          <w:rFonts w:hint="default" w:ascii="Times New Roman" w:hAnsi="Times New Roman" w:eastAsia="仿宋_GB2312" w:cs="Times New Roman"/>
          <w:color w:val="auto"/>
          <w:spacing w:val="17"/>
          <w:sz w:val="32"/>
          <w:szCs w:val="32"/>
        </w:rPr>
      </w:pPr>
      <w:r>
        <w:rPr>
          <w:rFonts w:hint="default" w:ascii="Times New Roman" w:hAnsi="Times New Roman" w:eastAsia="仿宋_GB2312" w:cs="Times New Roman"/>
          <w:color w:val="auto"/>
          <w:spacing w:val="17"/>
          <w:sz w:val="32"/>
          <w:szCs w:val="32"/>
        </w:rPr>
        <w:t>（3）确定指标标准值</w:t>
      </w:r>
    </w:p>
    <w:p w14:paraId="6AA7D730">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指标标准值是绩效评价指标的尺度，既要反映同类项目的先进水平，又要符合项目的实际绩效水平。具体采用计划标准等确定此次绩效评价指标标准值。</w:t>
      </w:r>
    </w:p>
    <w:p w14:paraId="1494FD5F">
      <w:pPr>
        <w:pStyle w:val="10"/>
        <w:spacing w:before="0" w:after="0" w:line="560" w:lineRule="exact"/>
        <w:ind w:firstLine="708" w:firstLineChars="200"/>
        <w:jc w:val="both"/>
        <w:rPr>
          <w:rFonts w:hint="default" w:ascii="Times New Roman" w:hAnsi="Times New Roman" w:eastAsia="仿宋_GB2312" w:cs="Times New Roman"/>
          <w:b w:val="0"/>
          <w:bCs w:val="0"/>
          <w:color w:val="000000"/>
          <w:spacing w:val="17"/>
          <w:kern w:val="2"/>
        </w:rPr>
      </w:pPr>
      <w:r>
        <w:rPr>
          <w:rFonts w:hint="default" w:ascii="Times New Roman" w:hAnsi="Times New Roman" w:eastAsia="仿宋_GB2312" w:cs="Times New Roman"/>
          <w:b w:val="0"/>
          <w:bCs w:val="0"/>
          <w:color w:val="000000"/>
          <w:spacing w:val="17"/>
          <w:kern w:val="2"/>
        </w:rPr>
        <w:t>绩效评价总分值100分，根据综合评分结果，90（含）-100分为优、80（含）-90分为良、60（含）-80分为中、60分以下为差。</w:t>
      </w:r>
    </w:p>
    <w:p w14:paraId="05AA980E">
      <w:pPr>
        <w:pStyle w:val="10"/>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000000"/>
          <w:spacing w:val="17"/>
        </w:rPr>
      </w:pPr>
      <w:r>
        <w:rPr>
          <w:rFonts w:hint="default" w:ascii="Times New Roman" w:hAnsi="Times New Roman" w:eastAsia="仿宋_GB2312" w:cs="Times New Roman"/>
          <w:b w:val="0"/>
          <w:bCs w:val="0"/>
          <w:color w:val="000000"/>
          <w:spacing w:val="17"/>
        </w:rPr>
        <w:t>具体评价指标体系详情见附件1</w:t>
      </w:r>
    </w:p>
    <w:p w14:paraId="3B3C6474">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w:t>
      </w:r>
      <w:r>
        <w:rPr>
          <w:rFonts w:hint="default" w:ascii="Times New Roman" w:hAnsi="Times New Roman" w:eastAsia="仿宋_GB2312" w:cs="Times New Roman"/>
          <w:b w:val="0"/>
          <w:bCs w:val="0"/>
          <w:lang w:val="en-US" w:eastAsia="zh-CN"/>
        </w:rPr>
        <w:t>.</w:t>
      </w:r>
      <w:r>
        <w:rPr>
          <w:rFonts w:hint="default" w:ascii="Times New Roman" w:hAnsi="Times New Roman" w:eastAsia="仿宋_GB2312" w:cs="Times New Roman"/>
          <w:b w:val="0"/>
          <w:bCs w:val="0"/>
        </w:rPr>
        <w:t>绩效评价方法</w:t>
      </w:r>
    </w:p>
    <w:p w14:paraId="5CE95D2D">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绩效评价从项目决策、项目过程、项目产出、项目效益四个维度进行评价。评价对象为项目目标实施情况，评价核心为资金的支出完成情况和项目的产出效益。</w:t>
      </w:r>
    </w:p>
    <w:p w14:paraId="49430CB8">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本次评价指标中，既有定性指标又有定量指标，各类指标因考核内容不同和客观标准不同存在较大差异，因此核定具体指标时采用了产出指标</w:t>
      </w:r>
      <w:r>
        <w:rPr>
          <w:rFonts w:hint="eastAsia" w:eastAsia="仿宋_GB2312" w:cs="Times New Roman"/>
          <w:color w:val="000000"/>
          <w:spacing w:val="17"/>
          <w:sz w:val="32"/>
          <w:szCs w:val="32"/>
          <w:lang w:eastAsia="zh-CN"/>
        </w:rPr>
        <w:t>、成本指标、效益指标、</w:t>
      </w:r>
      <w:r>
        <w:rPr>
          <w:rFonts w:hint="eastAsia" w:eastAsia="仿宋_GB2312" w:cs="Times New Roman"/>
          <w:color w:val="000000"/>
          <w:spacing w:val="17"/>
          <w:sz w:val="32"/>
          <w:szCs w:val="32"/>
          <w:lang w:val="en-US" w:eastAsia="zh-CN"/>
        </w:rPr>
        <w:t>满意度指标</w:t>
      </w:r>
      <w:r>
        <w:rPr>
          <w:rFonts w:hint="default" w:ascii="Times New Roman" w:hAnsi="Times New Roman" w:eastAsia="仿宋_GB2312" w:cs="Times New Roman"/>
          <w:color w:val="000000"/>
          <w:spacing w:val="17"/>
          <w:sz w:val="32"/>
          <w:szCs w:val="32"/>
        </w:rPr>
        <w:t>，具体评价方法如下：</w:t>
      </w:r>
    </w:p>
    <w:p w14:paraId="692C1A82">
      <w:pPr>
        <w:spacing w:line="560" w:lineRule="exact"/>
        <w:ind w:firstLine="708" w:firstLineChars="200"/>
        <w:rPr>
          <w:rFonts w:hint="default" w:ascii="Times New Roman" w:hAnsi="Times New Roman" w:eastAsia="仿宋_GB2312" w:cs="Times New Roman"/>
          <w:color w:val="000000"/>
          <w:spacing w:val="17"/>
          <w:sz w:val="32"/>
          <w:szCs w:val="32"/>
          <w:highlight w:val="green"/>
        </w:rPr>
      </w:pPr>
      <w:r>
        <w:rPr>
          <w:rFonts w:hint="default" w:ascii="Times New Roman" w:hAnsi="Times New Roman" w:eastAsia="仿宋_GB2312" w:cs="Times New Roman"/>
          <w:color w:val="000000"/>
          <w:spacing w:val="17"/>
          <w:sz w:val="32"/>
          <w:szCs w:val="32"/>
          <w:highlight w:val="none"/>
        </w:rPr>
        <w:t>最低成本法。是</w:t>
      </w:r>
      <w:r>
        <w:rPr>
          <w:rFonts w:hint="eastAsia" w:eastAsia="仿宋_GB2312" w:cs="Times New Roman"/>
          <w:color w:val="000000"/>
          <w:spacing w:val="17"/>
          <w:sz w:val="32"/>
          <w:szCs w:val="32"/>
          <w:highlight w:val="none"/>
          <w:lang w:val="en-US" w:eastAsia="zh-CN"/>
        </w:rPr>
        <w:t>一种在效益相同或相近的条件下，通过计算备选方案的总成本现值，选择最低成本方案的经济决策方法</w:t>
      </w:r>
      <w:r>
        <w:rPr>
          <w:rFonts w:hint="default" w:ascii="Times New Roman" w:hAnsi="Times New Roman" w:eastAsia="仿宋_GB2312" w:cs="Times New Roman"/>
          <w:color w:val="000000"/>
          <w:spacing w:val="17"/>
          <w:sz w:val="32"/>
          <w:szCs w:val="32"/>
          <w:highlight w:val="none"/>
        </w:rPr>
        <w:t>。</w:t>
      </w:r>
    </w:p>
    <w:p w14:paraId="2B264462">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4</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评价标准</w:t>
      </w:r>
    </w:p>
    <w:p w14:paraId="1CB39C5B">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绩效评价标准通常包括计划标准、行业标准、历史标准等，用于对绩效指标完成情况进行比较、分析、评价。本次评价主要采用了计划标准。</w:t>
      </w:r>
    </w:p>
    <w:p w14:paraId="6D2C246E">
      <w:pPr>
        <w:pStyle w:val="10"/>
        <w:numPr>
          <w:ilvl w:val="0"/>
          <w:numId w:val="3"/>
        </w:numPr>
        <w:spacing w:before="0" w:after="0" w:line="560" w:lineRule="exact"/>
        <w:ind w:firstLine="711" w:firstLineChars="200"/>
        <w:jc w:val="both"/>
        <w:rPr>
          <w:rFonts w:hint="default" w:ascii="Times New Roman" w:hAnsi="Times New Roman" w:eastAsia="楷体" w:cs="Times New Roman"/>
          <w:color w:val="000000"/>
          <w:spacing w:val="17"/>
        </w:rPr>
      </w:pPr>
      <w:r>
        <w:rPr>
          <w:rFonts w:hint="default" w:ascii="Times New Roman" w:hAnsi="Times New Roman" w:eastAsia="楷体" w:cs="Times New Roman"/>
          <w:color w:val="000000"/>
          <w:spacing w:val="17"/>
        </w:rPr>
        <w:t>绩效评价工作过程</w:t>
      </w:r>
    </w:p>
    <w:p w14:paraId="3694522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前期准备与规划</w:t>
      </w:r>
    </w:p>
    <w:p w14:paraId="5E34671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在项目绩效评价工作启动之初，成立了专门的评价工作小组，</w:t>
      </w:r>
      <w:r>
        <w:rPr>
          <w:rFonts w:hint="eastAsia" w:eastAsia="仿宋_GB2312" w:cs="Times New Roman"/>
          <w:sz w:val="32"/>
          <w:szCs w:val="32"/>
          <w:highlight w:val="none"/>
          <w:lang w:val="en-US" w:eastAsia="zh-CN"/>
        </w:rPr>
        <w:t>项目法人：赵娟，负责人：董俊生，经办人：杨翔宇、王晓倩，业务员：张建勋、祁世祥</w:t>
      </w:r>
      <w:r>
        <w:rPr>
          <w:rFonts w:hint="default" w:ascii="Times New Roman" w:hAnsi="Times New Roman" w:eastAsia="仿宋_GB2312" w:cs="Times New Roman"/>
          <w:sz w:val="32"/>
          <w:szCs w:val="32"/>
          <w:highlight w:val="none"/>
        </w:rPr>
        <w:t>组成，确保从多角度、全方位对项目绩效进行评价。同时，明确了评价工作的目标、范围、重点及时间安排，制定了详细的工作计划，为评价工作的顺利开展奠定了坚实基础。</w:t>
      </w:r>
    </w:p>
    <w:p w14:paraId="1F00CDA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eastAsia="zh-CN"/>
        </w:rPr>
        <w:t>）指标体系构建</w:t>
      </w:r>
    </w:p>
    <w:p w14:paraId="1834653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依据项目的性质、目标以及预期成果，构建了科学合理的绩效评价指标体系。该指标体系涵盖了</w:t>
      </w:r>
      <w:r>
        <w:rPr>
          <w:rFonts w:hint="default" w:ascii="Times New Roman" w:hAnsi="Times New Roman" w:eastAsia="仿宋_GB2312" w:cs="Times New Roman"/>
          <w:color w:val="000000"/>
          <w:spacing w:val="17"/>
          <w:sz w:val="32"/>
          <w:szCs w:val="32"/>
          <w:highlight w:val="none"/>
        </w:rPr>
        <w:t>项目决策、项目过程、项目产出、项目效益四个维度</w:t>
      </w:r>
      <w:r>
        <w:rPr>
          <w:rFonts w:hint="default" w:ascii="Times New Roman" w:hAnsi="Times New Roman" w:eastAsia="仿宋_GB2312" w:cs="Times New Roman"/>
          <w:sz w:val="32"/>
          <w:szCs w:val="32"/>
          <w:highlight w:val="none"/>
          <w:lang w:eastAsia="zh-CN"/>
        </w:rPr>
        <w:t>，选取了具有代表性和可衡量性的关键指标，并为每个指标设定了明确的评价标准与权重，确保评价结果能够全面、准确地反映项目的绩效状况。</w:t>
      </w:r>
    </w:p>
    <w:p w14:paraId="74E6655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eastAsia="zh-CN"/>
        </w:rPr>
        <w:t>）数据收集与整理</w:t>
      </w:r>
    </w:p>
    <w:p w14:paraId="511A048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广泛收集与项目相关的各类数据，包括财务报表、项目文档、业务数据、机场客户满意度等。在数据收集过程中，注重数据的质量与完整性，对缺失或异常的数据进行了合理的处理和补充。随后，对收集到的数据进行了系统的整理与分类，为后续的数据分析提供了有力支持。</w:t>
      </w:r>
    </w:p>
    <w:p w14:paraId="2F959AE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eastAsia="zh-CN"/>
        </w:rPr>
        <w:t>）数据分析与评估</w:t>
      </w:r>
    </w:p>
    <w:p w14:paraId="1C6A8D3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14:paraId="78A2F5F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eastAsia="zh-CN"/>
        </w:rPr>
        <w:t>）报告撰写与反馈</w:t>
      </w:r>
    </w:p>
    <w:p w14:paraId="5C198A7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14:paraId="66F4D9F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eastAsia="zh-CN"/>
        </w:rPr>
        <w:t>）后续跟踪与改进</w:t>
      </w:r>
    </w:p>
    <w:p w14:paraId="67CAE2F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green"/>
          <w:lang w:eastAsia="zh-CN"/>
        </w:rPr>
      </w:pPr>
      <w:r>
        <w:rPr>
          <w:rFonts w:hint="default" w:ascii="Times New Roman" w:hAnsi="Times New Roman" w:eastAsia="仿宋_GB2312" w:cs="Times New Roman"/>
          <w:sz w:val="32"/>
          <w:szCs w:val="32"/>
          <w:highlight w:val="none"/>
          <w:lang w:eastAsia="zh-CN"/>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7BFB14D1">
      <w:pPr>
        <w:numPr>
          <w:ilvl w:val="0"/>
          <w:numId w:val="4"/>
        </w:num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综合评价情况及评价结论（附相关评分表）</w:t>
      </w:r>
    </w:p>
    <w:p w14:paraId="7B693543">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一</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评价情况</w:t>
      </w:r>
    </w:p>
    <w:p w14:paraId="2580FC0C">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本项目的综合评价基于对项目各方面绩效的深入分析与评估。从项目目标的达成情况来看，</w:t>
      </w:r>
      <w:r>
        <w:rPr>
          <w:rFonts w:hint="default" w:ascii="Times New Roman" w:hAnsi="Times New Roman" w:eastAsia="仿宋_GB2312" w:cs="Times New Roman"/>
          <w:color w:val="auto"/>
          <w:sz w:val="32"/>
          <w:szCs w:val="32"/>
          <w:highlight w:val="none"/>
        </w:rPr>
        <w:t>昌州财建[2023]97号奇台江布拉克机场场外供电项目35kv输变电工程</w:t>
      </w:r>
      <w:r>
        <w:rPr>
          <w:rFonts w:hint="eastAsia" w:eastAsia="仿宋_GB2312" w:cs="Times New Roman"/>
          <w:sz w:val="32"/>
          <w:szCs w:val="32"/>
          <w:highlight w:val="none"/>
          <w:lang w:val="en-US" w:eastAsia="zh-CN"/>
        </w:rPr>
        <w:t>顺利完成，</w:t>
      </w:r>
      <w:r>
        <w:rPr>
          <w:rFonts w:hint="default" w:ascii="Times New Roman" w:hAnsi="Times New Roman" w:eastAsia="仿宋_GB2312" w:cs="Times New Roman"/>
          <w:sz w:val="32"/>
          <w:szCs w:val="32"/>
          <w:highlight w:val="none"/>
        </w:rPr>
        <w:t>通过该项目实施实现奇台江布拉克机场年内通航的目标。带动周边地区经济发展和旅游资源开发。达到了预期的标准与要求。</w:t>
      </w:r>
    </w:p>
    <w:p w14:paraId="0A150B0E">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green"/>
        </w:rPr>
      </w:pPr>
      <w:r>
        <w:rPr>
          <w:rFonts w:hint="default" w:ascii="Times New Roman" w:hAnsi="Times New Roman" w:eastAsia="仿宋_GB2312" w:cs="Times New Roman"/>
          <w:sz w:val="32"/>
          <w:szCs w:val="32"/>
          <w:highlight w:val="none"/>
        </w:rPr>
        <w:t>在项目管理方面，</w:t>
      </w:r>
      <w:r>
        <w:rPr>
          <w:rFonts w:hint="eastAsia" w:eastAsia="仿宋_GB2312" w:cs="Times New Roman"/>
          <w:sz w:val="32"/>
          <w:szCs w:val="32"/>
          <w:highlight w:val="none"/>
          <w:lang w:val="en-US" w:eastAsia="zh-CN"/>
        </w:rPr>
        <w:t>奇台县西北湾镇政府</w:t>
      </w:r>
      <w:r>
        <w:rPr>
          <w:rFonts w:hint="default" w:ascii="Times New Roman" w:hAnsi="Times New Roman" w:eastAsia="仿宋_GB2312" w:cs="Times New Roman"/>
          <w:sz w:val="32"/>
          <w:szCs w:val="32"/>
          <w:highlight w:val="none"/>
        </w:rPr>
        <w:t>通过有效的规划、组织与协调，项目得以顺利实施，并在预算与时间上保持了良好的控制。</w:t>
      </w:r>
    </w:p>
    <w:p w14:paraId="47CD4E10">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从项目效益的角度来看，本项目实现了预期的社会效益。具体而言，</w:t>
      </w:r>
      <w:r>
        <w:rPr>
          <w:rFonts w:hint="eastAsia" w:eastAsia="仿宋_GB2312" w:cs="Times New Roman"/>
          <w:sz w:val="32"/>
          <w:szCs w:val="32"/>
          <w:highlight w:val="none"/>
          <w:lang w:val="en-US" w:eastAsia="zh-CN"/>
        </w:rPr>
        <w:t>保障了奇台江布拉克机场按期通航以及正常运营</w:t>
      </w:r>
      <w:r>
        <w:rPr>
          <w:rFonts w:hint="default" w:ascii="Times New Roman" w:hAnsi="Times New Roman" w:eastAsia="仿宋_GB2312" w:cs="Times New Roman"/>
          <w:sz w:val="32"/>
          <w:szCs w:val="32"/>
          <w:highlight w:val="none"/>
        </w:rPr>
        <w:t>，为项目的利益相关者带来了实实在在的利益。</w:t>
      </w:r>
    </w:p>
    <w:p w14:paraId="1CC824E9">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highlight w:val="green"/>
        </w:rPr>
      </w:pPr>
      <w:r>
        <w:rPr>
          <w:rFonts w:hint="default" w:ascii="Times New Roman" w:hAnsi="Times New Roman" w:eastAsia="仿宋_GB2312" w:cs="Times New Roman"/>
          <w:sz w:val="32"/>
          <w:szCs w:val="32"/>
          <w:highlight w:val="none"/>
        </w:rPr>
        <w:t>综上所述，昌州财建[2023]97号奇台江布拉克机场场外供电项目35kv输变电工程在绩效评价中表现出色，达到了项目的预期目标，并在多个方面取得了显著的成效。</w:t>
      </w:r>
    </w:p>
    <w:p w14:paraId="3906A7EF">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二</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评价结论</w:t>
      </w:r>
    </w:p>
    <w:p w14:paraId="1FFAA0BF">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eastAsia="zh-CN"/>
        </w:rPr>
      </w:pPr>
      <w:r>
        <w:rPr>
          <w:rFonts w:hint="default" w:ascii="Times New Roman" w:hAnsi="Times New Roman" w:eastAsia="仿宋_GB2312" w:cs="Times New Roman"/>
          <w:b w:val="0"/>
          <w:bCs w:val="0"/>
        </w:rPr>
        <w:t>运用绩效评价组制定的评价指标体系以及财政部《项目支出绩效评价管理办法》（财预〔2020〕10号）文件的评分标准，通过数据采集、问卷调查及访谈等方式，对本项目进行客观评价，最终评分结果：</w:t>
      </w:r>
      <w:r>
        <w:rPr>
          <w:rFonts w:hint="default" w:ascii="Times New Roman" w:hAnsi="Times New Roman" w:eastAsia="仿宋_GB2312" w:cs="Times New Roman"/>
          <w:b w:val="0"/>
          <w:bCs w:val="0"/>
          <w:color w:val="auto"/>
          <w:highlight w:val="none"/>
        </w:rPr>
        <w:t xml:space="preserve">总得分为 </w:t>
      </w:r>
      <w:r>
        <w:rPr>
          <w:rFonts w:hint="eastAsia" w:ascii="Times New Roman" w:hAnsi="Times New Roman" w:eastAsia="仿宋_GB2312" w:cs="Times New Roman"/>
          <w:b w:val="0"/>
          <w:bCs w:val="0"/>
          <w:color w:val="auto"/>
          <w:highlight w:val="none"/>
          <w:lang w:val="en-US" w:eastAsia="zh-CN"/>
        </w:rPr>
        <w:t>100</w:t>
      </w:r>
      <w:r>
        <w:rPr>
          <w:rFonts w:hint="default" w:ascii="Times New Roman" w:hAnsi="Times New Roman" w:eastAsia="仿宋_GB2312" w:cs="Times New Roman"/>
          <w:b w:val="0"/>
          <w:bCs w:val="0"/>
          <w:color w:val="auto"/>
          <w:highlight w:val="none"/>
        </w:rPr>
        <w:t xml:space="preserve">分，属于“优”。其中，项目决策类指标权重为20分，得分为 </w:t>
      </w:r>
      <w:r>
        <w:rPr>
          <w:rFonts w:hint="eastAsia" w:ascii="Times New Roman" w:hAnsi="Times New Roman" w:eastAsia="仿宋_GB2312" w:cs="Times New Roman"/>
          <w:b w:val="0"/>
          <w:bCs w:val="0"/>
          <w:color w:val="auto"/>
          <w:highlight w:val="none"/>
          <w:lang w:val="en-US" w:eastAsia="zh-CN"/>
        </w:rPr>
        <w:t>20</w:t>
      </w:r>
      <w:r>
        <w:rPr>
          <w:rFonts w:hint="default" w:ascii="Times New Roman" w:hAnsi="Times New Roman" w:eastAsia="仿宋_GB2312" w:cs="Times New Roman"/>
          <w:b w:val="0"/>
          <w:bCs w:val="0"/>
          <w:color w:val="auto"/>
          <w:highlight w:val="none"/>
        </w:rPr>
        <w:t>分，得分率为</w:t>
      </w:r>
      <w:r>
        <w:rPr>
          <w:rFonts w:hint="eastAsia" w:ascii="Times New Roman" w:hAnsi="Times New Roman" w:eastAsia="仿宋_GB2312" w:cs="Times New Roman"/>
          <w:b w:val="0"/>
          <w:bCs w:val="0"/>
          <w:color w:val="auto"/>
          <w:highlight w:val="none"/>
          <w:lang w:val="en-US" w:eastAsia="zh-CN"/>
        </w:rPr>
        <w:t>100</w:t>
      </w:r>
      <w:r>
        <w:rPr>
          <w:rFonts w:hint="default" w:ascii="Times New Roman" w:hAnsi="Times New Roman" w:eastAsia="仿宋_GB2312" w:cs="Times New Roman"/>
          <w:b w:val="0"/>
          <w:bCs w:val="0"/>
          <w:color w:val="auto"/>
          <w:highlight w:val="none"/>
        </w:rPr>
        <w:t>%。项目过程类指标权重为20分，得分为</w:t>
      </w:r>
      <w:r>
        <w:rPr>
          <w:rFonts w:hint="eastAsia" w:ascii="Times New Roman" w:hAnsi="Times New Roman" w:eastAsia="仿宋_GB2312" w:cs="Times New Roman"/>
          <w:b w:val="0"/>
          <w:bCs w:val="0"/>
          <w:color w:val="auto"/>
          <w:highlight w:val="none"/>
          <w:lang w:val="en-US" w:eastAsia="zh-CN"/>
        </w:rPr>
        <w:t>20</w:t>
      </w:r>
      <w:r>
        <w:rPr>
          <w:rFonts w:hint="default" w:ascii="Times New Roman" w:hAnsi="Times New Roman" w:eastAsia="仿宋_GB2312" w:cs="Times New Roman"/>
          <w:b w:val="0"/>
          <w:bCs w:val="0"/>
          <w:color w:val="auto"/>
          <w:highlight w:val="none"/>
        </w:rPr>
        <w:t xml:space="preserve">分，得分率为 </w:t>
      </w:r>
      <w:r>
        <w:rPr>
          <w:rFonts w:hint="eastAsia" w:ascii="Times New Roman" w:hAnsi="Times New Roman" w:eastAsia="仿宋_GB2312" w:cs="Times New Roman"/>
          <w:b w:val="0"/>
          <w:bCs w:val="0"/>
          <w:color w:val="auto"/>
          <w:highlight w:val="none"/>
          <w:lang w:val="en-US" w:eastAsia="zh-CN"/>
        </w:rPr>
        <w:t>100</w:t>
      </w:r>
      <w:r>
        <w:rPr>
          <w:rFonts w:hint="default" w:ascii="Times New Roman" w:hAnsi="Times New Roman" w:eastAsia="仿宋_GB2312" w:cs="Times New Roman"/>
          <w:b w:val="0"/>
          <w:bCs w:val="0"/>
          <w:color w:val="auto"/>
          <w:highlight w:val="none"/>
        </w:rPr>
        <w:t>%。项目产出类指标权重为40分，得分为</w:t>
      </w:r>
      <w:r>
        <w:rPr>
          <w:rFonts w:hint="eastAsia" w:ascii="Times New Roman" w:hAnsi="Times New Roman" w:eastAsia="仿宋_GB2312" w:cs="Times New Roman"/>
          <w:b w:val="0"/>
          <w:bCs w:val="0"/>
          <w:color w:val="auto"/>
          <w:highlight w:val="none"/>
          <w:lang w:val="en-US" w:eastAsia="zh-CN"/>
        </w:rPr>
        <w:t>40</w:t>
      </w:r>
      <w:r>
        <w:rPr>
          <w:rFonts w:hint="default" w:ascii="Times New Roman" w:hAnsi="Times New Roman" w:eastAsia="仿宋_GB2312" w:cs="Times New Roman"/>
          <w:b w:val="0"/>
          <w:bCs w:val="0"/>
          <w:color w:val="auto"/>
          <w:highlight w:val="none"/>
        </w:rPr>
        <w:t xml:space="preserve">分，得分率为 </w:t>
      </w:r>
      <w:r>
        <w:rPr>
          <w:rFonts w:hint="eastAsia" w:ascii="Times New Roman" w:hAnsi="Times New Roman" w:eastAsia="仿宋_GB2312" w:cs="Times New Roman"/>
          <w:b w:val="0"/>
          <w:bCs w:val="0"/>
          <w:color w:val="auto"/>
          <w:highlight w:val="none"/>
          <w:lang w:val="en-US" w:eastAsia="zh-CN"/>
        </w:rPr>
        <w:t>100</w:t>
      </w:r>
      <w:r>
        <w:rPr>
          <w:rFonts w:hint="default" w:ascii="Times New Roman" w:hAnsi="Times New Roman" w:eastAsia="仿宋_GB2312" w:cs="Times New Roman"/>
          <w:b w:val="0"/>
          <w:bCs w:val="0"/>
          <w:color w:val="auto"/>
          <w:highlight w:val="none"/>
        </w:rPr>
        <w:t>%。项目效益类指标权重为20分，得分为</w:t>
      </w:r>
      <w:r>
        <w:rPr>
          <w:rFonts w:hint="eastAsia" w:ascii="Times New Roman" w:hAnsi="Times New Roman" w:eastAsia="仿宋_GB2312" w:cs="Times New Roman"/>
          <w:b w:val="0"/>
          <w:bCs w:val="0"/>
          <w:color w:val="auto"/>
          <w:highlight w:val="none"/>
          <w:lang w:val="en-US" w:eastAsia="zh-CN"/>
        </w:rPr>
        <w:t>20</w:t>
      </w:r>
      <w:r>
        <w:rPr>
          <w:rFonts w:hint="default" w:ascii="Times New Roman" w:hAnsi="Times New Roman" w:eastAsia="仿宋_GB2312" w:cs="Times New Roman"/>
          <w:b w:val="0"/>
          <w:bCs w:val="0"/>
          <w:color w:val="auto"/>
          <w:highlight w:val="none"/>
        </w:rPr>
        <w:t>分，得分率为</w:t>
      </w:r>
      <w:r>
        <w:rPr>
          <w:rFonts w:hint="eastAsia" w:ascii="Times New Roman" w:hAnsi="Times New Roman" w:eastAsia="仿宋_GB2312" w:cs="Times New Roman"/>
          <w:b w:val="0"/>
          <w:bCs w:val="0"/>
          <w:color w:val="auto"/>
          <w:highlight w:val="none"/>
          <w:lang w:val="en-US" w:eastAsia="zh-CN"/>
        </w:rPr>
        <w:t>100</w:t>
      </w:r>
      <w:r>
        <w:rPr>
          <w:rFonts w:hint="default" w:ascii="Times New Roman" w:hAnsi="Times New Roman" w:eastAsia="仿宋_GB2312" w:cs="Times New Roman"/>
          <w:b w:val="0"/>
          <w:bCs w:val="0"/>
          <w:color w:val="auto"/>
          <w:highlight w:val="none"/>
        </w:rPr>
        <w:t>%。具体打分情况详见：附件1综合评分表</w:t>
      </w:r>
      <w:r>
        <w:rPr>
          <w:rFonts w:hint="default" w:ascii="Times New Roman" w:hAnsi="Times New Roman" w:eastAsia="仿宋_GB2312" w:cs="Times New Roman"/>
          <w:b w:val="0"/>
          <w:bCs w:val="0"/>
          <w:color w:val="auto"/>
          <w:highlight w:val="none"/>
          <w:lang w:eastAsia="zh-CN"/>
        </w:rPr>
        <w:t>。</w:t>
      </w:r>
    </w:p>
    <w:p w14:paraId="7D362363">
      <w:pPr>
        <w:pStyle w:val="10"/>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color w:val="auto"/>
          <w:sz w:val="21"/>
          <w:szCs w:val="21"/>
          <w:highlight w:val="none"/>
        </w:rPr>
      </w:pPr>
      <w:r>
        <w:rPr>
          <w:rFonts w:hint="default" w:ascii="Times New Roman" w:hAnsi="Times New Roman" w:eastAsia="仿宋_GB2312" w:cs="Times New Roman"/>
          <w:color w:val="auto"/>
          <w:sz w:val="21"/>
          <w:szCs w:val="21"/>
          <w:highlight w:val="none"/>
        </w:rPr>
        <w:t>表1综合评分表</w:t>
      </w:r>
    </w:p>
    <w:tbl>
      <w:tblPr>
        <w:tblStyle w:val="14"/>
        <w:tblW w:w="8760" w:type="dxa"/>
        <w:jc w:val="center"/>
        <w:tblLayout w:type="fixed"/>
        <w:tblCellMar>
          <w:top w:w="0" w:type="dxa"/>
          <w:left w:w="108" w:type="dxa"/>
          <w:bottom w:w="0" w:type="dxa"/>
          <w:right w:w="108" w:type="dxa"/>
        </w:tblCellMar>
      </w:tblPr>
      <w:tblGrid>
        <w:gridCol w:w="2787"/>
        <w:gridCol w:w="1927"/>
        <w:gridCol w:w="2023"/>
        <w:gridCol w:w="2023"/>
      </w:tblGrid>
      <w:tr w14:paraId="537C0F2E">
        <w:tblPrEx>
          <w:tblCellMar>
            <w:top w:w="0" w:type="dxa"/>
            <w:left w:w="108" w:type="dxa"/>
            <w:bottom w:w="0" w:type="dxa"/>
            <w:right w:w="108" w:type="dxa"/>
          </w:tblCellMar>
        </w:tblPrEx>
        <w:trPr>
          <w:trHeight w:val="90" w:hRule="atLeast"/>
          <w:tblHeader/>
          <w:jc w:val="center"/>
        </w:trPr>
        <w:tc>
          <w:tcPr>
            <w:tcW w:w="278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14:paraId="460E381D">
            <w:pPr>
              <w:jc w:val="center"/>
              <w:rPr>
                <w:rFonts w:hint="default" w:ascii="Times New Roman" w:hAnsi="Times New Roman" w:eastAsia="仿宋_GB2312" w:cs="Times New Roman"/>
                <w:b/>
                <w:bCs/>
                <w:color w:val="auto"/>
                <w:sz w:val="21"/>
                <w:szCs w:val="21"/>
                <w:highlight w:val="none"/>
              </w:rPr>
            </w:pPr>
            <w:r>
              <w:rPr>
                <w:rFonts w:hint="default" w:ascii="Times New Roman" w:hAnsi="Times New Roman" w:eastAsia="仿宋_GB2312" w:cs="Times New Roman"/>
                <w:b/>
                <w:bCs/>
                <w:color w:val="auto"/>
                <w:sz w:val="21"/>
                <w:szCs w:val="21"/>
                <w:highlight w:val="none"/>
              </w:rPr>
              <w:t>一级指标</w:t>
            </w:r>
          </w:p>
        </w:tc>
        <w:tc>
          <w:tcPr>
            <w:tcW w:w="1927"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3C50C1CB">
            <w:pPr>
              <w:jc w:val="center"/>
              <w:rPr>
                <w:rFonts w:hint="default" w:ascii="Times New Roman" w:hAnsi="Times New Roman" w:eastAsia="仿宋_GB2312" w:cs="Times New Roman"/>
                <w:b/>
                <w:bCs/>
                <w:color w:val="auto"/>
                <w:sz w:val="21"/>
                <w:szCs w:val="21"/>
                <w:highlight w:val="none"/>
              </w:rPr>
            </w:pPr>
            <w:r>
              <w:rPr>
                <w:rFonts w:hint="default" w:ascii="Times New Roman" w:hAnsi="Times New Roman" w:eastAsia="仿宋_GB2312" w:cs="Times New Roman"/>
                <w:b/>
                <w:bCs/>
                <w:color w:val="auto"/>
                <w:sz w:val="21"/>
                <w:szCs w:val="21"/>
                <w:highlight w:val="none"/>
              </w:rPr>
              <w:t>权重分</w:t>
            </w:r>
          </w:p>
        </w:tc>
        <w:tc>
          <w:tcPr>
            <w:tcW w:w="2023"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0FF86D12">
            <w:pPr>
              <w:jc w:val="center"/>
              <w:rPr>
                <w:rFonts w:hint="default" w:ascii="Times New Roman" w:hAnsi="Times New Roman" w:eastAsia="仿宋_GB2312" w:cs="Times New Roman"/>
                <w:b/>
                <w:bCs/>
                <w:color w:val="auto"/>
                <w:sz w:val="21"/>
                <w:szCs w:val="21"/>
                <w:highlight w:val="none"/>
              </w:rPr>
            </w:pPr>
            <w:r>
              <w:rPr>
                <w:rFonts w:hint="default" w:ascii="Times New Roman" w:hAnsi="Times New Roman" w:eastAsia="仿宋_GB2312" w:cs="Times New Roman"/>
                <w:b/>
                <w:bCs/>
                <w:color w:val="auto"/>
                <w:sz w:val="21"/>
                <w:szCs w:val="21"/>
                <w:highlight w:val="none"/>
              </w:rPr>
              <w:t>得分</w:t>
            </w:r>
          </w:p>
        </w:tc>
        <w:tc>
          <w:tcPr>
            <w:tcW w:w="2023"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380CCDAE">
            <w:pPr>
              <w:jc w:val="center"/>
              <w:rPr>
                <w:rFonts w:hint="eastAsia" w:ascii="Times New Roman" w:hAnsi="Times New Roman" w:eastAsia="仿宋_GB2312" w:cs="Times New Roman"/>
                <w:b/>
                <w:bCs/>
                <w:color w:val="auto"/>
                <w:sz w:val="21"/>
                <w:szCs w:val="21"/>
                <w:highlight w:val="none"/>
                <w:lang w:val="en-US" w:eastAsia="zh-CN"/>
              </w:rPr>
            </w:pPr>
            <w:r>
              <w:rPr>
                <w:rFonts w:hint="eastAsia" w:eastAsia="仿宋_GB2312" w:cs="Times New Roman"/>
                <w:b/>
                <w:bCs/>
                <w:color w:val="auto"/>
                <w:sz w:val="21"/>
                <w:szCs w:val="21"/>
                <w:highlight w:val="none"/>
                <w:lang w:val="en-US" w:eastAsia="zh-CN"/>
              </w:rPr>
              <w:t>得分率</w:t>
            </w:r>
          </w:p>
        </w:tc>
      </w:tr>
      <w:tr w14:paraId="634E85C3">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63723A1A">
            <w:pPr>
              <w:jc w:val="center"/>
              <w:rPr>
                <w:rFonts w:hint="default" w:ascii="Times New Roman" w:hAnsi="Times New Roman" w:eastAsia="仿宋_GB2312" w:cs="Times New Roman"/>
                <w:color w:val="auto"/>
                <w:sz w:val="21"/>
                <w:szCs w:val="21"/>
                <w:highlight w:val="none"/>
              </w:rPr>
            </w:pPr>
            <w:r>
              <w:rPr>
                <w:rFonts w:hint="default" w:ascii="Times New Roman" w:hAnsi="Times New Roman" w:eastAsia="仿宋_GB2312" w:cs="Times New Roman"/>
                <w:color w:val="auto"/>
                <w:sz w:val="21"/>
                <w:szCs w:val="21"/>
                <w:highlight w:val="none"/>
              </w:rPr>
              <w:t>项目决策</w:t>
            </w:r>
          </w:p>
        </w:tc>
        <w:tc>
          <w:tcPr>
            <w:tcW w:w="1927" w:type="dxa"/>
            <w:tcBorders>
              <w:top w:val="nil"/>
              <w:left w:val="nil"/>
              <w:bottom w:val="single" w:color="auto" w:sz="4" w:space="0"/>
              <w:right w:val="single" w:color="auto" w:sz="4" w:space="0"/>
            </w:tcBorders>
            <w:shd w:val="clear" w:color="auto" w:fill="auto"/>
            <w:vAlign w:val="center"/>
          </w:tcPr>
          <w:p w14:paraId="3DC4315D">
            <w:pPr>
              <w:jc w:val="center"/>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374484DB">
            <w:pPr>
              <w:jc w:val="center"/>
              <w:rPr>
                <w:rFonts w:hint="default" w:ascii="Times New Roman" w:hAnsi="Times New Roman" w:eastAsia="仿宋_GB2312" w:cs="Times New Roman"/>
                <w:color w:val="auto"/>
                <w:sz w:val="21"/>
                <w:szCs w:val="21"/>
                <w:highlight w:val="none"/>
              </w:rPr>
            </w:pPr>
            <w:r>
              <w:rPr>
                <w:rFonts w:hint="default" w:ascii="Times New Roman" w:hAnsi="Times New Roman" w:eastAsia="仿宋_GB2312" w:cs="Times New Roman"/>
                <w:color w:val="auto"/>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6121666F">
            <w:pPr>
              <w:jc w:val="center"/>
              <w:rPr>
                <w:rFonts w:hint="default" w:ascii="Times New Roman" w:hAnsi="Times New Roman" w:eastAsia="仿宋_GB2312" w:cs="Times New Roman"/>
                <w:color w:val="auto"/>
                <w:sz w:val="21"/>
                <w:szCs w:val="21"/>
                <w:highlight w:val="none"/>
                <w:lang w:val="en-US" w:eastAsia="zh-CN"/>
              </w:rPr>
            </w:pPr>
            <w:r>
              <w:rPr>
                <w:rFonts w:hint="eastAsia" w:eastAsia="仿宋_GB2312" w:cs="Times New Roman"/>
                <w:color w:val="auto"/>
                <w:sz w:val="21"/>
                <w:szCs w:val="21"/>
                <w:highlight w:val="none"/>
                <w:lang w:val="en-US" w:eastAsia="zh-CN"/>
              </w:rPr>
              <w:t>100%</w:t>
            </w:r>
          </w:p>
        </w:tc>
      </w:tr>
      <w:tr w14:paraId="243E85C5">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046ED79C">
            <w:pPr>
              <w:jc w:val="center"/>
              <w:rPr>
                <w:rFonts w:hint="default" w:ascii="Times New Roman" w:hAnsi="Times New Roman" w:eastAsia="仿宋_GB2312" w:cs="Times New Roman"/>
                <w:color w:val="auto"/>
                <w:sz w:val="21"/>
                <w:szCs w:val="21"/>
                <w:highlight w:val="none"/>
              </w:rPr>
            </w:pPr>
            <w:r>
              <w:rPr>
                <w:rFonts w:hint="default" w:ascii="Times New Roman" w:hAnsi="Times New Roman" w:eastAsia="仿宋_GB2312" w:cs="Times New Roman"/>
                <w:color w:val="auto"/>
                <w:sz w:val="21"/>
                <w:szCs w:val="21"/>
                <w:highlight w:val="none"/>
              </w:rPr>
              <w:t>项目过程</w:t>
            </w:r>
          </w:p>
        </w:tc>
        <w:tc>
          <w:tcPr>
            <w:tcW w:w="1927" w:type="dxa"/>
            <w:tcBorders>
              <w:top w:val="nil"/>
              <w:left w:val="nil"/>
              <w:bottom w:val="single" w:color="auto" w:sz="4" w:space="0"/>
              <w:right w:val="single" w:color="auto" w:sz="4" w:space="0"/>
            </w:tcBorders>
            <w:shd w:val="clear" w:color="auto" w:fill="auto"/>
            <w:vAlign w:val="center"/>
          </w:tcPr>
          <w:p w14:paraId="18CF5AEE">
            <w:pPr>
              <w:jc w:val="center"/>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6C55E4E7">
            <w:pPr>
              <w:jc w:val="center"/>
              <w:rPr>
                <w:rFonts w:hint="default" w:ascii="Times New Roman" w:hAnsi="Times New Roman" w:eastAsia="仿宋_GB2312" w:cs="Times New Roman"/>
                <w:color w:val="auto"/>
                <w:sz w:val="21"/>
                <w:szCs w:val="21"/>
                <w:highlight w:val="none"/>
              </w:rPr>
            </w:pPr>
            <w:r>
              <w:rPr>
                <w:rFonts w:hint="default" w:ascii="Times New Roman" w:hAnsi="Times New Roman" w:eastAsia="仿宋_GB2312" w:cs="Times New Roman"/>
                <w:color w:val="auto"/>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210485AE">
            <w:pPr>
              <w:jc w:val="center"/>
              <w:rPr>
                <w:rFonts w:hint="default" w:ascii="Times New Roman" w:hAnsi="Times New Roman" w:eastAsia="仿宋_GB2312" w:cs="Times New Roman"/>
                <w:color w:val="auto"/>
                <w:sz w:val="21"/>
                <w:szCs w:val="21"/>
                <w:highlight w:val="none"/>
              </w:rPr>
            </w:pPr>
            <w:r>
              <w:rPr>
                <w:rFonts w:hint="eastAsia" w:eastAsia="仿宋_GB2312" w:cs="Times New Roman"/>
                <w:color w:val="auto"/>
                <w:sz w:val="21"/>
                <w:szCs w:val="21"/>
                <w:highlight w:val="none"/>
                <w:lang w:val="en-US" w:eastAsia="zh-CN"/>
              </w:rPr>
              <w:t>100%</w:t>
            </w:r>
          </w:p>
        </w:tc>
      </w:tr>
      <w:tr w14:paraId="20925B1C">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4DCB7C09">
            <w:pPr>
              <w:jc w:val="center"/>
              <w:rPr>
                <w:rFonts w:hint="default" w:ascii="Times New Roman" w:hAnsi="Times New Roman" w:eastAsia="仿宋_GB2312" w:cs="Times New Roman"/>
                <w:color w:val="auto"/>
                <w:sz w:val="21"/>
                <w:szCs w:val="21"/>
                <w:highlight w:val="none"/>
              </w:rPr>
            </w:pPr>
            <w:r>
              <w:rPr>
                <w:rFonts w:hint="default" w:ascii="Times New Roman" w:hAnsi="Times New Roman" w:eastAsia="仿宋_GB2312" w:cs="Times New Roman"/>
                <w:color w:val="auto"/>
                <w:sz w:val="21"/>
                <w:szCs w:val="21"/>
                <w:highlight w:val="none"/>
              </w:rPr>
              <w:t>项目产出</w:t>
            </w:r>
          </w:p>
        </w:tc>
        <w:tc>
          <w:tcPr>
            <w:tcW w:w="1927" w:type="dxa"/>
            <w:tcBorders>
              <w:top w:val="nil"/>
              <w:left w:val="nil"/>
              <w:bottom w:val="single" w:color="auto" w:sz="4" w:space="0"/>
              <w:right w:val="single" w:color="auto" w:sz="4" w:space="0"/>
            </w:tcBorders>
            <w:shd w:val="clear" w:color="auto" w:fill="auto"/>
            <w:vAlign w:val="center"/>
          </w:tcPr>
          <w:p w14:paraId="4C71A12D">
            <w:pPr>
              <w:jc w:val="center"/>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sz w:val="21"/>
                <w:szCs w:val="21"/>
                <w:highlight w:val="none"/>
                <w:lang w:val="en-US" w:eastAsia="zh-CN"/>
              </w:rPr>
              <w:t>40</w:t>
            </w:r>
          </w:p>
        </w:tc>
        <w:tc>
          <w:tcPr>
            <w:tcW w:w="2023" w:type="dxa"/>
            <w:tcBorders>
              <w:top w:val="nil"/>
              <w:left w:val="nil"/>
              <w:bottom w:val="single" w:color="auto" w:sz="4" w:space="0"/>
              <w:right w:val="single" w:color="auto" w:sz="4" w:space="0"/>
            </w:tcBorders>
            <w:shd w:val="clear" w:color="auto" w:fill="auto"/>
            <w:vAlign w:val="center"/>
          </w:tcPr>
          <w:p w14:paraId="739B7D0A">
            <w:pPr>
              <w:jc w:val="center"/>
              <w:rPr>
                <w:rFonts w:hint="default" w:ascii="Times New Roman" w:hAnsi="Times New Roman" w:eastAsia="仿宋_GB2312" w:cs="Times New Roman"/>
                <w:color w:val="auto"/>
                <w:sz w:val="21"/>
                <w:szCs w:val="21"/>
                <w:highlight w:val="none"/>
              </w:rPr>
            </w:pPr>
            <w:r>
              <w:rPr>
                <w:rFonts w:hint="default" w:ascii="Times New Roman" w:hAnsi="Times New Roman" w:eastAsia="仿宋_GB2312" w:cs="Times New Roman"/>
                <w:color w:val="auto"/>
                <w:sz w:val="21"/>
                <w:szCs w:val="21"/>
                <w:highlight w:val="none"/>
                <w:lang w:val="en-US" w:eastAsia="zh-CN"/>
              </w:rPr>
              <w:t>40</w:t>
            </w:r>
          </w:p>
        </w:tc>
        <w:tc>
          <w:tcPr>
            <w:tcW w:w="2023" w:type="dxa"/>
            <w:tcBorders>
              <w:top w:val="nil"/>
              <w:left w:val="nil"/>
              <w:bottom w:val="single" w:color="auto" w:sz="4" w:space="0"/>
              <w:right w:val="single" w:color="auto" w:sz="4" w:space="0"/>
            </w:tcBorders>
            <w:shd w:val="clear" w:color="auto" w:fill="auto"/>
            <w:vAlign w:val="center"/>
          </w:tcPr>
          <w:p w14:paraId="28BFBAFA">
            <w:pPr>
              <w:jc w:val="center"/>
              <w:rPr>
                <w:rFonts w:hint="default" w:ascii="Times New Roman" w:hAnsi="Times New Roman" w:eastAsia="仿宋_GB2312" w:cs="Times New Roman"/>
                <w:color w:val="auto"/>
                <w:sz w:val="21"/>
                <w:szCs w:val="21"/>
                <w:highlight w:val="none"/>
              </w:rPr>
            </w:pPr>
            <w:r>
              <w:rPr>
                <w:rFonts w:hint="eastAsia" w:eastAsia="仿宋_GB2312" w:cs="Times New Roman"/>
                <w:color w:val="auto"/>
                <w:sz w:val="21"/>
                <w:szCs w:val="21"/>
                <w:highlight w:val="none"/>
                <w:lang w:val="en-US" w:eastAsia="zh-CN"/>
              </w:rPr>
              <w:t>100%</w:t>
            </w:r>
          </w:p>
        </w:tc>
      </w:tr>
      <w:tr w14:paraId="7BF265AB">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2ED4EB25">
            <w:pPr>
              <w:jc w:val="center"/>
              <w:rPr>
                <w:rFonts w:hint="default" w:ascii="Times New Roman" w:hAnsi="Times New Roman" w:eastAsia="仿宋_GB2312" w:cs="Times New Roman"/>
                <w:color w:val="auto"/>
                <w:sz w:val="21"/>
                <w:szCs w:val="21"/>
                <w:highlight w:val="none"/>
              </w:rPr>
            </w:pPr>
            <w:r>
              <w:rPr>
                <w:rFonts w:hint="default" w:ascii="Times New Roman" w:hAnsi="Times New Roman" w:eastAsia="仿宋_GB2312" w:cs="Times New Roman"/>
                <w:color w:val="auto"/>
                <w:sz w:val="21"/>
                <w:szCs w:val="21"/>
                <w:highlight w:val="none"/>
              </w:rPr>
              <w:t>项目效益</w:t>
            </w:r>
          </w:p>
        </w:tc>
        <w:tc>
          <w:tcPr>
            <w:tcW w:w="1927" w:type="dxa"/>
            <w:tcBorders>
              <w:top w:val="nil"/>
              <w:left w:val="nil"/>
              <w:bottom w:val="single" w:color="auto" w:sz="4" w:space="0"/>
              <w:right w:val="single" w:color="auto" w:sz="4" w:space="0"/>
            </w:tcBorders>
            <w:shd w:val="clear" w:color="auto" w:fill="auto"/>
            <w:vAlign w:val="center"/>
          </w:tcPr>
          <w:p w14:paraId="6AC4FADB">
            <w:pPr>
              <w:jc w:val="center"/>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63BEFB65">
            <w:pPr>
              <w:jc w:val="center"/>
              <w:rPr>
                <w:rFonts w:hint="default" w:ascii="Times New Roman" w:hAnsi="Times New Roman" w:eastAsia="仿宋_GB2312" w:cs="Times New Roman"/>
                <w:color w:val="auto"/>
                <w:sz w:val="21"/>
                <w:szCs w:val="21"/>
                <w:highlight w:val="none"/>
              </w:rPr>
            </w:pPr>
            <w:r>
              <w:rPr>
                <w:rFonts w:hint="default" w:ascii="Times New Roman" w:hAnsi="Times New Roman" w:eastAsia="仿宋_GB2312" w:cs="Times New Roman"/>
                <w:color w:val="auto"/>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13CF75CA">
            <w:pPr>
              <w:jc w:val="center"/>
              <w:rPr>
                <w:rFonts w:hint="default" w:ascii="Times New Roman" w:hAnsi="Times New Roman" w:eastAsia="仿宋_GB2312" w:cs="Times New Roman"/>
                <w:color w:val="auto"/>
                <w:sz w:val="21"/>
                <w:szCs w:val="21"/>
                <w:highlight w:val="none"/>
              </w:rPr>
            </w:pPr>
            <w:r>
              <w:rPr>
                <w:rFonts w:hint="eastAsia" w:eastAsia="仿宋_GB2312" w:cs="Times New Roman"/>
                <w:color w:val="auto"/>
                <w:sz w:val="21"/>
                <w:szCs w:val="21"/>
                <w:highlight w:val="none"/>
                <w:lang w:val="en-US" w:eastAsia="zh-CN"/>
              </w:rPr>
              <w:t>100%</w:t>
            </w:r>
          </w:p>
        </w:tc>
      </w:tr>
      <w:tr w14:paraId="3F53B015">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7695DF59">
            <w:pPr>
              <w:jc w:val="center"/>
              <w:rPr>
                <w:rFonts w:hint="default" w:ascii="Times New Roman" w:hAnsi="Times New Roman" w:eastAsia="仿宋_GB2312" w:cs="Times New Roman"/>
                <w:b/>
                <w:bCs/>
                <w:color w:val="auto"/>
                <w:sz w:val="21"/>
                <w:szCs w:val="21"/>
                <w:highlight w:val="none"/>
              </w:rPr>
            </w:pPr>
            <w:r>
              <w:rPr>
                <w:rFonts w:hint="default" w:ascii="Times New Roman" w:hAnsi="Times New Roman" w:eastAsia="仿宋_GB2312" w:cs="Times New Roman"/>
                <w:b/>
                <w:bCs/>
                <w:color w:val="auto"/>
                <w:sz w:val="21"/>
                <w:szCs w:val="21"/>
                <w:highlight w:val="none"/>
              </w:rPr>
              <w:t>合计</w:t>
            </w:r>
          </w:p>
        </w:tc>
        <w:tc>
          <w:tcPr>
            <w:tcW w:w="1927" w:type="dxa"/>
            <w:tcBorders>
              <w:top w:val="nil"/>
              <w:left w:val="nil"/>
              <w:bottom w:val="single" w:color="auto" w:sz="4" w:space="0"/>
              <w:right w:val="single" w:color="auto" w:sz="4" w:space="0"/>
            </w:tcBorders>
            <w:shd w:val="clear" w:color="auto" w:fill="auto"/>
            <w:vAlign w:val="center"/>
          </w:tcPr>
          <w:p w14:paraId="2826B157">
            <w:pPr>
              <w:jc w:val="center"/>
              <w:rPr>
                <w:rFonts w:hint="default" w:ascii="Times New Roman" w:hAnsi="Times New Roman" w:eastAsia="仿宋_GB2312" w:cs="Times New Roman"/>
                <w:b/>
                <w:bCs/>
                <w:color w:val="auto"/>
                <w:sz w:val="21"/>
                <w:szCs w:val="21"/>
                <w:highlight w:val="none"/>
                <w:lang w:val="en-US" w:eastAsia="zh-CN"/>
              </w:rPr>
            </w:pPr>
            <w:r>
              <w:rPr>
                <w:rFonts w:hint="default" w:ascii="Times New Roman" w:hAnsi="Times New Roman" w:eastAsia="仿宋_GB2312" w:cs="Times New Roman"/>
                <w:b/>
                <w:bCs/>
                <w:color w:val="auto"/>
                <w:sz w:val="21"/>
                <w:szCs w:val="21"/>
                <w:highlight w:val="none"/>
                <w:lang w:val="en-US" w:eastAsia="zh-CN"/>
              </w:rPr>
              <w:t>100</w:t>
            </w:r>
          </w:p>
        </w:tc>
        <w:tc>
          <w:tcPr>
            <w:tcW w:w="2023" w:type="dxa"/>
            <w:tcBorders>
              <w:top w:val="nil"/>
              <w:left w:val="nil"/>
              <w:bottom w:val="single" w:color="auto" w:sz="4" w:space="0"/>
              <w:right w:val="single" w:color="auto" w:sz="4" w:space="0"/>
            </w:tcBorders>
            <w:shd w:val="clear" w:color="auto" w:fill="auto"/>
            <w:vAlign w:val="center"/>
          </w:tcPr>
          <w:p w14:paraId="164A99C3">
            <w:pPr>
              <w:jc w:val="center"/>
              <w:rPr>
                <w:rFonts w:hint="default" w:ascii="Times New Roman" w:hAnsi="Times New Roman" w:eastAsia="仿宋_GB2312" w:cs="Times New Roman"/>
                <w:b/>
                <w:bCs/>
                <w:color w:val="auto"/>
                <w:sz w:val="21"/>
                <w:szCs w:val="21"/>
                <w:highlight w:val="none"/>
              </w:rPr>
            </w:pPr>
            <w:r>
              <w:rPr>
                <w:rFonts w:hint="default" w:ascii="Times New Roman" w:hAnsi="Times New Roman" w:eastAsia="仿宋_GB2312" w:cs="Times New Roman"/>
                <w:b/>
                <w:bCs/>
                <w:color w:val="auto"/>
                <w:sz w:val="21"/>
                <w:szCs w:val="21"/>
                <w:highlight w:val="none"/>
                <w:lang w:val="en-US" w:eastAsia="zh-CN"/>
              </w:rPr>
              <w:t>100</w:t>
            </w:r>
          </w:p>
        </w:tc>
        <w:tc>
          <w:tcPr>
            <w:tcW w:w="2023" w:type="dxa"/>
            <w:tcBorders>
              <w:top w:val="nil"/>
              <w:left w:val="nil"/>
              <w:bottom w:val="single" w:color="auto" w:sz="4" w:space="0"/>
              <w:right w:val="single" w:color="auto" w:sz="4" w:space="0"/>
            </w:tcBorders>
            <w:shd w:val="clear" w:color="auto" w:fill="auto"/>
            <w:vAlign w:val="center"/>
          </w:tcPr>
          <w:p w14:paraId="53326527">
            <w:pPr>
              <w:jc w:val="center"/>
              <w:rPr>
                <w:rFonts w:hint="default" w:ascii="Times New Roman" w:hAnsi="Times New Roman" w:eastAsia="仿宋_GB2312" w:cs="Times New Roman"/>
                <w:b/>
                <w:bCs/>
                <w:color w:val="auto"/>
                <w:sz w:val="21"/>
                <w:szCs w:val="21"/>
                <w:highlight w:val="none"/>
              </w:rPr>
            </w:pPr>
            <w:r>
              <w:rPr>
                <w:rFonts w:hint="eastAsia" w:eastAsia="仿宋_GB2312" w:cs="Times New Roman"/>
                <w:b/>
                <w:bCs/>
                <w:color w:val="auto"/>
                <w:sz w:val="21"/>
                <w:szCs w:val="21"/>
                <w:highlight w:val="none"/>
                <w:lang w:val="en-US" w:eastAsia="zh-CN"/>
              </w:rPr>
              <w:t>100%</w:t>
            </w:r>
          </w:p>
        </w:tc>
      </w:tr>
    </w:tbl>
    <w:p w14:paraId="41BF57B9">
      <w:pPr>
        <w:spacing w:line="560" w:lineRule="exact"/>
        <w:ind w:firstLine="640" w:firstLineChars="200"/>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四、绩效评价指标分析</w:t>
      </w:r>
    </w:p>
    <w:p w14:paraId="3C478A6D">
      <w:pPr>
        <w:pStyle w:val="10"/>
        <w:spacing w:before="0" w:after="0" w:line="560" w:lineRule="exact"/>
        <w:ind w:firstLine="643" w:firstLineChars="200"/>
        <w:jc w:val="both"/>
        <w:rPr>
          <w:rFonts w:hint="default" w:ascii="Times New Roman" w:hAnsi="Times New Roman" w:eastAsia="楷体_GB2312" w:cs="Times New Roman"/>
          <w:color w:val="auto"/>
          <w:highlight w:val="none"/>
        </w:rPr>
      </w:pPr>
      <w:r>
        <w:rPr>
          <w:rFonts w:hint="default" w:ascii="Times New Roman" w:hAnsi="Times New Roman" w:eastAsia="楷体_GB2312" w:cs="Times New Roman"/>
          <w:color w:val="auto"/>
          <w:highlight w:val="none"/>
        </w:rPr>
        <w:t>（一）项目决策情况</w:t>
      </w:r>
    </w:p>
    <w:p w14:paraId="1EF822FF">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项目决策类指标包括项目立项、绩效目标和资金投入三方面的内容，由6个三级指标构成，权重分值为20分，实际得分</w:t>
      </w:r>
      <w:r>
        <w:rPr>
          <w:rFonts w:hint="eastAsia" w:eastAsia="仿宋_GB2312" w:cs="Times New Roman"/>
          <w:color w:val="auto"/>
          <w:sz w:val="32"/>
          <w:szCs w:val="32"/>
          <w:highlight w:val="none"/>
          <w:lang w:val="en-US" w:eastAsia="zh-CN"/>
        </w:rPr>
        <w:t>20</w:t>
      </w:r>
      <w:r>
        <w:rPr>
          <w:rFonts w:hint="default" w:ascii="Times New Roman" w:hAnsi="Times New Roman" w:eastAsia="仿宋_GB2312" w:cs="Times New Roman"/>
          <w:color w:val="auto"/>
          <w:sz w:val="32"/>
          <w:szCs w:val="32"/>
          <w:highlight w:val="none"/>
          <w:lang w:val="en-US" w:eastAsia="zh-CN"/>
        </w:rPr>
        <w:t>分，得分率为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w:t>
      </w:r>
    </w:p>
    <w:p w14:paraId="600E6AD8">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1.项目立项</w:t>
      </w:r>
    </w:p>
    <w:p w14:paraId="72569978">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（1）立项依据充分性</w:t>
      </w:r>
    </w:p>
    <w:p w14:paraId="7284087E">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该项目立项符合国家相关法律法规</w:t>
      </w:r>
      <w:r>
        <w:rPr>
          <w:rFonts w:hint="default" w:ascii="Times New Roman" w:hAnsi="Times New Roman" w:eastAsia="仿宋_GB2312" w:cs="Times New Roman"/>
          <w:color w:val="auto"/>
          <w:sz w:val="32"/>
          <w:szCs w:val="32"/>
          <w:highlight w:val="none"/>
          <w:lang w:val="en-US" w:eastAsia="zh-CN"/>
        </w:rPr>
        <w:t>及</w:t>
      </w:r>
      <w:r>
        <w:rPr>
          <w:rFonts w:hint="eastAsia" w:ascii="仿宋_GB2312" w:hAnsi="仿宋_GB2312" w:eastAsia="仿宋_GB2312" w:cs="仿宋_GB2312"/>
          <w:b w:val="0"/>
          <w:bCs w:val="0"/>
          <w:i w:val="0"/>
          <w:color w:val="auto"/>
          <w:spacing w:val="0"/>
          <w:w w:val="100"/>
          <w:sz w:val="32"/>
          <w:szCs w:val="32"/>
          <w:lang w:val="en-US" w:eastAsia="zh-CN"/>
        </w:rPr>
        <w:t>《关于拨付奇台江布拉克机场建设项目地方财政配套资金[第二批]的通知》（昌州财建[2023]97号）和《关于拨付奇台江布拉克机场场外供电项目耕地占用税的通知》（奇乡财[2024]59号）</w:t>
      </w:r>
      <w:r>
        <w:rPr>
          <w:rFonts w:hint="eastAsia" w:eastAsia="仿宋_GB2312" w:cs="Times New Roman"/>
          <w:sz w:val="32"/>
          <w:szCs w:val="32"/>
          <w:highlight w:val="none"/>
          <w:lang w:val="en-US" w:eastAsia="zh-CN"/>
        </w:rPr>
        <w:t>要求</w:t>
      </w:r>
      <w:r>
        <w:rPr>
          <w:rFonts w:hint="default" w:ascii="Times New Roman" w:hAnsi="Times New Roman" w:eastAsia="仿宋_GB2312" w:cs="Times New Roman"/>
          <w:sz w:val="32"/>
          <w:szCs w:val="32"/>
          <w:lang w:val="en-US" w:eastAsia="zh-CN"/>
        </w:rPr>
        <w:t>，符合行业规划要求，围绕本年度工作重点和工作计划制定经费预算，属于公共财政支持范围。本项目与部门内部其他相关项目不重复。部门发展规划及职能文件等归档完整。</w:t>
      </w:r>
    </w:p>
    <w:p w14:paraId="709218B3">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（2）立项程序规范性</w:t>
      </w:r>
    </w:p>
    <w:p w14:paraId="5748E32E">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项目申请、设立过程符合相关要求，</w:t>
      </w:r>
      <w:r>
        <w:rPr>
          <w:rFonts w:hint="default" w:ascii="Times New Roman" w:hAnsi="Times New Roman" w:eastAsia="仿宋_GB2312" w:cs="Times New Roman"/>
          <w:sz w:val="32"/>
          <w:szCs w:val="32"/>
          <w:lang w:eastAsia="zh-Hans"/>
        </w:rPr>
        <w:t>严格按照审批流程准备符合要求的文件、材料；</w:t>
      </w:r>
      <w:r>
        <w:rPr>
          <w:rFonts w:hint="default" w:ascii="Times New Roman" w:hAnsi="Times New Roman" w:eastAsia="仿宋_GB2312" w:cs="Times New Roman"/>
          <w:color w:val="auto"/>
          <w:sz w:val="32"/>
          <w:szCs w:val="32"/>
          <w:highlight w:val="none"/>
          <w:lang w:val="en-US" w:eastAsia="zh-CN"/>
        </w:rPr>
        <w:t>根据</w:t>
      </w:r>
      <w:r>
        <w:rPr>
          <w:rFonts w:hint="eastAsia" w:ascii="仿宋_GB2312" w:hAnsi="仿宋_GB2312" w:eastAsia="仿宋_GB2312" w:cs="仿宋_GB2312"/>
          <w:b w:val="0"/>
          <w:bCs w:val="0"/>
          <w:i w:val="0"/>
          <w:color w:val="auto"/>
          <w:spacing w:val="0"/>
          <w:w w:val="100"/>
          <w:sz w:val="32"/>
          <w:szCs w:val="32"/>
          <w:lang w:val="en-US" w:eastAsia="zh-CN"/>
        </w:rPr>
        <w:t>《关于拨付奇台江布拉克机场建设项目地方财政配套资金[第二批]的通知》（昌州财建[2023]97号）和《关于拨付奇台江布拉克机场场外供电项目耕地占用税的通知》（奇乡财[2024]59号）</w:t>
      </w:r>
      <w:r>
        <w:rPr>
          <w:rFonts w:hint="default" w:ascii="Times New Roman" w:hAnsi="Times New Roman" w:eastAsia="仿宋_GB2312" w:cs="Times New Roman"/>
          <w:color w:val="auto"/>
          <w:sz w:val="32"/>
          <w:szCs w:val="32"/>
          <w:highlight w:val="none"/>
          <w:lang w:val="en-US" w:eastAsia="zh-CN"/>
        </w:rPr>
        <w:t>依据编制工作计划和经费预算，经过与部门项目分管领导沟通、筛选确定经费预算计划，确定最终预算方案。项目的审批文件、材料符合相关要求，项目事前经过必要的绩效评估，</w:t>
      </w:r>
      <w:r>
        <w:rPr>
          <w:rFonts w:hint="default" w:ascii="Times New Roman" w:hAnsi="Times New Roman" w:eastAsia="仿宋_GB2312" w:cs="Times New Roman"/>
          <w:sz w:val="32"/>
          <w:szCs w:val="32"/>
          <w:lang w:val="en-US" w:eastAsia="zh-CN"/>
        </w:rPr>
        <w:t>保障了程序的规范性。</w:t>
      </w:r>
    </w:p>
    <w:p w14:paraId="0E59E37B">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2.绩效目标</w:t>
      </w:r>
    </w:p>
    <w:p w14:paraId="193AC8BF">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（1）绩效目标合理性</w:t>
      </w:r>
    </w:p>
    <w:p w14:paraId="028A9086">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Hans"/>
        </w:rPr>
        <w:t>年初结合实际工作内容</w:t>
      </w:r>
      <w:r>
        <w:rPr>
          <w:rFonts w:hint="default" w:ascii="Times New Roman" w:hAnsi="Times New Roman" w:eastAsia="仿宋_GB2312" w:cs="Times New Roman"/>
          <w:sz w:val="32"/>
          <w:szCs w:val="32"/>
          <w:lang w:val="en-US" w:eastAsia="zh-CN"/>
        </w:rPr>
        <w:t>设定绩效目标</w:t>
      </w:r>
      <w:r>
        <w:rPr>
          <w:rFonts w:hint="default" w:ascii="Times New Roman" w:hAnsi="Times New Roman" w:eastAsia="仿宋_GB2312" w:cs="Times New Roman"/>
          <w:sz w:val="32"/>
          <w:szCs w:val="32"/>
          <w:lang w:val="en-US" w:eastAsia="zh-Hans"/>
        </w:rPr>
        <w:t>，绩效目标</w:t>
      </w:r>
      <w:r>
        <w:rPr>
          <w:rFonts w:hint="default" w:ascii="Times New Roman" w:hAnsi="Times New Roman" w:eastAsia="仿宋_GB2312" w:cs="Times New Roman"/>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04D2CCB4">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（2）绩效指标明确性</w:t>
      </w:r>
    </w:p>
    <w:p w14:paraId="4271714B">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项目设置了明确的预期产出效益和效果，将绩效目标细化分解为具体的绩效指标，绩效目标与项目目标任务数相对应，绩效目标设定的绩效指标清晰、细化、可衡量。</w:t>
      </w:r>
    </w:p>
    <w:p w14:paraId="5600B62F">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3.资金投入</w:t>
      </w:r>
    </w:p>
    <w:p w14:paraId="2E1123DC">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（1）预算编制科学性</w:t>
      </w:r>
    </w:p>
    <w:p w14:paraId="3FD51C7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14:paraId="732CD6D9">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在预算编制过程中，</w:t>
      </w:r>
      <w:r>
        <w:rPr>
          <w:rFonts w:hint="default" w:ascii="Times New Roman" w:hAnsi="Times New Roman" w:eastAsia="仿宋_GB2312" w:cs="Times New Roman"/>
          <w:color w:val="auto"/>
          <w:sz w:val="32"/>
          <w:szCs w:val="32"/>
          <w:highlight w:val="none"/>
          <w:lang w:val="en-US" w:eastAsia="zh-CN"/>
        </w:rPr>
        <w:t>还</w:t>
      </w:r>
      <w:r>
        <w:rPr>
          <w:rFonts w:hint="default" w:ascii="Times New Roman" w:hAnsi="Times New Roman" w:eastAsia="仿宋_GB2312" w:cs="Times New Roman"/>
          <w:color w:val="auto"/>
          <w:sz w:val="32"/>
          <w:szCs w:val="32"/>
          <w:highlight w:val="none"/>
          <w:lang w:eastAsia="zh-CN"/>
        </w:rPr>
        <w:t>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14:paraId="2CB74FE8">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（2）资金分配合理性</w:t>
      </w:r>
    </w:p>
    <w:p w14:paraId="05937C6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本项目的资金分配遵循了公平、公正、透明的原则，确保了项目资源的合理配置与高效利用。在资金分配过程中，我们充分考虑了项目的实际需求与目标，对不同阶段、不同任务的资金进行了科学的规划与安排。</w:t>
      </w:r>
    </w:p>
    <w:p w14:paraId="664E352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14:paraId="5579067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026B55A8">
      <w:pPr>
        <w:pStyle w:val="10"/>
        <w:numPr>
          <w:ilvl w:val="0"/>
          <w:numId w:val="5"/>
        </w:numPr>
        <w:spacing w:before="0" w:after="0" w:line="560" w:lineRule="exact"/>
        <w:ind w:firstLine="643" w:firstLineChars="200"/>
        <w:jc w:val="both"/>
        <w:rPr>
          <w:rFonts w:hint="default" w:ascii="Times New Roman" w:hAnsi="Times New Roman" w:eastAsia="楷体" w:cs="Times New Roman"/>
          <w:color w:val="auto"/>
          <w:highlight w:val="none"/>
        </w:rPr>
      </w:pPr>
      <w:r>
        <w:rPr>
          <w:rFonts w:hint="default" w:ascii="Times New Roman" w:hAnsi="Times New Roman" w:eastAsia="楷体" w:cs="Times New Roman"/>
          <w:color w:val="auto"/>
          <w:highlight w:val="none"/>
        </w:rPr>
        <w:t>项目过程情况</w:t>
      </w:r>
    </w:p>
    <w:p w14:paraId="1FBFE742">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项目过程类指标包括资金管理和组织实施两方面的内容，由5个三级指标构成，权重分值为20分，实际得分</w:t>
      </w:r>
      <w:r>
        <w:rPr>
          <w:rFonts w:hint="eastAsia" w:eastAsia="仿宋_GB2312" w:cs="Times New Roman"/>
          <w:color w:val="auto"/>
          <w:sz w:val="32"/>
          <w:szCs w:val="32"/>
          <w:highlight w:val="none"/>
          <w:lang w:val="en-US" w:eastAsia="zh-CN"/>
        </w:rPr>
        <w:t>20</w:t>
      </w:r>
      <w:r>
        <w:rPr>
          <w:rFonts w:hint="default" w:ascii="Times New Roman" w:hAnsi="Times New Roman" w:eastAsia="仿宋_GB2312" w:cs="Times New Roman"/>
          <w:color w:val="auto"/>
          <w:sz w:val="32"/>
          <w:szCs w:val="32"/>
          <w:highlight w:val="none"/>
          <w:lang w:val="en-US" w:eastAsia="zh-CN"/>
        </w:rPr>
        <w:t>分，得分率为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w:t>
      </w:r>
    </w:p>
    <w:p w14:paraId="02901F7E">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1.资金管理</w:t>
      </w:r>
    </w:p>
    <w:p w14:paraId="217036EF">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（1）资金到位率</w:t>
      </w:r>
    </w:p>
    <w:p w14:paraId="72406C5C">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本项目总投资</w:t>
      </w:r>
      <w:r>
        <w:rPr>
          <w:rFonts w:hint="eastAsia" w:eastAsia="仿宋_GB2312" w:cs="Times New Roman"/>
          <w:color w:val="auto"/>
          <w:sz w:val="32"/>
          <w:szCs w:val="32"/>
          <w:highlight w:val="none"/>
          <w:lang w:val="en-US" w:eastAsia="zh-CN"/>
        </w:rPr>
        <w:t>919.42</w:t>
      </w:r>
      <w:r>
        <w:rPr>
          <w:rFonts w:hint="default" w:ascii="Times New Roman" w:hAnsi="Times New Roman" w:eastAsia="仿宋_GB2312" w:cs="Times New Roman"/>
          <w:color w:val="auto"/>
          <w:sz w:val="32"/>
          <w:szCs w:val="32"/>
          <w:highlight w:val="none"/>
          <w:lang w:val="en-US" w:eastAsia="zh-CN"/>
        </w:rPr>
        <w:t>万元，财政资金及时足额到位，到位率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%，预算资金按计划进度执行。</w:t>
      </w:r>
    </w:p>
    <w:p w14:paraId="4F44AB52">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（2）预算执行率</w:t>
      </w:r>
    </w:p>
    <w:p w14:paraId="5ED82A6E">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预算编制较为详细，项目资金支出总体能够按照预算执行，预算资金支出</w:t>
      </w:r>
      <w:r>
        <w:rPr>
          <w:rFonts w:hint="eastAsia" w:eastAsia="仿宋_GB2312" w:cs="Times New Roman"/>
          <w:color w:val="auto"/>
          <w:sz w:val="32"/>
          <w:szCs w:val="32"/>
          <w:highlight w:val="none"/>
          <w:lang w:val="en-US" w:eastAsia="zh-CN"/>
        </w:rPr>
        <w:t>919.42</w:t>
      </w:r>
      <w:r>
        <w:rPr>
          <w:rFonts w:hint="default" w:ascii="Times New Roman" w:hAnsi="Times New Roman" w:eastAsia="仿宋_GB2312" w:cs="Times New Roman"/>
          <w:color w:val="auto"/>
          <w:sz w:val="32"/>
          <w:szCs w:val="32"/>
          <w:highlight w:val="none"/>
          <w:lang w:val="en-US" w:eastAsia="zh-CN"/>
        </w:rPr>
        <w:t>万元，预算执行率为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w:t>
      </w:r>
    </w:p>
    <w:p w14:paraId="69150B80">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（3）资金使用合规性</w:t>
      </w:r>
    </w:p>
    <w:p w14:paraId="6040EF4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本项目的资金使用严格遵循了</w:t>
      </w:r>
      <w:r>
        <w:rPr>
          <w:rFonts w:hint="eastAsia" w:eastAsia="仿宋_GB2312" w:cs="Times New Roman"/>
          <w:color w:val="auto"/>
          <w:sz w:val="32"/>
          <w:szCs w:val="32"/>
          <w:highlight w:val="none"/>
          <w:lang w:val="en-US" w:eastAsia="zh-CN"/>
        </w:rPr>
        <w:t>《政府投资条例》、《新疆维吾尔自治区政府投资项目后评价管理办法（试行）》等相关管理制度</w:t>
      </w:r>
      <w:r>
        <w:rPr>
          <w:rFonts w:hint="default" w:ascii="Times New Roman" w:hAnsi="Times New Roman" w:eastAsia="仿宋_GB2312" w:cs="Times New Roman"/>
          <w:color w:val="auto"/>
          <w:sz w:val="32"/>
          <w:szCs w:val="32"/>
          <w:highlight w:val="none"/>
          <w:lang w:eastAsia="zh-CN"/>
        </w:rPr>
        <w:t>，确保了资金的合规性与安全性。在资金使用过程中，我们建立了完善的财务管理体系，对资金的流动进行了全程监控与记录。</w:t>
      </w:r>
    </w:p>
    <w:p w14:paraId="789253E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14:paraId="2C8A6E8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14:paraId="281ED9AA">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2.组织实施</w:t>
      </w:r>
    </w:p>
    <w:p w14:paraId="541332B5">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（1）管理制度健全性</w:t>
      </w:r>
    </w:p>
    <w:p w14:paraId="61A446C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本项目拥有一套完善、健全的管理制度体系，</w:t>
      </w:r>
      <w:r>
        <w:rPr>
          <w:rFonts w:hint="eastAsia" w:eastAsia="仿宋_GB2312" w:cs="Times New Roman"/>
          <w:color w:val="auto"/>
          <w:sz w:val="32"/>
          <w:szCs w:val="32"/>
          <w:highlight w:val="none"/>
          <w:lang w:val="en-US" w:eastAsia="zh-CN"/>
        </w:rPr>
        <w:t>严格落实《政府投资项目管理办法》，有效发挥政府投资效益，保证工程质量，控制工程造价，坚强管理监督，提高投资效益。</w:t>
      </w:r>
      <w:r>
        <w:rPr>
          <w:rFonts w:hint="default" w:ascii="Times New Roman" w:hAnsi="Times New Roman" w:eastAsia="仿宋_GB2312" w:cs="Times New Roman"/>
          <w:color w:val="auto"/>
          <w:sz w:val="32"/>
          <w:szCs w:val="32"/>
          <w:highlight w:val="none"/>
          <w:lang w:eastAsia="zh-CN"/>
        </w:rPr>
        <w:t>为项目的成功实施提供了坚实的制度保障。项目管理制度的制定紧密结合了项目的特点与实际情况，涵盖了项目的策划、组织、实施、监控与收尾等各个环节。</w:t>
      </w:r>
    </w:p>
    <w:p w14:paraId="4E902E7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在制度设计上，我们注重了制度的科学性与可操作性，确保制度能够切实指导项目的执行与管理。</w:t>
      </w:r>
    </w:p>
    <w:p w14:paraId="03F3E1D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14:paraId="092595DC">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综上所述，本项目的管理制度是健全的、有效的，既符合项目的实际情况，又满足了项目管理的需要。管理制度的健全性为项目的成功实施提供了有力的保障，也为项目的绩效评价奠定了坚实的基础。</w:t>
      </w:r>
    </w:p>
    <w:p w14:paraId="576C911D">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（2）制度执行有效性</w:t>
      </w:r>
    </w:p>
    <w:p w14:paraId="497761D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本项目在执行过程中，管理制度得到了全面、有效的落实，为确保项目的顺利实施与目标实现提供了坚实的保障。项目</w:t>
      </w:r>
      <w:r>
        <w:rPr>
          <w:rFonts w:hint="default" w:ascii="Times New Roman" w:hAnsi="Times New Roman" w:eastAsia="仿宋_GB2312" w:cs="Times New Roman"/>
          <w:color w:val="auto"/>
          <w:sz w:val="32"/>
          <w:szCs w:val="32"/>
          <w:highlight w:val="none"/>
          <w:lang w:val="en-US" w:eastAsia="zh-CN"/>
        </w:rPr>
        <w:t>单位</w:t>
      </w:r>
      <w:r>
        <w:rPr>
          <w:rFonts w:hint="default" w:ascii="Times New Roman" w:hAnsi="Times New Roman" w:eastAsia="仿宋_GB2312" w:cs="Times New Roman"/>
          <w:color w:val="auto"/>
          <w:sz w:val="32"/>
          <w:szCs w:val="32"/>
          <w:highlight w:val="none"/>
          <w:lang w:eastAsia="zh-CN"/>
        </w:rPr>
        <w:t>重视制度执行的重要性，通过明确责任分工、制定详细执行计划、加强监督考核等措施，确保了各项管理制度能够得到有效执行。</w:t>
      </w:r>
    </w:p>
    <w:p w14:paraId="41DE632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在具体执行过程中，项目团队成员严格按照制度要求进行操作。同时，我们还建立了有效的沟通机制与反馈机制，确保项目信息的及时传递与问题的及时解决，进一步提高了制度执行的效率与效果。</w:t>
      </w:r>
    </w:p>
    <w:p w14:paraId="2735358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eastAsia="zh-CN"/>
        </w:rPr>
        <w:t>综上所述，本项目的管理制度在执行过程中表现出了高度的有效性，既确保了项目的顺利进行，又实现了项目目标的有效达成。</w:t>
      </w:r>
    </w:p>
    <w:p w14:paraId="136C3D6C">
      <w:pPr>
        <w:pStyle w:val="12"/>
        <w:numPr>
          <w:ilvl w:val="0"/>
          <w:numId w:val="5"/>
        </w:numPr>
        <w:spacing w:line="560" w:lineRule="exact"/>
        <w:ind w:firstLine="643"/>
        <w:rPr>
          <w:rFonts w:hint="default" w:ascii="Times New Roman" w:hAnsi="Times New Roman" w:eastAsia="楷体_GB2312" w:cs="Times New Roman"/>
          <w:b/>
          <w:bCs/>
          <w:color w:val="auto"/>
          <w:sz w:val="32"/>
          <w:szCs w:val="32"/>
          <w:highlight w:val="none"/>
        </w:rPr>
      </w:pPr>
      <w:r>
        <w:rPr>
          <w:rFonts w:hint="default" w:ascii="Times New Roman" w:hAnsi="Times New Roman" w:eastAsia="楷体_GB2312" w:cs="Times New Roman"/>
          <w:b/>
          <w:bCs/>
          <w:color w:val="auto"/>
          <w:sz w:val="32"/>
          <w:szCs w:val="32"/>
          <w:highlight w:val="none"/>
        </w:rPr>
        <w:t>项目产出</w:t>
      </w:r>
      <w:r>
        <w:rPr>
          <w:rFonts w:hint="default" w:ascii="Times New Roman" w:hAnsi="Times New Roman" w:eastAsia="楷体_GB2312" w:cs="Times New Roman"/>
          <w:b/>
          <w:bCs/>
          <w:color w:val="auto"/>
          <w:sz w:val="32"/>
          <w:szCs w:val="32"/>
          <w:highlight w:val="none"/>
          <w:lang w:val="en-US" w:eastAsia="zh-CN"/>
        </w:rPr>
        <w:t>情况</w:t>
      </w:r>
    </w:p>
    <w:p w14:paraId="683FE4CB">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项目产出类指标包括产出数量、产出质量、产出时效、产出成本四方面的内容，由</w:t>
      </w:r>
      <w:r>
        <w:rPr>
          <w:rFonts w:hint="eastAsia" w:eastAsia="仿宋_GB2312" w:cs="Times New Roman"/>
          <w:color w:val="auto"/>
          <w:sz w:val="32"/>
          <w:szCs w:val="32"/>
          <w:highlight w:val="none"/>
          <w:lang w:val="en-US" w:eastAsia="zh-CN"/>
        </w:rPr>
        <w:t>6</w:t>
      </w:r>
      <w:r>
        <w:rPr>
          <w:rFonts w:hint="default" w:ascii="Times New Roman" w:hAnsi="Times New Roman" w:eastAsia="仿宋_GB2312" w:cs="Times New Roman"/>
          <w:color w:val="auto"/>
          <w:sz w:val="32"/>
          <w:szCs w:val="32"/>
          <w:highlight w:val="none"/>
          <w:lang w:val="en-US" w:eastAsia="zh-CN"/>
        </w:rPr>
        <w:t>个三级指标构成，权重分为40分，实际得分</w:t>
      </w:r>
      <w:r>
        <w:rPr>
          <w:rFonts w:hint="eastAsia" w:eastAsia="仿宋_GB2312" w:cs="Times New Roman"/>
          <w:color w:val="auto"/>
          <w:sz w:val="32"/>
          <w:szCs w:val="32"/>
          <w:highlight w:val="none"/>
          <w:lang w:val="en-US" w:eastAsia="zh-CN"/>
        </w:rPr>
        <w:t>60</w:t>
      </w:r>
      <w:r>
        <w:rPr>
          <w:rFonts w:hint="default" w:ascii="Times New Roman" w:hAnsi="Times New Roman" w:eastAsia="仿宋_GB2312" w:cs="Times New Roman"/>
          <w:color w:val="auto"/>
          <w:sz w:val="32"/>
          <w:szCs w:val="32"/>
          <w:highlight w:val="none"/>
          <w:lang w:val="en-US" w:eastAsia="zh-CN"/>
        </w:rPr>
        <w:t>分，得分率为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%。具体产出指标完成情况如下：</w:t>
      </w:r>
    </w:p>
    <w:p w14:paraId="2357C18D">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 1 \* GB3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rPr>
        <w:t>①</w:t>
      </w:r>
      <w:r>
        <w:rPr>
          <w:rFonts w:hint="default" w:ascii="Times New Roman" w:hAnsi="Times New Roman" w:eastAsia="仿宋_GB2312" w:cs="Times New Roman"/>
          <w:color w:val="auto"/>
          <w:sz w:val="32"/>
          <w:szCs w:val="32"/>
          <w:highlight w:val="none"/>
        </w:rPr>
        <w:fldChar w:fldCharType="end"/>
      </w:r>
      <w:r>
        <w:rPr>
          <w:rFonts w:hint="default" w:ascii="Times New Roman" w:hAnsi="Times New Roman" w:eastAsia="仿宋_GB2312" w:cs="Times New Roman"/>
          <w:color w:val="auto"/>
          <w:sz w:val="32"/>
          <w:szCs w:val="32"/>
          <w:highlight w:val="none"/>
        </w:rPr>
        <w:t>数量指标：</w:t>
      </w:r>
    </w:p>
    <w:p w14:paraId="6AF8EC61">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指标1：输变电线路总条数，指标值：=2条，实际完成值：2条，指标完成率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eastAsia="zh-CN"/>
        </w:rPr>
        <w:t>。</w:t>
      </w:r>
    </w:p>
    <w:p w14:paraId="794B357F">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 2 \* GB3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rPr>
        <w:t>②</w:t>
      </w:r>
      <w:r>
        <w:rPr>
          <w:rFonts w:hint="default" w:ascii="Times New Roman" w:hAnsi="Times New Roman" w:eastAsia="仿宋_GB2312" w:cs="Times New Roman"/>
          <w:color w:val="auto"/>
          <w:sz w:val="32"/>
          <w:szCs w:val="32"/>
          <w:highlight w:val="none"/>
        </w:rPr>
        <w:fldChar w:fldCharType="end"/>
      </w:r>
      <w:r>
        <w:rPr>
          <w:rFonts w:hint="default" w:ascii="Times New Roman" w:hAnsi="Times New Roman" w:eastAsia="仿宋_GB2312" w:cs="Times New Roman"/>
          <w:color w:val="auto"/>
          <w:sz w:val="32"/>
          <w:szCs w:val="32"/>
          <w:highlight w:val="none"/>
        </w:rPr>
        <w:t>质量指标：</w:t>
      </w:r>
    </w:p>
    <w:p w14:paraId="0841753E">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指标1：</w:t>
      </w:r>
      <w:r>
        <w:rPr>
          <w:rFonts w:hint="eastAsia" w:eastAsia="仿宋_GB2312" w:cs="Times New Roman"/>
          <w:color w:val="auto"/>
          <w:sz w:val="32"/>
          <w:szCs w:val="32"/>
          <w:highlight w:val="none"/>
          <w:lang w:val="en-US" w:eastAsia="zh-CN"/>
        </w:rPr>
        <w:t>工程竣工验收合格率</w:t>
      </w:r>
      <w:r>
        <w:rPr>
          <w:rFonts w:hint="default" w:ascii="Times New Roman" w:hAnsi="Times New Roman" w:eastAsia="仿宋_GB2312" w:cs="Times New Roman"/>
          <w:color w:val="auto"/>
          <w:sz w:val="32"/>
          <w:szCs w:val="32"/>
          <w:highlight w:val="none"/>
        </w:rPr>
        <w:t>，指标值：=</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，实际完成值：</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eastAsia="zh-CN"/>
        </w:rPr>
        <w:t>。</w:t>
      </w:r>
    </w:p>
    <w:p w14:paraId="48611EC0">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 3 \* GB3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rPr>
        <w:t>③</w:t>
      </w:r>
      <w:r>
        <w:rPr>
          <w:rFonts w:hint="default" w:ascii="Times New Roman" w:hAnsi="Times New Roman" w:eastAsia="仿宋_GB2312" w:cs="Times New Roman"/>
          <w:color w:val="auto"/>
          <w:sz w:val="32"/>
          <w:szCs w:val="32"/>
          <w:highlight w:val="none"/>
        </w:rPr>
        <w:fldChar w:fldCharType="end"/>
      </w:r>
      <w:r>
        <w:rPr>
          <w:rFonts w:hint="default" w:ascii="Times New Roman" w:hAnsi="Times New Roman" w:eastAsia="仿宋_GB2312" w:cs="Times New Roman"/>
          <w:color w:val="auto"/>
          <w:sz w:val="32"/>
          <w:szCs w:val="32"/>
          <w:highlight w:val="none"/>
        </w:rPr>
        <w:t>时效指标：</w:t>
      </w:r>
    </w:p>
    <w:p w14:paraId="56E2EA1D">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指标1：</w:t>
      </w:r>
      <w:r>
        <w:rPr>
          <w:rFonts w:hint="eastAsia" w:eastAsia="仿宋_GB2312" w:cs="Times New Roman"/>
          <w:color w:val="auto"/>
          <w:sz w:val="32"/>
          <w:szCs w:val="32"/>
          <w:highlight w:val="none"/>
          <w:lang w:val="en-US" w:eastAsia="zh-CN"/>
        </w:rPr>
        <w:t>工程开工时间</w:t>
      </w:r>
      <w:r>
        <w:rPr>
          <w:rFonts w:hint="default" w:ascii="Times New Roman" w:hAnsi="Times New Roman" w:eastAsia="仿宋_GB2312" w:cs="Times New Roman"/>
          <w:color w:val="auto"/>
          <w:sz w:val="32"/>
          <w:szCs w:val="32"/>
          <w:highlight w:val="none"/>
        </w:rPr>
        <w:t>，指标值：</w:t>
      </w:r>
      <w:r>
        <w:rPr>
          <w:rFonts w:hint="eastAsia" w:eastAsia="仿宋_GB2312" w:cs="Times New Roman"/>
          <w:color w:val="auto"/>
          <w:sz w:val="32"/>
          <w:szCs w:val="32"/>
          <w:highlight w:val="none"/>
          <w:lang w:val="en-US" w:eastAsia="zh-CN"/>
        </w:rPr>
        <w:t>=2023年8月</w:t>
      </w:r>
      <w:r>
        <w:rPr>
          <w:rFonts w:hint="default" w:ascii="Times New Roman" w:hAnsi="Times New Roman" w:eastAsia="仿宋_GB2312" w:cs="Times New Roman"/>
          <w:color w:val="auto"/>
          <w:sz w:val="32"/>
          <w:szCs w:val="32"/>
          <w:highlight w:val="none"/>
        </w:rPr>
        <w:t>，实际完成值：</w:t>
      </w:r>
      <w:bookmarkStart w:id="5" w:name="_GoBack"/>
      <w:bookmarkEnd w:id="5"/>
      <w:r>
        <w:rPr>
          <w:rFonts w:hint="eastAsia" w:eastAsia="仿宋_GB2312" w:cs="Times New Roman"/>
          <w:color w:val="auto"/>
          <w:sz w:val="32"/>
          <w:szCs w:val="32"/>
          <w:highlight w:val="none"/>
          <w:lang w:val="en-US" w:eastAsia="zh-CN"/>
        </w:rPr>
        <w:t>2023年8月</w:t>
      </w:r>
      <w:r>
        <w:rPr>
          <w:rFonts w:hint="default" w:ascii="Times New Roman" w:hAnsi="Times New Roman" w:eastAsia="仿宋_GB2312" w:cs="Times New Roman"/>
          <w:color w:val="auto"/>
          <w:sz w:val="32"/>
          <w:szCs w:val="32"/>
          <w:highlight w:val="none"/>
        </w:rPr>
        <w:t>，指标完成率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eastAsia="zh-CN"/>
        </w:rPr>
        <w:t>。</w:t>
      </w:r>
    </w:p>
    <w:p w14:paraId="1739E8EA">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指标</w:t>
      </w:r>
      <w:r>
        <w:rPr>
          <w:rFonts w:hint="eastAsia"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工程竣工时间</w:t>
      </w:r>
      <w:r>
        <w:rPr>
          <w:rFonts w:hint="default" w:ascii="Times New Roman" w:hAnsi="Times New Roman" w:eastAsia="仿宋_GB2312" w:cs="Times New Roman"/>
          <w:color w:val="auto"/>
          <w:sz w:val="32"/>
          <w:szCs w:val="32"/>
          <w:highlight w:val="none"/>
        </w:rPr>
        <w:t>，指标值：</w:t>
      </w:r>
      <w:r>
        <w:rPr>
          <w:rFonts w:hint="eastAsia" w:eastAsia="仿宋_GB2312" w:cs="Times New Roman"/>
          <w:color w:val="auto"/>
          <w:sz w:val="32"/>
          <w:szCs w:val="32"/>
          <w:highlight w:val="none"/>
          <w:lang w:val="en-US" w:eastAsia="zh-CN"/>
        </w:rPr>
        <w:t>=2024年4月</w:t>
      </w:r>
      <w:r>
        <w:rPr>
          <w:rFonts w:hint="default" w:ascii="Times New Roman" w:hAnsi="Times New Roman" w:eastAsia="仿宋_GB2312" w:cs="Times New Roman"/>
          <w:color w:val="auto"/>
          <w:sz w:val="32"/>
          <w:szCs w:val="32"/>
          <w:highlight w:val="none"/>
        </w:rPr>
        <w:t>，实际完成值：</w:t>
      </w:r>
      <w:r>
        <w:rPr>
          <w:rFonts w:hint="eastAsia" w:eastAsia="仿宋_GB2312" w:cs="Times New Roman"/>
          <w:color w:val="auto"/>
          <w:sz w:val="32"/>
          <w:szCs w:val="32"/>
          <w:highlight w:val="none"/>
          <w:lang w:val="en-US" w:eastAsia="zh-CN"/>
        </w:rPr>
        <w:t>2024年4月</w:t>
      </w:r>
      <w:r>
        <w:rPr>
          <w:rFonts w:hint="default" w:ascii="Times New Roman" w:hAnsi="Times New Roman" w:eastAsia="仿宋_GB2312" w:cs="Times New Roman"/>
          <w:color w:val="auto"/>
          <w:sz w:val="32"/>
          <w:szCs w:val="32"/>
          <w:highlight w:val="none"/>
        </w:rPr>
        <w:t>，指标完成率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 xml:space="preserve"> %</w:t>
      </w:r>
      <w:r>
        <w:rPr>
          <w:rFonts w:hint="eastAsia" w:eastAsia="仿宋_GB2312" w:cs="Times New Roman"/>
          <w:color w:val="auto"/>
          <w:sz w:val="32"/>
          <w:szCs w:val="32"/>
          <w:highlight w:val="none"/>
          <w:lang w:eastAsia="zh-CN"/>
        </w:rPr>
        <w:t>。</w:t>
      </w:r>
    </w:p>
    <w:p w14:paraId="03E9AB65">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p>
    <w:p w14:paraId="5A982F92">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 4 \* GB3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rPr>
        <w:t>④</w:t>
      </w:r>
      <w:r>
        <w:rPr>
          <w:rFonts w:hint="default" w:ascii="Times New Roman" w:hAnsi="Times New Roman" w:eastAsia="仿宋_GB2312" w:cs="Times New Roman"/>
          <w:color w:val="auto"/>
          <w:sz w:val="32"/>
          <w:szCs w:val="32"/>
          <w:highlight w:val="none"/>
        </w:rPr>
        <w:fldChar w:fldCharType="end"/>
      </w:r>
      <w:r>
        <w:rPr>
          <w:rFonts w:hint="default" w:ascii="Times New Roman" w:hAnsi="Times New Roman" w:eastAsia="仿宋_GB2312" w:cs="Times New Roman"/>
          <w:color w:val="auto"/>
          <w:sz w:val="32"/>
          <w:szCs w:val="32"/>
          <w:highlight w:val="none"/>
        </w:rPr>
        <w:t>成本指标：</w:t>
      </w:r>
    </w:p>
    <w:p w14:paraId="6CED434A">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指标1：</w:t>
      </w:r>
      <w:r>
        <w:rPr>
          <w:rFonts w:hint="eastAsia" w:eastAsia="仿宋_GB2312" w:cs="Times New Roman"/>
          <w:color w:val="auto"/>
          <w:sz w:val="32"/>
          <w:szCs w:val="32"/>
          <w:highlight w:val="none"/>
          <w:lang w:val="en-US" w:eastAsia="zh-CN"/>
        </w:rPr>
        <w:t>项目预算控制率</w:t>
      </w:r>
      <w:r>
        <w:rPr>
          <w:rFonts w:hint="default" w:ascii="Times New Roman" w:hAnsi="Times New Roman" w:eastAsia="仿宋_GB2312" w:cs="Times New Roman"/>
          <w:color w:val="auto"/>
          <w:sz w:val="32"/>
          <w:szCs w:val="32"/>
          <w:highlight w:val="none"/>
        </w:rPr>
        <w:t>，指标值：</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，实际完成值：</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 xml:space="preserve"> %</w:t>
      </w:r>
      <w:r>
        <w:rPr>
          <w:rFonts w:hint="eastAsia" w:eastAsia="仿宋_GB2312" w:cs="Times New Roman"/>
          <w:color w:val="auto"/>
          <w:sz w:val="32"/>
          <w:szCs w:val="32"/>
          <w:highlight w:val="none"/>
          <w:lang w:eastAsia="zh-CN"/>
        </w:rPr>
        <w:t>。</w:t>
      </w:r>
    </w:p>
    <w:p w14:paraId="1354C63C">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指标</w:t>
      </w:r>
      <w:r>
        <w:rPr>
          <w:rFonts w:hint="eastAsia"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资金支付笔数</w:t>
      </w:r>
      <w:r>
        <w:rPr>
          <w:rFonts w:hint="default" w:ascii="Times New Roman" w:hAnsi="Times New Roman" w:eastAsia="仿宋_GB2312" w:cs="Times New Roman"/>
          <w:color w:val="auto"/>
          <w:sz w:val="32"/>
          <w:szCs w:val="32"/>
          <w:highlight w:val="none"/>
        </w:rPr>
        <w:t>，指标值：</w:t>
      </w:r>
      <w:r>
        <w:rPr>
          <w:rFonts w:hint="eastAsia" w:eastAsia="仿宋_GB2312" w:cs="Times New Roman"/>
          <w:color w:val="auto"/>
          <w:sz w:val="32"/>
          <w:szCs w:val="32"/>
          <w:highlight w:val="none"/>
          <w:lang w:val="en-US" w:eastAsia="zh-CN"/>
        </w:rPr>
        <w:t>=15笔</w:t>
      </w:r>
      <w:r>
        <w:rPr>
          <w:rFonts w:hint="default" w:ascii="Times New Roman" w:hAnsi="Times New Roman" w:eastAsia="仿宋_GB2312" w:cs="Times New Roman"/>
          <w:color w:val="auto"/>
          <w:sz w:val="32"/>
          <w:szCs w:val="32"/>
          <w:highlight w:val="none"/>
        </w:rPr>
        <w:t>，实际完成值：</w:t>
      </w:r>
      <w:r>
        <w:rPr>
          <w:rFonts w:hint="eastAsia" w:eastAsia="仿宋_GB2312" w:cs="Times New Roman"/>
          <w:color w:val="auto"/>
          <w:sz w:val="32"/>
          <w:szCs w:val="32"/>
          <w:highlight w:val="none"/>
          <w:lang w:val="en-US" w:eastAsia="zh-CN"/>
        </w:rPr>
        <w:t>15笔</w:t>
      </w:r>
      <w:r>
        <w:rPr>
          <w:rFonts w:hint="default" w:ascii="Times New Roman" w:hAnsi="Times New Roman" w:eastAsia="仿宋_GB2312" w:cs="Times New Roman"/>
          <w:color w:val="auto"/>
          <w:sz w:val="32"/>
          <w:szCs w:val="32"/>
          <w:highlight w:val="none"/>
        </w:rPr>
        <w:t>，指标完成率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 xml:space="preserve"> %</w:t>
      </w:r>
      <w:r>
        <w:rPr>
          <w:rFonts w:hint="eastAsia"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w:t>
      </w:r>
    </w:p>
    <w:p w14:paraId="4D3AF03D">
      <w:pPr>
        <w:pStyle w:val="12"/>
        <w:numPr>
          <w:ilvl w:val="0"/>
          <w:numId w:val="5"/>
        </w:numPr>
        <w:spacing w:line="560" w:lineRule="exact"/>
        <w:ind w:firstLine="643"/>
        <w:rPr>
          <w:rFonts w:hint="default" w:ascii="Times New Roman" w:hAnsi="Times New Roman" w:eastAsia="楷体_GB2312" w:cs="Times New Roman"/>
          <w:b/>
          <w:bCs/>
          <w:color w:val="auto"/>
          <w:sz w:val="32"/>
          <w:szCs w:val="32"/>
          <w:highlight w:val="none"/>
          <w:lang w:val="en-US" w:eastAsia="zh-CN"/>
        </w:rPr>
      </w:pPr>
      <w:r>
        <w:rPr>
          <w:rFonts w:hint="default" w:ascii="Times New Roman" w:hAnsi="Times New Roman" w:eastAsia="楷体_GB2312" w:cs="Times New Roman"/>
          <w:b/>
          <w:bCs/>
          <w:color w:val="auto"/>
          <w:sz w:val="32"/>
          <w:szCs w:val="32"/>
          <w:highlight w:val="none"/>
          <w:lang w:val="en-US" w:eastAsia="zh-CN"/>
        </w:rPr>
        <w:t>项目效益情况</w:t>
      </w:r>
    </w:p>
    <w:p w14:paraId="199A4D0A">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项目效益类指标包括项目实施效益和满意度两方面的内容，由</w:t>
      </w:r>
      <w:r>
        <w:rPr>
          <w:rFonts w:hint="eastAsia"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lang w:val="en-US" w:eastAsia="zh-CN"/>
        </w:rPr>
        <w:t>个三级指标构成，权重分为20分，实际得分</w:t>
      </w:r>
      <w:r>
        <w:rPr>
          <w:rFonts w:hint="eastAsia" w:eastAsia="仿宋_GB2312" w:cs="Times New Roman"/>
          <w:color w:val="auto"/>
          <w:sz w:val="32"/>
          <w:szCs w:val="32"/>
          <w:highlight w:val="none"/>
          <w:lang w:val="en-US" w:eastAsia="zh-CN"/>
        </w:rPr>
        <w:t>20</w:t>
      </w:r>
      <w:r>
        <w:rPr>
          <w:rFonts w:hint="default" w:ascii="Times New Roman" w:hAnsi="Times New Roman" w:eastAsia="仿宋_GB2312" w:cs="Times New Roman"/>
          <w:color w:val="auto"/>
          <w:sz w:val="32"/>
          <w:szCs w:val="32"/>
          <w:highlight w:val="none"/>
          <w:lang w:val="en-US" w:eastAsia="zh-CN"/>
        </w:rPr>
        <w:t>分，得分率为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%。具体效益指标及满意度指标完成情况如下：</w:t>
      </w:r>
    </w:p>
    <w:p w14:paraId="781EF2A3">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color w:val="auto"/>
          <w:sz w:val="32"/>
          <w:szCs w:val="32"/>
          <w:highlight w:val="none"/>
          <w:lang w:val="en-US" w:eastAsia="zh-CN"/>
        </w:rPr>
        <w:t>1.实施效益</w:t>
      </w:r>
    </w:p>
    <w:p w14:paraId="2B1264BF">
      <w:pPr>
        <w:shd w:val="clear"/>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val="en-US" w:eastAsia="zh-CN"/>
        </w:rPr>
        <w:t>保障机场供电</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有效保障</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有效保障</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 xml:space="preserve"> %</w:t>
      </w:r>
      <w:r>
        <w:rPr>
          <w:rFonts w:hint="eastAsia" w:eastAsia="仿宋_GB2312" w:cs="Times New Roman"/>
          <w:sz w:val="32"/>
          <w:szCs w:val="32"/>
          <w:highlight w:val="none"/>
          <w:lang w:eastAsia="zh-CN"/>
        </w:rPr>
        <w:t>。</w:t>
      </w:r>
    </w:p>
    <w:p w14:paraId="629C5D32">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该项目不涉及经济效益指标、生态效益指标。</w:t>
      </w:r>
    </w:p>
    <w:p w14:paraId="42B6B062">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2.满意度</w:t>
      </w:r>
    </w:p>
    <w:p w14:paraId="3543BFB0">
      <w:pPr>
        <w:shd w:val="clear"/>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val="en-US" w:eastAsia="zh-CN"/>
        </w:rPr>
        <w:t>机场客户满意度</w:t>
      </w:r>
      <w:r>
        <w:rPr>
          <w:rFonts w:hint="default" w:ascii="Times New Roman" w:hAnsi="Times New Roman" w:eastAsia="仿宋_GB2312" w:cs="Times New Roman"/>
          <w:sz w:val="32"/>
          <w:szCs w:val="32"/>
          <w:highlight w:val="none"/>
        </w:rPr>
        <w:t>，指标值：</w:t>
      </w:r>
      <w:r>
        <w:rPr>
          <w:rFonts w:hint="eastAsia" w:ascii="宋体" w:hAnsi="宋体" w:eastAsia="宋体" w:cs="宋体"/>
          <w:sz w:val="32"/>
          <w:szCs w:val="32"/>
          <w:highlight w:val="none"/>
          <w:lang w:val="en-US" w:eastAsia="zh-CN"/>
        </w:rPr>
        <w:t>≧</w:t>
      </w:r>
      <w:r>
        <w:rPr>
          <w:rFonts w:hint="eastAsia" w:ascii="宋体" w:hAnsi="宋体" w:cs="宋体"/>
          <w:sz w:val="32"/>
          <w:szCs w:val="32"/>
          <w:highlight w:val="none"/>
          <w:lang w:val="en-US" w:eastAsia="zh-CN"/>
        </w:rPr>
        <w:t>95</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w:t>
      </w:r>
      <w:r>
        <w:rPr>
          <w:rFonts w:hint="eastAsia" w:ascii="宋体" w:hAnsi="宋体" w:cs="宋体"/>
          <w:sz w:val="32"/>
          <w:szCs w:val="32"/>
          <w:highlight w:val="none"/>
          <w:lang w:val="en-US" w:eastAsia="zh-CN"/>
        </w:rPr>
        <w:t>95</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 xml:space="preserve"> %</w:t>
      </w:r>
      <w:r>
        <w:rPr>
          <w:rFonts w:hint="eastAsia" w:eastAsia="仿宋_GB2312" w:cs="Times New Roman"/>
          <w:sz w:val="32"/>
          <w:szCs w:val="32"/>
          <w:highlight w:val="none"/>
          <w:lang w:eastAsia="zh-CN"/>
        </w:rPr>
        <w:t>。</w:t>
      </w:r>
    </w:p>
    <w:p w14:paraId="4692C8BF">
      <w:pPr>
        <w:shd w:val="clear"/>
        <w:spacing w:line="600" w:lineRule="exact"/>
        <w:ind w:firstLine="643" w:firstLineChars="200"/>
        <w:outlineLvl w:val="0"/>
        <w:rPr>
          <w:rFonts w:hint="default" w:ascii="Times New Roman" w:hAnsi="Times New Roman" w:eastAsia="楷体_GB2312" w:cs="Times New Roman"/>
          <w:b/>
          <w:bCs/>
          <w:sz w:val="32"/>
          <w:szCs w:val="32"/>
          <w:lang w:val="en-US" w:eastAsia="zh-Hans"/>
        </w:rPr>
      </w:pPr>
      <w:r>
        <w:rPr>
          <w:rFonts w:hint="default" w:ascii="Times New Roman" w:hAnsi="Times New Roman" w:eastAsia="楷体_GB2312" w:cs="Times New Roman"/>
          <w:b/>
          <w:bCs/>
          <w:sz w:val="32"/>
          <w:szCs w:val="32"/>
          <w:lang w:val="en-US" w:eastAsia="zh-CN"/>
        </w:rPr>
        <w:t>（五）</w:t>
      </w:r>
      <w:r>
        <w:rPr>
          <w:rFonts w:hint="default" w:ascii="Times New Roman" w:hAnsi="Times New Roman" w:eastAsia="楷体_GB2312" w:cs="Times New Roman"/>
          <w:b/>
          <w:bCs/>
          <w:sz w:val="32"/>
          <w:szCs w:val="32"/>
          <w:lang w:val="en-US" w:eastAsia="zh-Hans"/>
        </w:rPr>
        <w:t>预算执行进度与绩效指标总体完成率偏差</w:t>
      </w:r>
    </w:p>
    <w:p w14:paraId="3E9D4882">
      <w:pPr>
        <w:pStyle w:val="19"/>
        <w:spacing w:line="560" w:lineRule="exact"/>
        <w:ind w:firstLine="640"/>
        <w:rPr>
          <w:rFonts w:hint="default" w:ascii="Times New Roman" w:hAnsi="Times New Roman" w:eastAsia="方正仿宋_GBK" w:cs="Times New Roman"/>
          <w:sz w:val="32"/>
          <w:szCs w:val="32"/>
          <w:highlight w:val="yellow"/>
        </w:rPr>
      </w:pPr>
      <w:r>
        <w:rPr>
          <w:rFonts w:hint="eastAsia" w:ascii="Times New Roman" w:hAnsi="Times New Roman" w:eastAsia="仿宋_GB2312" w:cs="Times New Roman"/>
          <w:kern w:val="2"/>
          <w:sz w:val="32"/>
          <w:szCs w:val="32"/>
          <w:highlight w:val="none"/>
          <w:lang w:val="en-US" w:eastAsia="zh-CN" w:bidi="ar-SA"/>
        </w:rPr>
        <w:t>昌州财建[2023]97号奇台江布拉克机场场外供电项目35kv输变电工程</w:t>
      </w:r>
      <w:r>
        <w:rPr>
          <w:rFonts w:hint="default" w:ascii="Times New Roman" w:hAnsi="Times New Roman" w:eastAsia="仿宋_GB2312" w:cs="Times New Roman"/>
          <w:kern w:val="2"/>
          <w:sz w:val="32"/>
          <w:szCs w:val="32"/>
          <w:highlight w:val="none"/>
          <w:lang w:val="en-US" w:eastAsia="zh-CN" w:bidi="ar-SA"/>
        </w:rPr>
        <w:t>项目年初预算</w:t>
      </w:r>
      <w:r>
        <w:rPr>
          <w:rFonts w:hint="eastAsia" w:ascii="Times New Roman" w:hAnsi="Times New Roman" w:eastAsia="仿宋_GB2312" w:cs="Times New Roman"/>
          <w:kern w:val="2"/>
          <w:sz w:val="32"/>
          <w:szCs w:val="32"/>
          <w:highlight w:val="none"/>
          <w:lang w:val="en-US" w:eastAsia="zh-CN" w:bidi="ar-SA"/>
        </w:rPr>
        <w:t>400</w:t>
      </w:r>
      <w:r>
        <w:rPr>
          <w:rFonts w:hint="default" w:ascii="Times New Roman" w:hAnsi="Times New Roman" w:eastAsia="仿宋_GB2312" w:cs="Times New Roman"/>
          <w:kern w:val="2"/>
          <w:sz w:val="32"/>
          <w:szCs w:val="32"/>
          <w:highlight w:val="none"/>
          <w:lang w:val="en-US" w:eastAsia="zh-CN" w:bidi="ar-SA"/>
        </w:rPr>
        <w:t>万元，全年预算</w:t>
      </w:r>
      <w:r>
        <w:rPr>
          <w:rFonts w:hint="eastAsia" w:ascii="Times New Roman" w:hAnsi="Times New Roman" w:eastAsia="仿宋_GB2312" w:cs="Times New Roman"/>
          <w:kern w:val="2"/>
          <w:sz w:val="32"/>
          <w:szCs w:val="32"/>
          <w:highlight w:val="none"/>
          <w:lang w:val="en-US" w:eastAsia="zh-CN" w:bidi="ar-SA"/>
        </w:rPr>
        <w:t>919.42</w:t>
      </w:r>
      <w:r>
        <w:rPr>
          <w:rFonts w:hint="default" w:ascii="Times New Roman" w:hAnsi="Times New Roman" w:eastAsia="仿宋_GB2312" w:cs="Times New Roman"/>
          <w:kern w:val="2"/>
          <w:sz w:val="32"/>
          <w:szCs w:val="32"/>
          <w:highlight w:val="none"/>
          <w:lang w:val="en-US" w:eastAsia="zh-CN" w:bidi="ar-SA"/>
        </w:rPr>
        <w:t>万元，实际支出</w:t>
      </w:r>
      <w:r>
        <w:rPr>
          <w:rFonts w:hint="eastAsia" w:ascii="Times New Roman" w:hAnsi="Times New Roman" w:eastAsia="仿宋_GB2312" w:cs="Times New Roman"/>
          <w:kern w:val="2"/>
          <w:sz w:val="32"/>
          <w:szCs w:val="32"/>
          <w:highlight w:val="none"/>
          <w:lang w:val="en-US" w:eastAsia="zh-CN" w:bidi="ar-SA"/>
        </w:rPr>
        <w:t>919.42</w:t>
      </w:r>
      <w:r>
        <w:rPr>
          <w:rFonts w:hint="default" w:ascii="Times New Roman" w:hAnsi="Times New Roman" w:eastAsia="仿宋_GB2312" w:cs="Times New Roman"/>
          <w:kern w:val="2"/>
          <w:sz w:val="32"/>
          <w:szCs w:val="32"/>
          <w:highlight w:val="none"/>
          <w:lang w:val="en-US" w:eastAsia="zh-CN" w:bidi="ar-SA"/>
        </w:rPr>
        <w:t>万元，预算执行率为</w:t>
      </w:r>
      <w:r>
        <w:rPr>
          <w:rFonts w:hint="eastAsia" w:ascii="Times New Roman" w:hAnsi="Times New Roman" w:eastAsia="仿宋_GB2312" w:cs="Times New Roman"/>
          <w:kern w:val="2"/>
          <w:sz w:val="32"/>
          <w:szCs w:val="32"/>
          <w:highlight w:val="none"/>
          <w:lang w:val="en-US" w:eastAsia="zh-CN" w:bidi="ar-SA"/>
        </w:rPr>
        <w:t>100</w:t>
      </w:r>
      <w:r>
        <w:rPr>
          <w:rFonts w:hint="default" w:ascii="Times New Roman" w:hAnsi="Times New Roman" w:eastAsia="仿宋_GB2312" w:cs="Times New Roman"/>
          <w:kern w:val="2"/>
          <w:sz w:val="32"/>
          <w:szCs w:val="32"/>
          <w:highlight w:val="none"/>
          <w:lang w:val="en-US" w:eastAsia="zh-CN" w:bidi="ar-SA"/>
        </w:rPr>
        <w:t>%，项目绩效指标总体完成率为</w:t>
      </w:r>
      <w:r>
        <w:rPr>
          <w:rFonts w:hint="eastAsia" w:ascii="Times New Roman" w:hAnsi="Times New Roman" w:eastAsia="仿宋_GB2312" w:cs="Times New Roman"/>
          <w:kern w:val="2"/>
          <w:sz w:val="32"/>
          <w:szCs w:val="32"/>
          <w:highlight w:val="none"/>
          <w:lang w:val="en-US" w:eastAsia="zh-CN" w:bidi="ar-SA"/>
        </w:rPr>
        <w:t>100</w:t>
      </w:r>
      <w:r>
        <w:rPr>
          <w:rFonts w:hint="default" w:ascii="Times New Roman" w:hAnsi="Times New Roman" w:eastAsia="仿宋_GB2312" w:cs="Times New Roman"/>
          <w:kern w:val="2"/>
          <w:sz w:val="32"/>
          <w:szCs w:val="32"/>
          <w:highlight w:val="none"/>
          <w:lang w:val="en-US" w:eastAsia="zh-CN" w:bidi="ar-SA"/>
        </w:rPr>
        <w:t>%</w:t>
      </w:r>
      <w:r>
        <w:rPr>
          <w:rFonts w:hint="eastAsia" w:eastAsia="仿宋_GB2312" w:cs="Times New Roman"/>
          <w:kern w:val="2"/>
          <w:sz w:val="32"/>
          <w:szCs w:val="32"/>
          <w:highlight w:val="none"/>
          <w:lang w:val="en-US" w:eastAsia="zh-CN" w:bidi="ar-SA"/>
        </w:rPr>
        <w:t>，总体偏快差率为0%</w:t>
      </w:r>
      <w:r>
        <w:rPr>
          <w:rFonts w:hint="default" w:ascii="Times New Roman" w:hAnsi="Times New Roman" w:eastAsia="仿宋_GB2312" w:cs="Times New Roman"/>
          <w:kern w:val="2"/>
          <w:sz w:val="32"/>
          <w:szCs w:val="32"/>
          <w:highlight w:val="none"/>
          <w:lang w:val="en-US" w:eastAsia="zh-CN" w:bidi="ar-SA"/>
        </w:rPr>
        <w:t>。</w:t>
      </w:r>
    </w:p>
    <w:p w14:paraId="33D7F5BC">
      <w:pPr>
        <w:spacing w:line="560" w:lineRule="exact"/>
        <w:ind w:firstLine="640" w:firstLineChars="200"/>
        <w:rPr>
          <w:rStyle w:val="18"/>
          <w:rFonts w:hint="default" w:ascii="Times New Roman" w:hAnsi="Times New Roman" w:cs="Times New Roman"/>
          <w:color w:val="auto"/>
        </w:rPr>
      </w:pPr>
      <w:r>
        <w:rPr>
          <w:rFonts w:hint="eastAsia" w:eastAsia="黑体" w:cs="Times New Roman"/>
          <w:sz w:val="32"/>
          <w:szCs w:val="32"/>
          <w:lang w:val="en-US" w:eastAsia="zh-CN"/>
        </w:rPr>
        <w:t>五、</w:t>
      </w:r>
      <w:r>
        <w:rPr>
          <w:rFonts w:hint="default" w:ascii="Times New Roman" w:hAnsi="Times New Roman" w:eastAsia="黑体" w:cs="Times New Roman"/>
          <w:sz w:val="32"/>
          <w:szCs w:val="32"/>
        </w:rPr>
        <w:t>主要经验及做法、存在的问题及原因分析</w:t>
      </w:r>
    </w:p>
    <w:p w14:paraId="7414ED25">
      <w:pPr>
        <w:spacing w:line="560" w:lineRule="exact"/>
        <w:ind w:firstLine="627" w:firstLineChars="200"/>
        <w:rPr>
          <w:rFonts w:hint="default" w:ascii="Times New Roman" w:hAnsi="Times New Roman" w:eastAsia="楷体" w:cs="Times New Roman"/>
          <w:b/>
          <w:color w:val="auto"/>
          <w:spacing w:val="-4"/>
          <w:sz w:val="32"/>
          <w:szCs w:val="32"/>
          <w:highlight w:val="none"/>
        </w:rPr>
      </w:pPr>
      <w:r>
        <w:rPr>
          <w:rFonts w:hint="default" w:ascii="Times New Roman" w:hAnsi="Times New Roman" w:eastAsia="楷体" w:cs="Times New Roman"/>
          <w:b/>
          <w:spacing w:val="-4"/>
          <w:sz w:val="32"/>
          <w:szCs w:val="32"/>
        </w:rPr>
        <w:t>（一）主要经验及做法</w:t>
      </w:r>
    </w:p>
    <w:p w14:paraId="1536CF58">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3F522229">
      <w:pPr>
        <w:pStyle w:val="10"/>
        <w:spacing w:before="0" w:after="0" w:line="560" w:lineRule="exact"/>
        <w:ind w:firstLine="640" w:firstLineChars="200"/>
        <w:jc w:val="left"/>
        <w:rPr>
          <w:rFonts w:hint="default" w:ascii="Times New Roman" w:hAnsi="Times New Roman" w:eastAsia="仿宋_GB2312" w:cs="Times New Roman"/>
          <w:b w:val="0"/>
          <w:bCs w:val="0"/>
          <w:kern w:val="2"/>
        </w:rPr>
      </w:pPr>
      <w:r>
        <w:rPr>
          <w:rFonts w:hint="default" w:ascii="Times New Roman" w:hAnsi="Times New Roman" w:eastAsia="仿宋_GB2312" w:cs="Times New Roman"/>
          <w:b w:val="0"/>
          <w:bCs w:val="0"/>
          <w:kern w:val="2"/>
        </w:rPr>
        <w:t>严格坚持先做事、后验收、再拨付的原则，</w:t>
      </w:r>
      <w:r>
        <w:rPr>
          <w:rFonts w:hint="eastAsia" w:ascii="Times New Roman" w:hAnsi="Times New Roman" w:eastAsia="仿宋_GB2312" w:cs="Times New Roman"/>
          <w:b w:val="0"/>
          <w:bCs w:val="0"/>
          <w:kern w:val="2"/>
          <w:lang w:eastAsia="zh-CN"/>
        </w:rPr>
        <w:t>杜绝</w:t>
      </w:r>
      <w:r>
        <w:rPr>
          <w:rFonts w:hint="default" w:ascii="Times New Roman" w:hAnsi="Times New Roman" w:eastAsia="仿宋_GB2312" w:cs="Times New Roman"/>
          <w:b w:val="0"/>
          <w:bCs w:val="0"/>
          <w:kern w:val="2"/>
        </w:rPr>
        <w:t>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6C619184">
      <w:pPr>
        <w:keepNext/>
        <w:keepLines/>
        <w:numPr>
          <w:ilvl w:val="0"/>
          <w:numId w:val="6"/>
        </w:num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存在的问题及原因分析</w:t>
      </w:r>
    </w:p>
    <w:p w14:paraId="3D4556C5">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14:paraId="7B27BB1E">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2.因轮岗、调动</w:t>
      </w:r>
      <w:r>
        <w:rPr>
          <w:rFonts w:hint="eastAsia" w:ascii="Times New Roman" w:hAnsi="Times New Roman" w:eastAsia="仿宋_GB2312" w:cs="Times New Roman"/>
          <w:sz w:val="32"/>
          <w:szCs w:val="32"/>
          <w:highlight w:val="none"/>
          <w:lang w:val="en-US" w:eastAsia="zh-CN"/>
        </w:rPr>
        <w:t>等</w:t>
      </w:r>
      <w:r>
        <w:rPr>
          <w:rFonts w:hint="default" w:ascii="Times New Roman" w:hAnsi="Times New Roman" w:eastAsia="仿宋_GB2312" w:cs="Times New Roman"/>
          <w:sz w:val="32"/>
          <w:szCs w:val="32"/>
          <w:highlight w:val="none"/>
          <w:lang w:val="en-US" w:eastAsia="zh-CN"/>
        </w:rPr>
        <w:t>因素使我单位绩效工作人员流动频繁，</w:t>
      </w:r>
      <w:r>
        <w:rPr>
          <w:rFonts w:hint="eastAsia" w:ascii="Times New Roman" w:hAnsi="Times New Roman" w:eastAsia="仿宋_GB2312" w:cs="Times New Roman"/>
          <w:sz w:val="32"/>
          <w:szCs w:val="32"/>
          <w:highlight w:val="none"/>
          <w:lang w:val="en-US" w:eastAsia="zh-CN"/>
        </w:rPr>
        <w:t>造成</w:t>
      </w:r>
      <w:r>
        <w:rPr>
          <w:rFonts w:hint="default" w:ascii="Times New Roman" w:hAnsi="Times New Roman" w:eastAsia="仿宋_GB2312" w:cs="Times New Roman"/>
          <w:sz w:val="32"/>
          <w:szCs w:val="32"/>
          <w:highlight w:val="none"/>
          <w:lang w:val="en-US" w:eastAsia="zh-CN"/>
        </w:rPr>
        <w:t>工作衔接不到位的情况。</w:t>
      </w:r>
    </w:p>
    <w:p w14:paraId="36DEB43C">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w:t>
      </w:r>
      <w:r>
        <w:rPr>
          <w:rFonts w:hint="eastAsia" w:ascii="Times New Roman" w:hAnsi="Times New Roman"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在项目实施过程中重点</w:t>
      </w:r>
      <w:r>
        <w:rPr>
          <w:rFonts w:hint="eastAsia" w:ascii="Times New Roman" w:hAnsi="Times New Roman" w:eastAsia="仿宋_GB2312" w:cs="Times New Roman"/>
          <w:sz w:val="32"/>
          <w:szCs w:val="32"/>
          <w:highlight w:val="none"/>
          <w:lang w:val="en-US" w:eastAsia="zh-CN"/>
        </w:rPr>
        <w:t>关注</w:t>
      </w:r>
      <w:r>
        <w:rPr>
          <w:rFonts w:hint="eastAsia" w:eastAsia="仿宋_GB2312" w:cs="Times New Roman"/>
          <w:sz w:val="32"/>
          <w:szCs w:val="32"/>
          <w:highlight w:val="none"/>
          <w:lang w:val="en-US" w:eastAsia="zh-CN"/>
        </w:rPr>
        <w:t>了</w:t>
      </w:r>
      <w:r>
        <w:rPr>
          <w:rFonts w:hint="eastAsia" w:ascii="Times New Roman" w:hAnsi="Times New Roman" w:eastAsia="仿宋_GB2312" w:cs="Times New Roman"/>
          <w:sz w:val="32"/>
          <w:szCs w:val="32"/>
          <w:highlight w:val="none"/>
          <w:lang w:val="en-US" w:eastAsia="zh-CN"/>
        </w:rPr>
        <w:t>项目的进度和成本，从而忽略项目管理的其他方面，在项目管理的过程中缺乏统一的标准和规范，导致项目在实施过程中控制力不力，对实现项目目标有一定的干扰，对项目执行过程中，优化项目流程，跟踪项目进度，及时解决问题</w:t>
      </w:r>
      <w:r>
        <w:rPr>
          <w:rFonts w:hint="eastAsia" w:eastAsia="仿宋_GB2312" w:cs="Times New Roman"/>
          <w:sz w:val="32"/>
          <w:szCs w:val="32"/>
          <w:highlight w:val="none"/>
          <w:lang w:val="en-US" w:eastAsia="zh-CN"/>
        </w:rPr>
        <w:t>。</w:t>
      </w:r>
    </w:p>
    <w:p w14:paraId="7231306D">
      <w:pPr>
        <w:spacing w:line="560" w:lineRule="exact"/>
        <w:ind w:firstLine="640" w:firstLineChars="200"/>
        <w:rPr>
          <w:rFonts w:hint="default" w:ascii="Times New Roman" w:hAnsi="Times New Roman" w:eastAsia="黑体" w:cs="Times New Roman"/>
          <w:sz w:val="32"/>
          <w:szCs w:val="32"/>
        </w:rPr>
      </w:pPr>
      <w:r>
        <w:rPr>
          <w:rFonts w:hint="eastAsia" w:eastAsia="黑体" w:cs="Times New Roman"/>
          <w:sz w:val="32"/>
          <w:szCs w:val="32"/>
          <w:lang w:val="en-US" w:eastAsia="zh-CN"/>
        </w:rPr>
        <w:t>六、</w:t>
      </w:r>
      <w:r>
        <w:rPr>
          <w:rFonts w:hint="default" w:ascii="Times New Roman" w:hAnsi="Times New Roman" w:eastAsia="黑体" w:cs="Times New Roman"/>
          <w:sz w:val="32"/>
          <w:szCs w:val="32"/>
        </w:rPr>
        <w:t>有关建议</w:t>
      </w:r>
    </w:p>
    <w:p w14:paraId="693A8A11">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1.多进行有关绩效管理工作方面的培训。积极组织第三方开展绩效管理工作培训，进一步夯实业务基础，提高我单位绩效人员水平。</w:t>
      </w:r>
    </w:p>
    <w:p w14:paraId="15EC84AC">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2.专门设定对绩效工作人员定职、定岗、定责等相关制度措施，进一步提升我单位绩效管理工作业务水平，扎实做好绩效管理工作。</w:t>
      </w:r>
    </w:p>
    <w:p w14:paraId="707C762B">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3.进一步规范项目建设的程序。项目前期做好可行性研究报告，更加细化实施方案，严格执行资金管理办法和财政资金管理制度，严格按照项目实施方案、招投标管理办法等稳步推进工作。</w:t>
      </w:r>
    </w:p>
    <w:p w14:paraId="08F23F30">
      <w:pPr>
        <w:shd w:val="clear"/>
        <w:spacing w:line="600" w:lineRule="exact"/>
        <w:ind w:firstLine="640" w:firstLineChars="200"/>
        <w:outlineLvl w:val="0"/>
        <w:rPr>
          <w:rFonts w:hint="default" w:ascii="Times New Roman" w:hAnsi="Times New Roman" w:cs="Times New Roman"/>
          <w:sz w:val="22"/>
          <w:szCs w:val="28"/>
        </w:rPr>
      </w:pPr>
      <w:r>
        <w:rPr>
          <w:rFonts w:hint="default" w:ascii="Times New Roman" w:hAnsi="Times New Roman" w:eastAsia="仿宋_GB2312" w:cs="Times New Roman"/>
          <w:sz w:val="32"/>
          <w:szCs w:val="32"/>
          <w:highlight w:val="none"/>
          <w:lang w:val="en-US" w:eastAsia="zh-CN"/>
        </w:rPr>
        <w:t>4.进一步完善项目评价过程中有关数据和资料的收集、整理、审核及分析。项目启动时同步做好档案的归纳与整理，及时整理、收集、汇总，健全档案资料。项目后续管理有待进一步加强和跟踪</w:t>
      </w:r>
      <w:r>
        <w:rPr>
          <w:rFonts w:hint="default" w:ascii="Times New Roman" w:hAnsi="Times New Roman" w:eastAsia="仿宋_GB2312" w:cs="Times New Roman"/>
          <w:sz w:val="36"/>
          <w:szCs w:val="32"/>
        </w:rPr>
        <w:t>。</w:t>
      </w:r>
    </w:p>
    <w:p w14:paraId="4543C049">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7294F043">
      <w:pPr>
        <w:spacing w:line="560" w:lineRule="exact"/>
        <w:ind w:firstLine="640" w:firstLineChars="200"/>
        <w:rPr>
          <w:rFonts w:hint="default" w:ascii="Times New Roman" w:hAnsi="Times New Roman" w:eastAsia="黑体" w:cs="Times New Roman"/>
          <w:sz w:val="32"/>
          <w:szCs w:val="32"/>
        </w:rPr>
      </w:pPr>
      <w:r>
        <w:rPr>
          <w:rFonts w:hint="eastAsia" w:eastAsia="黑体" w:cs="Times New Roman"/>
          <w:sz w:val="32"/>
          <w:szCs w:val="32"/>
          <w:lang w:val="en-US" w:eastAsia="zh-CN"/>
        </w:rPr>
        <w:t>七、</w:t>
      </w:r>
      <w:r>
        <w:rPr>
          <w:rFonts w:hint="default" w:ascii="Times New Roman" w:hAnsi="Times New Roman" w:eastAsia="黑体" w:cs="Times New Roman"/>
          <w:sz w:val="32"/>
          <w:szCs w:val="32"/>
        </w:rPr>
        <w:t>其他需要说</w:t>
      </w:r>
      <w:bookmarkStart w:id="2" w:name="page8"/>
      <w:bookmarkEnd w:id="2"/>
      <w:r>
        <w:rPr>
          <w:rFonts w:hint="default" w:ascii="Times New Roman" w:hAnsi="Times New Roman" w:eastAsia="黑体" w:cs="Times New Roman"/>
          <w:sz w:val="32"/>
          <w:szCs w:val="32"/>
        </w:rPr>
        <w:t>明的问题</w:t>
      </w:r>
    </w:p>
    <w:p w14:paraId="34DC16C9">
      <w:pPr>
        <w:pStyle w:val="13"/>
        <w:spacing w:after="0" w:line="560" w:lineRule="exact"/>
        <w:ind w:left="0" w:leftChars="0" w:firstLine="640" w:firstLineChars="200"/>
        <w:rPr>
          <w:rFonts w:hint="eastAsia" w:ascii="Times New Roman" w:hAnsi="Times New Roman" w:eastAsia="仿宋_GB2312" w:cs="Times New Roman"/>
          <w:b/>
          <w:bCs/>
          <w:color w:val="FF0000"/>
          <w:sz w:val="32"/>
          <w:szCs w:val="32"/>
          <w:lang w:eastAsia="zh-CN"/>
        </w:rPr>
      </w:pPr>
      <w:r>
        <w:rPr>
          <w:rFonts w:hint="default" w:ascii="Times New Roman" w:hAnsi="Times New Roman" w:eastAsia="仿宋_GB2312" w:cs="Times New Roman"/>
          <w:sz w:val="32"/>
          <w:szCs w:val="32"/>
          <w:lang w:eastAsia="zh-Hans"/>
        </w:rPr>
        <w:t>本项目无其他需说明的问题。</w:t>
      </w:r>
    </w:p>
    <w:p w14:paraId="1A23F276">
      <w:pPr>
        <w:pStyle w:val="13"/>
        <w:spacing w:after="0" w:line="560" w:lineRule="exact"/>
        <w:ind w:left="0" w:leftChars="0" w:firstLine="640"/>
        <w:rPr>
          <w:rFonts w:hint="default" w:ascii="Times New Roman" w:hAnsi="Times New Roman" w:eastAsia="仿宋_GB2312" w:cs="Times New Roman"/>
          <w:sz w:val="32"/>
          <w:szCs w:val="32"/>
        </w:rPr>
      </w:pPr>
    </w:p>
    <w:p w14:paraId="406480FA">
      <w:pPr>
        <w:pStyle w:val="13"/>
        <w:spacing w:after="0" w:line="560" w:lineRule="exact"/>
        <w:ind w:left="0" w:leftChars="0" w:firstLine="640"/>
        <w:rPr>
          <w:rFonts w:hint="default" w:ascii="Times New Roman" w:hAnsi="Times New Roman" w:eastAsia="仿宋_GB2312" w:cs="Times New Roman"/>
          <w:sz w:val="32"/>
          <w:szCs w:val="32"/>
        </w:rPr>
      </w:pPr>
    </w:p>
    <w:p w14:paraId="48632CB5">
      <w:pPr>
        <w:pStyle w:val="13"/>
        <w:spacing w:after="0" w:line="560" w:lineRule="exact"/>
        <w:ind w:left="0" w:leftChars="0" w:firstLine="0" w:firstLineChars="0"/>
        <w:rPr>
          <w:rFonts w:hint="default" w:ascii="Times New Roman" w:hAnsi="Times New Roman" w:eastAsia="仿宋_GB2312" w:cs="Times New Roman"/>
          <w:sz w:val="32"/>
          <w:szCs w:val="32"/>
        </w:rPr>
      </w:pPr>
    </w:p>
    <w:p w14:paraId="2469DD4C">
      <w:pPr>
        <w:spacing w:line="600" w:lineRule="exact"/>
        <w:rPr>
          <w:rFonts w:hint="eastAsia" w:ascii="Times New Roman" w:hAnsi="Times New Roman" w:eastAsia="黑体" w:cs="Times New Roman"/>
          <w:sz w:val="32"/>
          <w:szCs w:val="32"/>
          <w:lang w:val="en-US" w:eastAsia="zh-CN"/>
        </w:rPr>
        <w:sectPr>
          <w:footerReference r:id="rId3" w:type="default"/>
          <w:pgSz w:w="11906" w:h="16838"/>
          <w:pgMar w:top="1440" w:right="1558" w:bottom="1440" w:left="1800" w:header="851" w:footer="992" w:gutter="0"/>
          <w:pgNumType w:start="1"/>
          <w:cols w:space="425" w:num="1"/>
          <w:docGrid w:type="lines" w:linePitch="312" w:charSpace="0"/>
        </w:sectPr>
      </w:pPr>
    </w:p>
    <w:p w14:paraId="0EDD90D0">
      <w:pPr>
        <w:spacing w:line="600" w:lineRule="exact"/>
        <w:rPr>
          <w:rFonts w:hint="eastAsia" w:eastAsia="黑体" w:cs="Times New Roman"/>
          <w:sz w:val="32"/>
          <w:szCs w:val="32"/>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1</w:t>
      </w:r>
    </w:p>
    <w:p w14:paraId="6F6C7954">
      <w:pPr>
        <w:pStyle w:val="19"/>
        <w:ind w:firstLine="562"/>
        <w:jc w:val="center"/>
        <w:rPr>
          <w:rFonts w:hint="eastAsia" w:ascii="仿宋_GB2312" w:hAnsi="仿宋_GB2312" w:eastAsia="仿宋_GB2312" w:cs="仿宋_GB2312"/>
          <w:sz w:val="28"/>
          <w:szCs w:val="40"/>
        </w:rPr>
      </w:pPr>
      <w:bookmarkStart w:id="3" w:name="_Toc30064_WPSOffice_Level1"/>
      <w:bookmarkStart w:id="4" w:name="_Toc26499_WPSOffice_Level2"/>
      <w:r>
        <w:rPr>
          <w:rFonts w:hint="eastAsia" w:ascii="仿宋_GB2312" w:hAnsi="仿宋_GB2312" w:eastAsia="仿宋_GB2312" w:cs="仿宋_GB2312"/>
          <w:b/>
          <w:bCs/>
          <w:sz w:val="28"/>
          <w:szCs w:val="40"/>
          <w:lang w:val="en-US" w:eastAsia="zh-CN"/>
        </w:rPr>
        <w:t>昌州财建[2023]97号奇台江布拉克机场场外供电项目35kv输变电工程</w:t>
      </w:r>
      <w:r>
        <w:rPr>
          <w:rFonts w:hint="eastAsia" w:ascii="仿宋_GB2312" w:hAnsi="仿宋_GB2312" w:eastAsia="仿宋_GB2312" w:cs="仿宋_GB2312"/>
          <w:b/>
          <w:bCs/>
          <w:sz w:val="28"/>
          <w:szCs w:val="40"/>
        </w:rPr>
        <w:t>项目绩效评价指标体系及综合评分表</w:t>
      </w:r>
      <w:bookmarkEnd w:id="3"/>
      <w:bookmarkEnd w:id="4"/>
    </w:p>
    <w:tbl>
      <w:tblPr>
        <w:tblStyle w:val="14"/>
        <w:tblW w:w="12683"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002"/>
        <w:gridCol w:w="1000"/>
        <w:gridCol w:w="1071"/>
        <w:gridCol w:w="1725"/>
        <w:gridCol w:w="5216"/>
        <w:gridCol w:w="5"/>
        <w:gridCol w:w="1299"/>
        <w:gridCol w:w="1365"/>
      </w:tblGrid>
      <w:tr w14:paraId="4ED353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2" w:hRule="atLeast"/>
          <w:tblHeader/>
          <w:jc w:val="center"/>
        </w:trPr>
        <w:tc>
          <w:tcPr>
            <w:tcW w:w="1002" w:type="dxa"/>
            <w:shd w:val="clear" w:color="auto" w:fill="FFFFFF"/>
            <w:vAlign w:val="center"/>
          </w:tcPr>
          <w:p w14:paraId="77236763">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一级指标</w:t>
            </w:r>
          </w:p>
        </w:tc>
        <w:tc>
          <w:tcPr>
            <w:tcW w:w="1000" w:type="dxa"/>
            <w:shd w:val="clear" w:color="auto" w:fill="FFFFFF"/>
            <w:vAlign w:val="center"/>
          </w:tcPr>
          <w:p w14:paraId="120B9D26">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二级指标</w:t>
            </w:r>
          </w:p>
        </w:tc>
        <w:tc>
          <w:tcPr>
            <w:tcW w:w="1071" w:type="dxa"/>
            <w:shd w:val="clear" w:color="auto" w:fill="FFFFFF"/>
            <w:vAlign w:val="center"/>
          </w:tcPr>
          <w:p w14:paraId="1D3BA7E9">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三级指标</w:t>
            </w:r>
          </w:p>
        </w:tc>
        <w:tc>
          <w:tcPr>
            <w:tcW w:w="1725" w:type="dxa"/>
            <w:shd w:val="clear" w:color="auto" w:fill="FFFFFF"/>
            <w:vAlign w:val="center"/>
          </w:tcPr>
          <w:p w14:paraId="48FC9748">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指标解释</w:t>
            </w:r>
          </w:p>
        </w:tc>
        <w:tc>
          <w:tcPr>
            <w:tcW w:w="5216" w:type="dxa"/>
            <w:shd w:val="clear" w:color="auto" w:fill="FFFFFF"/>
            <w:vAlign w:val="center"/>
          </w:tcPr>
          <w:p w14:paraId="1C730989">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指标说明</w:t>
            </w:r>
          </w:p>
        </w:tc>
        <w:tc>
          <w:tcPr>
            <w:tcW w:w="1304" w:type="dxa"/>
            <w:gridSpan w:val="2"/>
            <w:shd w:val="clear" w:color="auto" w:fill="FFFFFF"/>
            <w:vAlign w:val="center"/>
          </w:tcPr>
          <w:p w14:paraId="69EE43F9">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权重</w:t>
            </w:r>
          </w:p>
        </w:tc>
        <w:tc>
          <w:tcPr>
            <w:tcW w:w="1365" w:type="dxa"/>
            <w:shd w:val="clear" w:color="auto" w:fill="FFFFFF"/>
            <w:vAlign w:val="center"/>
          </w:tcPr>
          <w:p w14:paraId="55938971">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得分</w:t>
            </w:r>
          </w:p>
        </w:tc>
      </w:tr>
      <w:tr w14:paraId="4EA802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1002" w:type="dxa"/>
            <w:vMerge w:val="restart"/>
            <w:shd w:val="clear" w:color="auto" w:fill="FFFFFF"/>
            <w:vAlign w:val="center"/>
          </w:tcPr>
          <w:p w14:paraId="63F5B3E2">
            <w:pPr>
              <w:widowControl/>
              <w:spacing w:line="0" w:lineRule="atLeast"/>
              <w:jc w:val="center"/>
              <w:rPr>
                <w:rFonts w:hint="default" w:ascii="Times New Roman" w:hAnsi="Times New Roman" w:eastAsia="仿宋_GB2312" w:cs="Times New Roman"/>
                <w:color w:val="000000"/>
                <w:kern w:val="0"/>
                <w:sz w:val="18"/>
                <w:szCs w:val="18"/>
              </w:rPr>
            </w:pPr>
          </w:p>
          <w:p w14:paraId="0289FE21">
            <w:pPr>
              <w:widowControl/>
              <w:spacing w:line="0" w:lineRule="atLeast"/>
              <w:jc w:val="center"/>
              <w:rPr>
                <w:rFonts w:hint="default" w:ascii="Times New Roman" w:hAnsi="Times New Roman" w:eastAsia="仿宋_GB2312" w:cs="Times New Roman"/>
                <w:color w:val="000000"/>
                <w:kern w:val="0"/>
                <w:sz w:val="18"/>
                <w:szCs w:val="18"/>
              </w:rPr>
            </w:pPr>
          </w:p>
          <w:p w14:paraId="096F9DB5">
            <w:pPr>
              <w:widowControl/>
              <w:spacing w:line="0" w:lineRule="atLeast"/>
              <w:jc w:val="center"/>
              <w:rPr>
                <w:rFonts w:hint="default" w:ascii="Times New Roman" w:hAnsi="Times New Roman" w:eastAsia="仿宋_GB2312" w:cs="Times New Roman"/>
                <w:color w:val="000000"/>
                <w:kern w:val="0"/>
                <w:sz w:val="18"/>
                <w:szCs w:val="18"/>
              </w:rPr>
            </w:pPr>
          </w:p>
          <w:p w14:paraId="55E604FC">
            <w:pPr>
              <w:widowControl/>
              <w:spacing w:line="0" w:lineRule="atLeast"/>
              <w:jc w:val="center"/>
              <w:rPr>
                <w:rFonts w:hint="default" w:ascii="Times New Roman" w:hAnsi="Times New Roman" w:eastAsia="仿宋_GB2312" w:cs="Times New Roman"/>
                <w:color w:val="000000"/>
                <w:kern w:val="0"/>
                <w:sz w:val="18"/>
                <w:szCs w:val="18"/>
              </w:rPr>
            </w:pPr>
          </w:p>
          <w:p w14:paraId="40A5496A">
            <w:pPr>
              <w:widowControl/>
              <w:spacing w:line="0" w:lineRule="atLeast"/>
              <w:jc w:val="center"/>
              <w:rPr>
                <w:rFonts w:hint="default" w:ascii="Times New Roman" w:hAnsi="Times New Roman" w:eastAsia="仿宋_GB2312" w:cs="Times New Roman"/>
                <w:color w:val="000000"/>
                <w:kern w:val="0"/>
                <w:sz w:val="18"/>
                <w:szCs w:val="18"/>
              </w:rPr>
            </w:pPr>
          </w:p>
          <w:p w14:paraId="4EF1A29B">
            <w:pPr>
              <w:widowControl/>
              <w:spacing w:line="0" w:lineRule="atLeast"/>
              <w:jc w:val="center"/>
              <w:rPr>
                <w:rFonts w:hint="default" w:ascii="Times New Roman" w:hAnsi="Times New Roman" w:eastAsia="仿宋_GB2312" w:cs="Times New Roman"/>
                <w:color w:val="000000"/>
                <w:kern w:val="0"/>
                <w:sz w:val="18"/>
                <w:szCs w:val="18"/>
              </w:rPr>
            </w:pPr>
          </w:p>
          <w:p w14:paraId="1A507A6B">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决策　</w:t>
            </w:r>
          </w:p>
        </w:tc>
        <w:tc>
          <w:tcPr>
            <w:tcW w:w="1000" w:type="dxa"/>
            <w:vMerge w:val="restart"/>
            <w:shd w:val="clear" w:color="auto" w:fill="FFFFFF"/>
            <w:vAlign w:val="center"/>
          </w:tcPr>
          <w:p w14:paraId="6135C3F3">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　</w:t>
            </w:r>
          </w:p>
        </w:tc>
        <w:tc>
          <w:tcPr>
            <w:tcW w:w="1071" w:type="dxa"/>
            <w:shd w:val="clear" w:color="auto" w:fill="FFFFFF"/>
            <w:vAlign w:val="center"/>
          </w:tcPr>
          <w:p w14:paraId="02F534D6">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立项依据</w:t>
            </w:r>
          </w:p>
          <w:p w14:paraId="19F2292A">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充分性</w:t>
            </w:r>
          </w:p>
        </w:tc>
        <w:tc>
          <w:tcPr>
            <w:tcW w:w="1725" w:type="dxa"/>
            <w:shd w:val="clear" w:color="auto" w:fill="FFFFFF"/>
            <w:vAlign w:val="center"/>
          </w:tcPr>
          <w:p w14:paraId="4AA55259">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项目立项是否符合法律法规、相关政策、发展规划以及部门职责，用以反映和考核项目立项依据情况。</w:t>
            </w:r>
          </w:p>
        </w:tc>
        <w:tc>
          <w:tcPr>
            <w:tcW w:w="5216" w:type="dxa"/>
            <w:shd w:val="clear" w:color="auto" w:fill="FFFFFF"/>
            <w:vAlign w:val="center"/>
          </w:tcPr>
          <w:p w14:paraId="686DC272">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①项目立项是否符合国家法律法规、国民经济发展规划和相关政策；</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②项目立项是否符合行业发展规划和政策要求；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③项目立项是否与部门职责范围相符，属于部门履职所需；</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④项目是否属于公共财政支持范围，是否符合中央、地方事权支出责任划分原则；</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⑤项目是否与相关部门同类项目或部门内部相关项目重复。</w:t>
            </w:r>
          </w:p>
        </w:tc>
        <w:tc>
          <w:tcPr>
            <w:tcW w:w="1304" w:type="dxa"/>
            <w:gridSpan w:val="2"/>
            <w:shd w:val="clear" w:color="auto" w:fill="FFFFFF"/>
            <w:vAlign w:val="center"/>
          </w:tcPr>
          <w:p w14:paraId="165F70D4">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1365" w:type="dxa"/>
            <w:shd w:val="clear" w:color="auto" w:fill="FFFFFF"/>
            <w:vAlign w:val="center"/>
          </w:tcPr>
          <w:p w14:paraId="3226B0D7">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3</w:t>
            </w:r>
          </w:p>
        </w:tc>
      </w:tr>
      <w:tr w14:paraId="441E42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1002" w:type="dxa"/>
            <w:vMerge w:val="continue"/>
            <w:shd w:val="clear" w:color="auto" w:fill="FFFFFF"/>
            <w:vAlign w:val="center"/>
          </w:tcPr>
          <w:p w14:paraId="6E930D01">
            <w:pPr>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14:paraId="5B1C3928">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09FB31BE">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立项程序</w:t>
            </w:r>
          </w:p>
          <w:p w14:paraId="2383EBCD">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规范性</w:t>
            </w:r>
          </w:p>
        </w:tc>
        <w:tc>
          <w:tcPr>
            <w:tcW w:w="1725" w:type="dxa"/>
            <w:shd w:val="clear" w:color="auto" w:fill="FFFFFF"/>
            <w:vAlign w:val="center"/>
          </w:tcPr>
          <w:p w14:paraId="06EBD194">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项目申请、设立过程是否符合相关要求，用以反映和考核项目立项的规范情况。</w:t>
            </w:r>
          </w:p>
        </w:tc>
        <w:tc>
          <w:tcPr>
            <w:tcW w:w="5216" w:type="dxa"/>
            <w:shd w:val="clear" w:color="auto" w:fill="FFFFFF"/>
            <w:vAlign w:val="center"/>
          </w:tcPr>
          <w:p w14:paraId="5738BE21">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①项目是否按照规定的程序申请设立；</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②审批文件、材料是否符合相关要求；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③事前是否已经过必要的可行性研究、专家论证、风险评估、绩效评估、集体决策。</w:t>
            </w:r>
          </w:p>
        </w:tc>
        <w:tc>
          <w:tcPr>
            <w:tcW w:w="1304" w:type="dxa"/>
            <w:gridSpan w:val="2"/>
            <w:shd w:val="clear" w:color="auto" w:fill="FFFFFF"/>
            <w:vAlign w:val="center"/>
          </w:tcPr>
          <w:p w14:paraId="6D07A3F8">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1365" w:type="dxa"/>
            <w:shd w:val="clear" w:color="auto" w:fill="FFFFFF"/>
            <w:vAlign w:val="center"/>
          </w:tcPr>
          <w:p w14:paraId="101155F9">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3</w:t>
            </w:r>
          </w:p>
        </w:tc>
      </w:tr>
      <w:tr w14:paraId="06B337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1002" w:type="dxa"/>
            <w:vMerge w:val="continue"/>
            <w:shd w:val="clear" w:color="auto" w:fill="FFFFFF"/>
            <w:vAlign w:val="center"/>
          </w:tcPr>
          <w:p w14:paraId="3E70FD19">
            <w:pPr>
              <w:spacing w:line="0" w:lineRule="atLeast"/>
              <w:jc w:val="center"/>
              <w:rPr>
                <w:rFonts w:hint="default" w:ascii="Times New Roman" w:hAnsi="Times New Roman" w:eastAsia="仿宋_GB2312" w:cs="Times New Roman"/>
                <w:color w:val="000000"/>
                <w:kern w:val="0"/>
                <w:sz w:val="18"/>
                <w:szCs w:val="18"/>
              </w:rPr>
            </w:pPr>
          </w:p>
        </w:tc>
        <w:tc>
          <w:tcPr>
            <w:tcW w:w="1000" w:type="dxa"/>
            <w:vMerge w:val="restart"/>
            <w:shd w:val="clear" w:color="auto" w:fill="FFFFFF"/>
            <w:vAlign w:val="center"/>
          </w:tcPr>
          <w:p w14:paraId="3B69169C">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　</w:t>
            </w:r>
          </w:p>
        </w:tc>
        <w:tc>
          <w:tcPr>
            <w:tcW w:w="1071" w:type="dxa"/>
            <w:shd w:val="clear" w:color="auto" w:fill="FFFFFF"/>
            <w:vAlign w:val="center"/>
          </w:tcPr>
          <w:p w14:paraId="053C747D">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w:t>
            </w:r>
          </w:p>
          <w:p w14:paraId="45E3C334">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1725" w:type="dxa"/>
            <w:shd w:val="clear" w:color="000000" w:fill="FFFFFF"/>
            <w:vAlign w:val="center"/>
          </w:tcPr>
          <w:p w14:paraId="08D7E5F0">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项目所设定的绩效目标是否依据充分，是否符合客观实际，用以反映和考核项目绩效目标与项目实施的相符情况。</w:t>
            </w:r>
          </w:p>
        </w:tc>
        <w:tc>
          <w:tcPr>
            <w:tcW w:w="5216" w:type="dxa"/>
            <w:shd w:val="clear" w:color="000000" w:fill="FFFFFF"/>
            <w:vAlign w:val="center"/>
          </w:tcPr>
          <w:p w14:paraId="28D40EE4">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（如未设定预算绩效目标，也可考核其他工作任务目标）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①项目是否有绩效目标；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②项目绩效目标与实际工作内容是否具有相关性；</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③项目预期产出效益和效果是否符合正常的业绩水平；</w:t>
            </w:r>
          </w:p>
          <w:p w14:paraId="3BF2F802">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④是否与预算确定的项目投资额或资金量相匹配。</w:t>
            </w:r>
          </w:p>
        </w:tc>
        <w:tc>
          <w:tcPr>
            <w:tcW w:w="1304" w:type="dxa"/>
            <w:gridSpan w:val="2"/>
            <w:shd w:val="clear" w:color="000000" w:fill="FFFFFF"/>
            <w:vAlign w:val="center"/>
          </w:tcPr>
          <w:p w14:paraId="7434DE34">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1365" w:type="dxa"/>
            <w:shd w:val="clear" w:color="000000" w:fill="FFFFFF"/>
            <w:vAlign w:val="center"/>
          </w:tcPr>
          <w:p w14:paraId="309D4B69">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3</w:t>
            </w:r>
          </w:p>
        </w:tc>
      </w:tr>
      <w:tr w14:paraId="3B3F88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1002" w:type="dxa"/>
            <w:vMerge w:val="continue"/>
            <w:shd w:val="clear" w:color="auto" w:fill="FFFFFF"/>
            <w:vAlign w:val="center"/>
          </w:tcPr>
          <w:p w14:paraId="283EBD45">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14:paraId="32C27750">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4C73EAA8">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绩效指标</w:t>
            </w:r>
          </w:p>
          <w:p w14:paraId="133A4809">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明确性</w:t>
            </w:r>
          </w:p>
        </w:tc>
        <w:tc>
          <w:tcPr>
            <w:tcW w:w="1725" w:type="dxa"/>
            <w:shd w:val="clear" w:color="000000" w:fill="FFFFFF"/>
            <w:vAlign w:val="center"/>
          </w:tcPr>
          <w:p w14:paraId="58E82FF6">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依据绩效目标设定的绩效指标是否清晰、细化、可衡量等，用以反映和考核项目绩效目标的明细化情况。</w:t>
            </w:r>
          </w:p>
        </w:tc>
        <w:tc>
          <w:tcPr>
            <w:tcW w:w="5216" w:type="dxa"/>
            <w:shd w:val="clear" w:color="000000" w:fill="FFFFFF"/>
            <w:vAlign w:val="center"/>
          </w:tcPr>
          <w:p w14:paraId="3A63CF28">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①是否将项目绩效目标细化分解为具体的绩效指标；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②是否通过清晰、可衡量的指标值予以体现；</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③是否与项目目标任务数或计划数相对应。</w:t>
            </w:r>
            <w:r>
              <w:rPr>
                <w:rFonts w:hint="default" w:ascii="Times New Roman" w:hAnsi="Times New Roman" w:eastAsia="仿宋_GB2312" w:cs="Times New Roman"/>
                <w:color w:val="000000"/>
                <w:kern w:val="0"/>
                <w:sz w:val="18"/>
                <w:szCs w:val="18"/>
              </w:rPr>
              <w:br w:type="textWrapping"/>
            </w:r>
          </w:p>
        </w:tc>
        <w:tc>
          <w:tcPr>
            <w:tcW w:w="1304" w:type="dxa"/>
            <w:gridSpan w:val="2"/>
            <w:shd w:val="clear" w:color="000000" w:fill="FFFFFF"/>
            <w:vAlign w:val="center"/>
          </w:tcPr>
          <w:p w14:paraId="1A6C36B5">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1365" w:type="dxa"/>
            <w:shd w:val="clear" w:color="000000" w:fill="FFFFFF"/>
            <w:vAlign w:val="center"/>
          </w:tcPr>
          <w:p w14:paraId="79755503">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3</w:t>
            </w:r>
          </w:p>
        </w:tc>
      </w:tr>
      <w:tr w14:paraId="3FBB39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1002" w:type="dxa"/>
            <w:vMerge w:val="continue"/>
            <w:shd w:val="clear" w:color="auto" w:fill="FFFFFF"/>
            <w:vAlign w:val="center"/>
          </w:tcPr>
          <w:p w14:paraId="2002950B">
            <w:pPr>
              <w:spacing w:line="0" w:lineRule="atLeast"/>
              <w:jc w:val="center"/>
              <w:rPr>
                <w:rFonts w:hint="default" w:ascii="Times New Roman" w:hAnsi="Times New Roman" w:eastAsia="仿宋_GB2312" w:cs="Times New Roman"/>
                <w:color w:val="000000"/>
                <w:kern w:val="0"/>
                <w:sz w:val="18"/>
                <w:szCs w:val="18"/>
              </w:rPr>
            </w:pPr>
          </w:p>
        </w:tc>
        <w:tc>
          <w:tcPr>
            <w:tcW w:w="1000" w:type="dxa"/>
            <w:vMerge w:val="restart"/>
            <w:shd w:val="clear" w:color="auto" w:fill="FFFFFF"/>
            <w:vAlign w:val="center"/>
          </w:tcPr>
          <w:p w14:paraId="1E8F580B">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资金投入</w:t>
            </w:r>
          </w:p>
          <w:p w14:paraId="16E4AD7D">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1071" w:type="dxa"/>
            <w:shd w:val="clear" w:color="auto" w:fill="FFFFFF"/>
            <w:vAlign w:val="center"/>
          </w:tcPr>
          <w:p w14:paraId="6040A535">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预算编制</w:t>
            </w:r>
          </w:p>
          <w:p w14:paraId="7F629757">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科学性</w:t>
            </w:r>
          </w:p>
        </w:tc>
        <w:tc>
          <w:tcPr>
            <w:tcW w:w="1725" w:type="dxa"/>
            <w:shd w:val="clear" w:color="auto" w:fill="FFFFFF"/>
            <w:vAlign w:val="center"/>
          </w:tcPr>
          <w:p w14:paraId="53728B77">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项目预算编制是否经过科学论证、有明确标准，资金额度与年度目标是否相适应，用以反映和考核项目预算编制的科学性、合理性情况。</w:t>
            </w:r>
          </w:p>
        </w:tc>
        <w:tc>
          <w:tcPr>
            <w:tcW w:w="5216" w:type="dxa"/>
            <w:shd w:val="clear" w:color="auto" w:fill="FFFFFF"/>
            <w:vAlign w:val="center"/>
          </w:tcPr>
          <w:p w14:paraId="30F73FDA">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①预算编制是否经过科学论证；</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②预算内容与项目内容是否匹配；</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③预算额度测算依据是否充分，是否按照标准编制；</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④预算确定的项目投资额或资金量是否与工作任务相匹配。</w:t>
            </w:r>
          </w:p>
        </w:tc>
        <w:tc>
          <w:tcPr>
            <w:tcW w:w="1304" w:type="dxa"/>
            <w:gridSpan w:val="2"/>
            <w:shd w:val="clear" w:color="auto" w:fill="FFFFFF"/>
            <w:vAlign w:val="center"/>
          </w:tcPr>
          <w:p w14:paraId="3130375D">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shd w:val="clear" w:color="auto" w:fill="FFFFFF"/>
            <w:vAlign w:val="center"/>
          </w:tcPr>
          <w:p w14:paraId="370DD86E">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4</w:t>
            </w:r>
          </w:p>
        </w:tc>
      </w:tr>
      <w:tr w14:paraId="614FC7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1002" w:type="dxa"/>
            <w:vMerge w:val="continue"/>
            <w:shd w:val="clear" w:color="auto" w:fill="FFFFFF"/>
            <w:vAlign w:val="center"/>
          </w:tcPr>
          <w:p w14:paraId="27297271">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14:paraId="02EB72D8">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45A3BB6B">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资金分配</w:t>
            </w:r>
          </w:p>
          <w:p w14:paraId="3CAF878F">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1725" w:type="dxa"/>
            <w:shd w:val="clear" w:color="auto" w:fill="FFFFFF"/>
            <w:vAlign w:val="center"/>
          </w:tcPr>
          <w:p w14:paraId="52FE364F">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项目预算资金分配是否有测算依据，与补助单位或地方实际是否相适应，用以反映和考核项目预算资金分配的科学性、合理性情况。</w:t>
            </w:r>
          </w:p>
        </w:tc>
        <w:tc>
          <w:tcPr>
            <w:tcW w:w="5216" w:type="dxa"/>
            <w:shd w:val="clear" w:color="auto" w:fill="FFFFFF"/>
            <w:vAlign w:val="center"/>
          </w:tcPr>
          <w:p w14:paraId="433924FA">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①预算资金分配依据是否充分；</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②资金分配额度是否合理，与项目单位或地方实际是否相适应。</w:t>
            </w:r>
          </w:p>
        </w:tc>
        <w:tc>
          <w:tcPr>
            <w:tcW w:w="1304" w:type="dxa"/>
            <w:gridSpan w:val="2"/>
            <w:shd w:val="clear" w:color="auto" w:fill="FFFFFF"/>
            <w:vAlign w:val="center"/>
          </w:tcPr>
          <w:p w14:paraId="37A30DAD">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shd w:val="clear" w:color="auto" w:fill="FFFFFF"/>
            <w:vAlign w:val="center"/>
          </w:tcPr>
          <w:p w14:paraId="53DDDA14">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4</w:t>
            </w:r>
          </w:p>
        </w:tc>
      </w:tr>
      <w:tr w14:paraId="1A0B54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1002" w:type="dxa"/>
            <w:vMerge w:val="restart"/>
            <w:shd w:val="clear" w:color="auto" w:fill="FFFFFF"/>
            <w:vAlign w:val="center"/>
          </w:tcPr>
          <w:p w14:paraId="3DA52353">
            <w:pPr>
              <w:spacing w:line="0" w:lineRule="atLeast"/>
              <w:jc w:val="center"/>
              <w:rPr>
                <w:rFonts w:hint="default" w:ascii="Times New Roman" w:hAnsi="Times New Roman" w:eastAsia="仿宋_GB2312" w:cs="Times New Roman"/>
                <w:color w:val="000000"/>
                <w:kern w:val="0"/>
                <w:sz w:val="18"/>
                <w:szCs w:val="18"/>
              </w:rPr>
            </w:pPr>
          </w:p>
          <w:p w14:paraId="762C7507">
            <w:pPr>
              <w:spacing w:line="0" w:lineRule="atLeast"/>
              <w:jc w:val="center"/>
              <w:rPr>
                <w:rFonts w:hint="default" w:ascii="Times New Roman" w:hAnsi="Times New Roman" w:eastAsia="仿宋_GB2312" w:cs="Times New Roman"/>
                <w:color w:val="000000"/>
                <w:kern w:val="0"/>
                <w:sz w:val="18"/>
                <w:szCs w:val="18"/>
              </w:rPr>
            </w:pPr>
          </w:p>
          <w:p w14:paraId="22520293">
            <w:pPr>
              <w:spacing w:line="0" w:lineRule="atLeast"/>
              <w:jc w:val="center"/>
              <w:rPr>
                <w:rFonts w:hint="default" w:ascii="Times New Roman" w:hAnsi="Times New Roman" w:eastAsia="仿宋_GB2312" w:cs="Times New Roman"/>
                <w:color w:val="000000"/>
                <w:kern w:val="0"/>
                <w:sz w:val="18"/>
                <w:szCs w:val="18"/>
              </w:rPr>
            </w:pPr>
          </w:p>
          <w:p w14:paraId="4A6ECADC">
            <w:pPr>
              <w:spacing w:line="0" w:lineRule="atLeast"/>
              <w:jc w:val="center"/>
              <w:rPr>
                <w:rFonts w:hint="default" w:ascii="Times New Roman" w:hAnsi="Times New Roman" w:eastAsia="仿宋_GB2312" w:cs="Times New Roman"/>
                <w:color w:val="000000"/>
                <w:kern w:val="0"/>
                <w:sz w:val="18"/>
                <w:szCs w:val="18"/>
              </w:rPr>
            </w:pPr>
          </w:p>
          <w:p w14:paraId="10F5A6F2">
            <w:pPr>
              <w:spacing w:line="0" w:lineRule="atLeast"/>
              <w:jc w:val="center"/>
              <w:rPr>
                <w:rFonts w:hint="default" w:ascii="Times New Roman" w:hAnsi="Times New Roman" w:eastAsia="仿宋_GB2312" w:cs="Times New Roman"/>
                <w:color w:val="000000"/>
                <w:kern w:val="0"/>
                <w:sz w:val="18"/>
                <w:szCs w:val="18"/>
              </w:rPr>
            </w:pPr>
          </w:p>
          <w:p w14:paraId="446718FB">
            <w:pPr>
              <w:spacing w:line="0" w:lineRule="atLeast"/>
              <w:jc w:val="center"/>
              <w:rPr>
                <w:rFonts w:hint="default" w:ascii="Times New Roman" w:hAnsi="Times New Roman" w:eastAsia="仿宋_GB2312" w:cs="Times New Roman"/>
                <w:color w:val="000000"/>
                <w:kern w:val="0"/>
                <w:sz w:val="18"/>
                <w:szCs w:val="18"/>
              </w:rPr>
            </w:pPr>
          </w:p>
          <w:p w14:paraId="7C6B3AE4">
            <w:pPr>
              <w:spacing w:line="0" w:lineRule="atLeast"/>
              <w:jc w:val="center"/>
              <w:rPr>
                <w:rFonts w:hint="default" w:ascii="Times New Roman" w:hAnsi="Times New Roman" w:eastAsia="仿宋_GB2312" w:cs="Times New Roman"/>
                <w:color w:val="000000"/>
                <w:kern w:val="0"/>
                <w:sz w:val="18"/>
                <w:szCs w:val="18"/>
              </w:rPr>
            </w:pPr>
          </w:p>
          <w:p w14:paraId="366EE894">
            <w:pPr>
              <w:spacing w:line="0" w:lineRule="atLeast"/>
              <w:jc w:val="center"/>
              <w:rPr>
                <w:rFonts w:hint="default" w:ascii="Times New Roman" w:hAnsi="Times New Roman" w:eastAsia="仿宋_GB2312" w:cs="Times New Roman"/>
                <w:color w:val="000000"/>
                <w:kern w:val="0"/>
                <w:sz w:val="18"/>
                <w:szCs w:val="18"/>
              </w:rPr>
            </w:pPr>
          </w:p>
          <w:p w14:paraId="52A77097">
            <w:pPr>
              <w:spacing w:line="0" w:lineRule="atLeast"/>
              <w:jc w:val="center"/>
              <w:rPr>
                <w:rFonts w:hint="default" w:ascii="Times New Roman" w:hAnsi="Times New Roman" w:eastAsia="仿宋_GB2312" w:cs="Times New Roman"/>
                <w:color w:val="000000"/>
                <w:kern w:val="0"/>
                <w:sz w:val="18"/>
                <w:szCs w:val="18"/>
              </w:rPr>
            </w:pPr>
          </w:p>
          <w:p w14:paraId="15E954A4">
            <w:pPr>
              <w:spacing w:line="0" w:lineRule="atLeast"/>
              <w:jc w:val="center"/>
              <w:rPr>
                <w:rFonts w:hint="default" w:ascii="Times New Roman" w:hAnsi="Times New Roman" w:eastAsia="仿宋_GB2312" w:cs="Times New Roman"/>
                <w:color w:val="000000"/>
                <w:kern w:val="0"/>
                <w:sz w:val="18"/>
                <w:szCs w:val="18"/>
              </w:rPr>
            </w:pPr>
          </w:p>
          <w:p w14:paraId="1C94BC8B">
            <w:pPr>
              <w:spacing w:line="0" w:lineRule="atLeast"/>
              <w:jc w:val="center"/>
              <w:rPr>
                <w:rFonts w:hint="default" w:ascii="Times New Roman" w:hAnsi="Times New Roman" w:eastAsia="仿宋_GB2312" w:cs="Times New Roman"/>
                <w:color w:val="000000"/>
                <w:kern w:val="0"/>
                <w:sz w:val="18"/>
                <w:szCs w:val="18"/>
              </w:rPr>
            </w:pPr>
          </w:p>
          <w:p w14:paraId="630368AF">
            <w:pPr>
              <w:spacing w:line="0" w:lineRule="atLeast"/>
              <w:jc w:val="center"/>
              <w:rPr>
                <w:rFonts w:hint="default" w:ascii="Times New Roman" w:hAnsi="Times New Roman" w:eastAsia="仿宋_GB2312" w:cs="Times New Roman"/>
                <w:color w:val="000000"/>
                <w:kern w:val="0"/>
                <w:sz w:val="18"/>
                <w:szCs w:val="18"/>
              </w:rPr>
            </w:pPr>
          </w:p>
          <w:p w14:paraId="3A48C224">
            <w:pPr>
              <w:spacing w:line="0" w:lineRule="atLeast"/>
              <w:jc w:val="center"/>
              <w:rPr>
                <w:rFonts w:hint="default" w:ascii="Times New Roman" w:hAnsi="Times New Roman" w:eastAsia="仿宋_GB2312" w:cs="Times New Roman"/>
                <w:color w:val="000000"/>
                <w:kern w:val="0"/>
                <w:sz w:val="18"/>
                <w:szCs w:val="18"/>
              </w:rPr>
            </w:pPr>
          </w:p>
          <w:p w14:paraId="2971E470">
            <w:pPr>
              <w:spacing w:line="0" w:lineRule="atLeast"/>
              <w:jc w:val="center"/>
              <w:rPr>
                <w:rFonts w:hint="default" w:ascii="Times New Roman" w:hAnsi="Times New Roman" w:eastAsia="仿宋_GB2312" w:cs="Times New Roman"/>
                <w:color w:val="000000"/>
                <w:kern w:val="0"/>
                <w:sz w:val="18"/>
                <w:szCs w:val="18"/>
              </w:rPr>
            </w:pPr>
          </w:p>
          <w:p w14:paraId="3C85AEA2">
            <w:pPr>
              <w:spacing w:line="0" w:lineRule="atLeast"/>
              <w:jc w:val="center"/>
              <w:rPr>
                <w:rFonts w:hint="default" w:ascii="Times New Roman" w:hAnsi="Times New Roman" w:eastAsia="仿宋_GB2312" w:cs="Times New Roman"/>
                <w:color w:val="000000"/>
                <w:kern w:val="0"/>
                <w:sz w:val="18"/>
                <w:szCs w:val="18"/>
              </w:rPr>
            </w:pPr>
          </w:p>
          <w:p w14:paraId="61AB0ABE">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过程</w:t>
            </w:r>
          </w:p>
          <w:p w14:paraId="6D356EDE">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1000" w:type="dxa"/>
            <w:vMerge w:val="restart"/>
            <w:shd w:val="clear" w:color="auto" w:fill="FFFFFF"/>
            <w:vAlign w:val="center"/>
          </w:tcPr>
          <w:p w14:paraId="5C7FFDFB">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1071" w:type="dxa"/>
            <w:shd w:val="clear" w:color="auto" w:fill="FFFFFF"/>
            <w:vAlign w:val="center"/>
          </w:tcPr>
          <w:p w14:paraId="513D79FA">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w:t>
            </w:r>
          </w:p>
        </w:tc>
        <w:tc>
          <w:tcPr>
            <w:tcW w:w="1725" w:type="dxa"/>
            <w:shd w:val="clear" w:color="000000" w:fill="FFFFFF"/>
            <w:vAlign w:val="center"/>
          </w:tcPr>
          <w:p w14:paraId="5CFE7155">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实际到位资金与预算资金的比率，用以反映和考核资金落实情况对项目实施的总体保障程度。</w:t>
            </w:r>
          </w:p>
        </w:tc>
        <w:tc>
          <w:tcPr>
            <w:tcW w:w="5216" w:type="dxa"/>
            <w:shd w:val="clear" w:color="000000" w:fill="FFFFFF"/>
            <w:vAlign w:val="center"/>
          </w:tcPr>
          <w:p w14:paraId="2642C3AB">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资金到位率=（实际到位资金/预算资金）×100%。</w:t>
            </w:r>
          </w:p>
          <w:p w14:paraId="0DDBBC6E">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实际到位资金：一定时期（本年度或项目期）内落实到具体项目的资金。</w:t>
            </w:r>
          </w:p>
          <w:p w14:paraId="7B1D8A5E">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预算资金：一定时期（本年度或项目期）内预算安排到具体项目的资金。</w:t>
            </w:r>
          </w:p>
        </w:tc>
        <w:tc>
          <w:tcPr>
            <w:tcW w:w="1304" w:type="dxa"/>
            <w:gridSpan w:val="2"/>
            <w:shd w:val="clear" w:color="000000" w:fill="FFFFFF"/>
            <w:vAlign w:val="center"/>
          </w:tcPr>
          <w:p w14:paraId="15A37662">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shd w:val="clear" w:color="000000" w:fill="FFFFFF"/>
            <w:vAlign w:val="center"/>
          </w:tcPr>
          <w:p w14:paraId="30BCD85E">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4</w:t>
            </w:r>
          </w:p>
        </w:tc>
      </w:tr>
      <w:tr w14:paraId="759228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1002" w:type="dxa"/>
            <w:vMerge w:val="continue"/>
            <w:shd w:val="clear" w:color="auto" w:fill="FFFFFF"/>
            <w:vAlign w:val="center"/>
          </w:tcPr>
          <w:p w14:paraId="760762D4">
            <w:pPr>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14:paraId="3C4D1DAA">
            <w:pPr>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56EDCB6E">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w:t>
            </w:r>
          </w:p>
        </w:tc>
        <w:tc>
          <w:tcPr>
            <w:tcW w:w="1725" w:type="dxa"/>
            <w:shd w:val="clear" w:color="auto" w:fill="FFFFFF"/>
            <w:vAlign w:val="center"/>
          </w:tcPr>
          <w:p w14:paraId="6974868E">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项目预算资金是否按照计划执行，用以反映或考核项目预算执行情况。</w:t>
            </w:r>
          </w:p>
        </w:tc>
        <w:tc>
          <w:tcPr>
            <w:tcW w:w="5216" w:type="dxa"/>
            <w:shd w:val="clear" w:color="auto" w:fill="FFFFFF"/>
            <w:vAlign w:val="center"/>
          </w:tcPr>
          <w:p w14:paraId="2832B014">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预算执行率=（实际支出资金/实际到位资金）×100%。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实际支出资金：一定时期（本年度或项目期）内项目实际拨付的资金。</w:t>
            </w:r>
          </w:p>
        </w:tc>
        <w:tc>
          <w:tcPr>
            <w:tcW w:w="1304" w:type="dxa"/>
            <w:gridSpan w:val="2"/>
            <w:shd w:val="clear" w:color="auto" w:fill="FFFFFF"/>
            <w:vAlign w:val="center"/>
          </w:tcPr>
          <w:p w14:paraId="4693CE4D">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shd w:val="clear" w:color="auto" w:fill="FFFFFF"/>
            <w:vAlign w:val="center"/>
          </w:tcPr>
          <w:p w14:paraId="53EF6579">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4</w:t>
            </w:r>
          </w:p>
        </w:tc>
      </w:tr>
      <w:tr w14:paraId="113758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002" w:type="dxa"/>
            <w:vMerge w:val="continue"/>
            <w:shd w:val="clear" w:color="auto" w:fill="FFFFFF"/>
            <w:vAlign w:val="center"/>
          </w:tcPr>
          <w:p w14:paraId="35CF43F8">
            <w:pPr>
              <w:spacing w:line="0" w:lineRule="atLeast"/>
              <w:jc w:val="center"/>
              <w:rPr>
                <w:rFonts w:hint="default" w:ascii="Times New Roman" w:hAnsi="Times New Roman" w:eastAsia="仿宋_GB2312" w:cs="Times New Roman"/>
                <w:color w:val="000000"/>
                <w:kern w:val="0"/>
                <w:sz w:val="18"/>
                <w:szCs w:val="18"/>
              </w:rPr>
            </w:pPr>
          </w:p>
        </w:tc>
        <w:tc>
          <w:tcPr>
            <w:tcW w:w="1000" w:type="dxa"/>
            <w:shd w:val="clear" w:color="auto" w:fill="FFFFFF"/>
            <w:vAlign w:val="center"/>
          </w:tcPr>
          <w:p w14:paraId="06A9CD0E">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1071" w:type="dxa"/>
            <w:shd w:val="clear" w:color="auto" w:fill="FFFFFF"/>
            <w:vAlign w:val="center"/>
          </w:tcPr>
          <w:p w14:paraId="3905C55C">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资金使用</w:t>
            </w:r>
          </w:p>
          <w:p w14:paraId="365D953F">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合规性</w:t>
            </w:r>
          </w:p>
        </w:tc>
        <w:tc>
          <w:tcPr>
            <w:tcW w:w="1725" w:type="dxa"/>
            <w:shd w:val="clear" w:color="000000" w:fill="FFFFFF"/>
            <w:vAlign w:val="center"/>
          </w:tcPr>
          <w:p w14:paraId="4B07E2EE">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项目资金使用是否符合相关的财务管理制度规定，用以反映和考核项目资金的规范运行情况。</w:t>
            </w:r>
          </w:p>
        </w:tc>
        <w:tc>
          <w:tcPr>
            <w:tcW w:w="5216" w:type="dxa"/>
            <w:shd w:val="clear" w:color="000000" w:fill="FFFFFF"/>
            <w:vAlign w:val="center"/>
          </w:tcPr>
          <w:p w14:paraId="750DB853">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①是否符合国家财经法规和财务管理制度以及有关专项资金管理办法的规定；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②资金的拨付是否有完整的审批程序和手续；</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③是否符合项目预算批复或合同规定的用途；</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④是否存在截留、挤占、挪用、虚列支出等情况。</w:t>
            </w:r>
          </w:p>
        </w:tc>
        <w:tc>
          <w:tcPr>
            <w:tcW w:w="1304" w:type="dxa"/>
            <w:gridSpan w:val="2"/>
            <w:shd w:val="clear" w:color="000000" w:fill="FFFFFF"/>
            <w:vAlign w:val="center"/>
          </w:tcPr>
          <w:p w14:paraId="4B58923B">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shd w:val="clear" w:color="000000" w:fill="FFFFFF"/>
            <w:vAlign w:val="center"/>
          </w:tcPr>
          <w:p w14:paraId="2ECD5096">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4</w:t>
            </w:r>
          </w:p>
        </w:tc>
      </w:tr>
      <w:tr w14:paraId="54CE07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1002" w:type="dxa"/>
            <w:vMerge w:val="continue"/>
            <w:shd w:val="clear" w:color="auto" w:fill="FFFFFF"/>
            <w:vAlign w:val="center"/>
          </w:tcPr>
          <w:p w14:paraId="4B74FE24">
            <w:pPr>
              <w:spacing w:line="0" w:lineRule="atLeast"/>
              <w:jc w:val="center"/>
              <w:rPr>
                <w:rFonts w:hint="default" w:ascii="Times New Roman" w:hAnsi="Times New Roman" w:eastAsia="仿宋_GB2312" w:cs="Times New Roman"/>
                <w:color w:val="000000"/>
                <w:kern w:val="0"/>
                <w:sz w:val="18"/>
                <w:szCs w:val="18"/>
              </w:rPr>
            </w:pPr>
          </w:p>
        </w:tc>
        <w:tc>
          <w:tcPr>
            <w:tcW w:w="1000" w:type="dxa"/>
            <w:vMerge w:val="restart"/>
            <w:shd w:val="clear" w:color="auto" w:fill="FFFFFF"/>
            <w:vAlign w:val="center"/>
          </w:tcPr>
          <w:p w14:paraId="1778FD00">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组织实施</w:t>
            </w:r>
          </w:p>
          <w:p w14:paraId="1BBB6EF7">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1071" w:type="dxa"/>
            <w:shd w:val="clear" w:color="auto" w:fill="FFFFFF"/>
            <w:vAlign w:val="center"/>
          </w:tcPr>
          <w:p w14:paraId="4D0C1364">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管理制度</w:t>
            </w:r>
          </w:p>
          <w:p w14:paraId="4E32DD8E">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健全性</w:t>
            </w:r>
          </w:p>
        </w:tc>
        <w:tc>
          <w:tcPr>
            <w:tcW w:w="1725" w:type="dxa"/>
            <w:shd w:val="clear" w:color="000000" w:fill="FFFFFF"/>
            <w:vAlign w:val="center"/>
          </w:tcPr>
          <w:p w14:paraId="4F0FD798">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项目实施单位的财务和业务管理制度是否健全，用以反映和考核财务和业务管理制度对项目顺利实施的保障情况。</w:t>
            </w:r>
          </w:p>
        </w:tc>
        <w:tc>
          <w:tcPr>
            <w:tcW w:w="5216" w:type="dxa"/>
            <w:shd w:val="clear" w:color="000000" w:fill="FFFFFF"/>
            <w:vAlign w:val="center"/>
          </w:tcPr>
          <w:p w14:paraId="7CF8B24D">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①是否已制定或具有相应的财务和业务管理制度；</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②财务和业务管理制度是否合法、合规、完整。</w:t>
            </w:r>
          </w:p>
        </w:tc>
        <w:tc>
          <w:tcPr>
            <w:tcW w:w="1304" w:type="dxa"/>
            <w:gridSpan w:val="2"/>
            <w:shd w:val="clear" w:color="000000" w:fill="FFFFFF"/>
            <w:vAlign w:val="center"/>
          </w:tcPr>
          <w:p w14:paraId="236DA0CE">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shd w:val="clear" w:color="000000" w:fill="FFFFFF"/>
            <w:vAlign w:val="center"/>
          </w:tcPr>
          <w:p w14:paraId="391030D2">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4</w:t>
            </w:r>
          </w:p>
        </w:tc>
      </w:tr>
      <w:tr w14:paraId="5CA2B9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1002" w:type="dxa"/>
            <w:vMerge w:val="continue"/>
            <w:shd w:val="clear" w:color="auto" w:fill="FFFFFF"/>
            <w:vAlign w:val="center"/>
          </w:tcPr>
          <w:p w14:paraId="39791C45">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14:paraId="5ADB1FA2">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47164A53">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制度执行</w:t>
            </w:r>
          </w:p>
          <w:p w14:paraId="6C71E358">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有效性</w:t>
            </w:r>
          </w:p>
        </w:tc>
        <w:tc>
          <w:tcPr>
            <w:tcW w:w="1725" w:type="dxa"/>
            <w:shd w:val="clear" w:color="000000" w:fill="FFFFFF"/>
            <w:vAlign w:val="center"/>
          </w:tcPr>
          <w:p w14:paraId="004B978E">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项目实施是否符合相关管理规定，用以反映和考核相关管理制度的有效执行情况。</w:t>
            </w:r>
          </w:p>
        </w:tc>
        <w:tc>
          <w:tcPr>
            <w:tcW w:w="5216" w:type="dxa"/>
            <w:shd w:val="clear" w:color="000000" w:fill="FFFFFF"/>
            <w:vAlign w:val="center"/>
          </w:tcPr>
          <w:p w14:paraId="19532F92">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①是否遵守相关法律法规和相关管理规定；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②项目调整及支出调整手续是否完备；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③项目合同书、验收报告、技术鉴定等资料是否齐全并及时归档；</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④项目实施的人员条件、场地设备、信息支撑等是否落实到位。</w:t>
            </w:r>
          </w:p>
        </w:tc>
        <w:tc>
          <w:tcPr>
            <w:tcW w:w="1304" w:type="dxa"/>
            <w:gridSpan w:val="2"/>
            <w:shd w:val="clear" w:color="000000" w:fill="FFFFFF"/>
            <w:vAlign w:val="center"/>
          </w:tcPr>
          <w:p w14:paraId="25C8ABDC">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shd w:val="clear" w:color="000000" w:fill="FFFFFF"/>
            <w:vAlign w:val="center"/>
          </w:tcPr>
          <w:p w14:paraId="1507CD64">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4</w:t>
            </w:r>
          </w:p>
        </w:tc>
      </w:tr>
      <w:tr w14:paraId="04F280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1002" w:type="dxa"/>
            <w:vMerge w:val="restart"/>
            <w:shd w:val="clear" w:color="auto" w:fill="FFFFFF"/>
            <w:vAlign w:val="center"/>
          </w:tcPr>
          <w:p w14:paraId="4D003711">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w:t>
            </w:r>
          </w:p>
        </w:tc>
        <w:tc>
          <w:tcPr>
            <w:tcW w:w="1000" w:type="dxa"/>
            <w:shd w:val="clear" w:color="auto" w:fill="FFFFFF"/>
            <w:vAlign w:val="center"/>
          </w:tcPr>
          <w:p w14:paraId="3A787C16">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产出数量</w:t>
            </w:r>
          </w:p>
        </w:tc>
        <w:tc>
          <w:tcPr>
            <w:tcW w:w="1071" w:type="dxa"/>
            <w:shd w:val="clear" w:color="auto" w:fill="FFFFFF"/>
            <w:vAlign w:val="center"/>
          </w:tcPr>
          <w:p w14:paraId="5202FC48">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实际完成率</w:t>
            </w:r>
          </w:p>
        </w:tc>
        <w:tc>
          <w:tcPr>
            <w:tcW w:w="1725" w:type="dxa"/>
            <w:shd w:val="clear" w:color="000000" w:fill="FFFFFF"/>
            <w:vAlign w:val="center"/>
          </w:tcPr>
          <w:p w14:paraId="33A0BFFF">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项目实施的实际产出数与计划产出数的比率，用以反映和考核项目产出数量目标的实现程度。</w:t>
            </w:r>
          </w:p>
        </w:tc>
        <w:tc>
          <w:tcPr>
            <w:tcW w:w="5216" w:type="dxa"/>
            <w:shd w:val="clear" w:color="000000" w:fill="FFFFFF"/>
            <w:vAlign w:val="center"/>
          </w:tcPr>
          <w:p w14:paraId="4B4DD542">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实际完成率=（实际产出数/计划产出数）×100%。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实际产出数：一定时期（本年度或项目期）内项目实际产出的产品或提供的服务数量。</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计划产出数：项目绩效目标确定的在一定时期（本年度或项目期）内计划产出的产品或提供的服务数量。</w:t>
            </w:r>
          </w:p>
        </w:tc>
        <w:tc>
          <w:tcPr>
            <w:tcW w:w="1304" w:type="dxa"/>
            <w:gridSpan w:val="2"/>
            <w:shd w:val="clear" w:color="000000" w:fill="FFFFFF"/>
            <w:vAlign w:val="center"/>
          </w:tcPr>
          <w:p w14:paraId="4CC1D7C7">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5" w:type="dxa"/>
            <w:shd w:val="clear" w:color="000000" w:fill="FFFFFF"/>
            <w:vAlign w:val="center"/>
          </w:tcPr>
          <w:p w14:paraId="386BA39A">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10</w:t>
            </w:r>
          </w:p>
        </w:tc>
      </w:tr>
      <w:tr w14:paraId="2ADFA5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73" w:hRule="atLeast"/>
          <w:jc w:val="center"/>
        </w:trPr>
        <w:tc>
          <w:tcPr>
            <w:tcW w:w="1002" w:type="dxa"/>
            <w:vMerge w:val="continue"/>
            <w:shd w:val="clear" w:color="auto" w:fill="FFFFFF"/>
            <w:vAlign w:val="center"/>
          </w:tcPr>
          <w:p w14:paraId="54B18642">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shd w:val="clear" w:color="auto" w:fill="FFFFFF"/>
            <w:vAlign w:val="center"/>
          </w:tcPr>
          <w:p w14:paraId="02703EC1">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产出质量</w:t>
            </w:r>
          </w:p>
        </w:tc>
        <w:tc>
          <w:tcPr>
            <w:tcW w:w="1071" w:type="dxa"/>
            <w:shd w:val="clear" w:color="auto" w:fill="FFFFFF"/>
            <w:vAlign w:val="center"/>
          </w:tcPr>
          <w:p w14:paraId="71C78DAE">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w:t>
            </w:r>
          </w:p>
        </w:tc>
        <w:tc>
          <w:tcPr>
            <w:tcW w:w="1725" w:type="dxa"/>
            <w:shd w:val="clear" w:color="000000" w:fill="FFFFFF"/>
            <w:vAlign w:val="center"/>
          </w:tcPr>
          <w:p w14:paraId="1D50F762">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项目完成的质量达标产出数与实际产出数的比率，用以反映和考核项目产出质量目标的实现程度。</w:t>
            </w:r>
          </w:p>
        </w:tc>
        <w:tc>
          <w:tcPr>
            <w:tcW w:w="5216" w:type="dxa"/>
            <w:shd w:val="clear" w:color="000000" w:fill="FFFFFF"/>
            <w:vAlign w:val="center"/>
          </w:tcPr>
          <w:p w14:paraId="05EA4CD9">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质量达标率=（质量达标产出数/实际产出数）×100%。</w:t>
            </w:r>
          </w:p>
          <w:p w14:paraId="5C4659F8">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4" w:type="dxa"/>
            <w:gridSpan w:val="2"/>
            <w:shd w:val="clear" w:color="000000" w:fill="FFFFFF"/>
            <w:vAlign w:val="center"/>
          </w:tcPr>
          <w:p w14:paraId="10F5809C">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5" w:type="dxa"/>
            <w:shd w:val="clear" w:color="000000" w:fill="FFFFFF"/>
            <w:vAlign w:val="center"/>
          </w:tcPr>
          <w:p w14:paraId="6E8813D8">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10</w:t>
            </w:r>
          </w:p>
        </w:tc>
      </w:tr>
      <w:tr w14:paraId="3EE2BD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1002" w:type="dxa"/>
            <w:vMerge w:val="continue"/>
            <w:shd w:val="clear" w:color="auto" w:fill="FFFFFF"/>
            <w:vAlign w:val="center"/>
          </w:tcPr>
          <w:p w14:paraId="7C4D61BA">
            <w:pPr>
              <w:spacing w:line="0" w:lineRule="atLeast"/>
              <w:jc w:val="center"/>
              <w:rPr>
                <w:rFonts w:hint="default" w:ascii="Times New Roman" w:hAnsi="Times New Roman" w:eastAsia="仿宋_GB2312" w:cs="Times New Roman"/>
                <w:color w:val="000000"/>
                <w:kern w:val="0"/>
                <w:sz w:val="18"/>
                <w:szCs w:val="18"/>
              </w:rPr>
            </w:pPr>
          </w:p>
        </w:tc>
        <w:tc>
          <w:tcPr>
            <w:tcW w:w="1000" w:type="dxa"/>
            <w:shd w:val="clear" w:color="auto" w:fill="FFFFFF"/>
            <w:vAlign w:val="center"/>
          </w:tcPr>
          <w:p w14:paraId="53002587">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产出时效</w:t>
            </w:r>
          </w:p>
        </w:tc>
        <w:tc>
          <w:tcPr>
            <w:tcW w:w="1071" w:type="dxa"/>
            <w:shd w:val="clear" w:color="auto" w:fill="FFFFFF"/>
            <w:vAlign w:val="center"/>
          </w:tcPr>
          <w:p w14:paraId="08A5635E">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完成及时性</w:t>
            </w:r>
          </w:p>
        </w:tc>
        <w:tc>
          <w:tcPr>
            <w:tcW w:w="1725" w:type="dxa"/>
            <w:shd w:val="clear" w:color="000000" w:fill="FFFFFF"/>
            <w:vAlign w:val="center"/>
          </w:tcPr>
          <w:p w14:paraId="0741CA6F">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项目实际完成时间与计划完成时间的比较，用以反映和考核项目产出时效目标的实现程度。</w:t>
            </w:r>
          </w:p>
        </w:tc>
        <w:tc>
          <w:tcPr>
            <w:tcW w:w="5216" w:type="dxa"/>
            <w:shd w:val="clear" w:color="000000" w:fill="FFFFFF"/>
            <w:vAlign w:val="center"/>
          </w:tcPr>
          <w:p w14:paraId="0D7E0270">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实际完成时间：项目实施单位完成该项目实际所耗用的时间。</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计划完成时间：按照项目实施计划或相关规定完成该项目所需的时间。</w:t>
            </w:r>
          </w:p>
        </w:tc>
        <w:tc>
          <w:tcPr>
            <w:tcW w:w="1304" w:type="dxa"/>
            <w:gridSpan w:val="2"/>
            <w:shd w:val="clear" w:color="000000" w:fill="FFFFFF"/>
            <w:vAlign w:val="center"/>
          </w:tcPr>
          <w:p w14:paraId="07AFF607">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5" w:type="dxa"/>
            <w:shd w:val="clear" w:color="000000" w:fill="FFFFFF"/>
            <w:vAlign w:val="center"/>
          </w:tcPr>
          <w:p w14:paraId="2FCB51D1">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10</w:t>
            </w:r>
          </w:p>
        </w:tc>
      </w:tr>
      <w:tr w14:paraId="131746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002" w:type="dxa"/>
            <w:vMerge w:val="continue"/>
            <w:shd w:val="clear" w:color="auto" w:fill="FFFFFF"/>
            <w:vAlign w:val="center"/>
          </w:tcPr>
          <w:p w14:paraId="6BC8D163">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shd w:val="clear" w:color="auto" w:fill="FFFFFF"/>
            <w:vAlign w:val="center"/>
          </w:tcPr>
          <w:p w14:paraId="305E46CB">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highlight w:val="none"/>
              </w:rPr>
              <w:t>产出成本</w:t>
            </w:r>
          </w:p>
        </w:tc>
        <w:tc>
          <w:tcPr>
            <w:tcW w:w="1071" w:type="dxa"/>
            <w:shd w:val="clear" w:color="auto" w:fill="FFFFFF"/>
            <w:vAlign w:val="center"/>
          </w:tcPr>
          <w:p w14:paraId="6F4E66C4">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成本节约率</w:t>
            </w:r>
          </w:p>
        </w:tc>
        <w:tc>
          <w:tcPr>
            <w:tcW w:w="1725" w:type="dxa"/>
            <w:shd w:val="clear" w:color="000000" w:fill="FFFFFF"/>
            <w:vAlign w:val="center"/>
          </w:tcPr>
          <w:p w14:paraId="79FD7C63">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完成项目计划工作目标的实际节约成本与计划成本的比率，用以反映和考核项目的成本节约程度。</w:t>
            </w:r>
          </w:p>
        </w:tc>
        <w:tc>
          <w:tcPr>
            <w:tcW w:w="5216" w:type="dxa"/>
            <w:shd w:val="clear" w:color="000000" w:fill="FFFFFF"/>
            <w:vAlign w:val="center"/>
          </w:tcPr>
          <w:p w14:paraId="75D2C704">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成本节约率=[（计划成本-实际成本）/计划成本]×100%。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实际成本：项目实施单位如期、保质、保量完成既定工作目标实际所耗费的支出。</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计划成本：项目实施单位为完成工作目标计划安排的支出，一般以项目预算为参考。</w:t>
            </w:r>
          </w:p>
        </w:tc>
        <w:tc>
          <w:tcPr>
            <w:tcW w:w="1304" w:type="dxa"/>
            <w:gridSpan w:val="2"/>
            <w:shd w:val="clear" w:color="000000" w:fill="FFFFFF"/>
            <w:vAlign w:val="center"/>
          </w:tcPr>
          <w:p w14:paraId="62E0F843">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5" w:type="dxa"/>
            <w:shd w:val="clear" w:color="000000" w:fill="FFFFFF"/>
            <w:vAlign w:val="center"/>
          </w:tcPr>
          <w:p w14:paraId="3DD8B4FF">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10</w:t>
            </w:r>
          </w:p>
        </w:tc>
      </w:tr>
      <w:tr w14:paraId="0671A6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1002" w:type="dxa"/>
            <w:vMerge w:val="restart"/>
            <w:shd w:val="clear" w:color="auto" w:fill="FFFFFF"/>
            <w:vAlign w:val="center"/>
          </w:tcPr>
          <w:p w14:paraId="01B59675">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效益　</w:t>
            </w:r>
          </w:p>
        </w:tc>
        <w:tc>
          <w:tcPr>
            <w:tcW w:w="1000" w:type="dxa"/>
            <w:vMerge w:val="restart"/>
            <w:shd w:val="clear" w:color="auto" w:fill="FFFFFF"/>
            <w:vAlign w:val="center"/>
          </w:tcPr>
          <w:p w14:paraId="21103835">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项目效益　</w:t>
            </w:r>
          </w:p>
        </w:tc>
        <w:tc>
          <w:tcPr>
            <w:tcW w:w="1071" w:type="dxa"/>
            <w:shd w:val="clear" w:color="auto" w:fill="FFFFFF"/>
            <w:vAlign w:val="center"/>
          </w:tcPr>
          <w:p w14:paraId="7C487689">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实施效益</w:t>
            </w:r>
          </w:p>
        </w:tc>
        <w:tc>
          <w:tcPr>
            <w:tcW w:w="1725" w:type="dxa"/>
            <w:shd w:val="clear" w:color="auto" w:fill="FFFFFF"/>
            <w:vAlign w:val="center"/>
          </w:tcPr>
          <w:p w14:paraId="3867A971">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项目实施所产生的效益。</w:t>
            </w:r>
          </w:p>
        </w:tc>
        <w:tc>
          <w:tcPr>
            <w:tcW w:w="5216" w:type="dxa"/>
            <w:shd w:val="clear" w:color="auto" w:fill="FFFFFF"/>
            <w:vAlign w:val="center"/>
          </w:tcPr>
          <w:p w14:paraId="1969EF5C">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项目实施所产生的社会效益、经济效益、生态效益、可持续影响等。可根据项目实际情况有选择地设置和细化。</w:t>
            </w:r>
          </w:p>
        </w:tc>
        <w:tc>
          <w:tcPr>
            <w:tcW w:w="1304" w:type="dxa"/>
            <w:gridSpan w:val="2"/>
            <w:shd w:val="clear" w:color="auto" w:fill="FFFFFF"/>
            <w:vAlign w:val="center"/>
          </w:tcPr>
          <w:p w14:paraId="42F3D79B">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5" w:type="dxa"/>
            <w:shd w:val="clear" w:color="auto" w:fill="FFFFFF"/>
            <w:vAlign w:val="center"/>
          </w:tcPr>
          <w:p w14:paraId="516EB555">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highlight w:val="none"/>
                <w:lang w:val="en-US" w:eastAsia="zh-CN"/>
              </w:rPr>
              <w:t>10</w:t>
            </w:r>
          </w:p>
        </w:tc>
      </w:tr>
      <w:tr w14:paraId="6351F7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1002" w:type="dxa"/>
            <w:vMerge w:val="continue"/>
            <w:shd w:val="clear" w:color="auto" w:fill="FFFFFF"/>
            <w:vAlign w:val="center"/>
          </w:tcPr>
          <w:p w14:paraId="7BBB715C">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14:paraId="2664480F">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2FD1DA43">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满意度</w:t>
            </w:r>
          </w:p>
        </w:tc>
        <w:tc>
          <w:tcPr>
            <w:tcW w:w="1725" w:type="dxa"/>
            <w:shd w:val="clear" w:color="000000" w:fill="FFFFFF"/>
            <w:vAlign w:val="center"/>
          </w:tcPr>
          <w:p w14:paraId="28813932">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社会公众或服务对象对项目实施效果的满意程度。</w:t>
            </w:r>
          </w:p>
        </w:tc>
        <w:tc>
          <w:tcPr>
            <w:tcW w:w="5216" w:type="dxa"/>
            <w:shd w:val="clear" w:color="000000" w:fill="FFFFFF"/>
            <w:vAlign w:val="center"/>
          </w:tcPr>
          <w:p w14:paraId="011698BE">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社会公众或服务对象是指因该项目实施而受到影响的部门（单位）、群体或个人。一般采取社会调查的方式。</w:t>
            </w:r>
          </w:p>
        </w:tc>
        <w:tc>
          <w:tcPr>
            <w:tcW w:w="1304" w:type="dxa"/>
            <w:gridSpan w:val="2"/>
            <w:shd w:val="clear" w:color="000000" w:fill="FFFFFF"/>
            <w:vAlign w:val="center"/>
          </w:tcPr>
          <w:p w14:paraId="102D961F">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10</w:t>
            </w:r>
          </w:p>
        </w:tc>
        <w:tc>
          <w:tcPr>
            <w:tcW w:w="1365" w:type="dxa"/>
            <w:shd w:val="clear" w:color="000000" w:fill="FFFFFF"/>
            <w:vAlign w:val="center"/>
          </w:tcPr>
          <w:p w14:paraId="49CBC1F3">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10</w:t>
            </w:r>
          </w:p>
        </w:tc>
      </w:tr>
      <w:tr w14:paraId="710528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93" w:hRule="atLeast"/>
          <w:jc w:val="center"/>
        </w:trPr>
        <w:tc>
          <w:tcPr>
            <w:tcW w:w="10019" w:type="dxa"/>
            <w:gridSpan w:val="6"/>
            <w:shd w:val="clear" w:color="auto" w:fill="FFFFFF"/>
            <w:vAlign w:val="center"/>
          </w:tcPr>
          <w:p w14:paraId="325D8F0C">
            <w:pPr>
              <w:widowControl/>
              <w:spacing w:line="0" w:lineRule="atLeast"/>
              <w:jc w:val="center"/>
              <w:rPr>
                <w:rFonts w:hint="eastAsia"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合计</w:t>
            </w:r>
          </w:p>
        </w:tc>
        <w:tc>
          <w:tcPr>
            <w:tcW w:w="1299" w:type="dxa"/>
            <w:shd w:val="clear" w:color="000000" w:fill="FFFFFF"/>
            <w:vAlign w:val="center"/>
          </w:tcPr>
          <w:p w14:paraId="0E861F79">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fldChar w:fldCharType="begin"/>
            </w:r>
            <w:r>
              <w:rPr>
                <w:rFonts w:hint="default" w:ascii="Times New Roman" w:hAnsi="Times New Roman" w:eastAsia="仿宋_GB2312" w:cs="Times New Roman"/>
                <w:b/>
                <w:bCs/>
                <w:color w:val="auto"/>
                <w:kern w:val="0"/>
                <w:sz w:val="18"/>
                <w:szCs w:val="18"/>
                <w:highlight w:val="none"/>
              </w:rPr>
              <w:instrText xml:space="preserve"> = sum(F2:F18) \* MERGEFORMAT </w:instrText>
            </w:r>
            <w:r>
              <w:rPr>
                <w:rFonts w:hint="default" w:ascii="Times New Roman" w:hAnsi="Times New Roman" w:eastAsia="仿宋_GB2312" w:cs="Times New Roman"/>
                <w:b/>
                <w:bCs/>
                <w:color w:val="auto"/>
                <w:kern w:val="0"/>
                <w:sz w:val="18"/>
                <w:szCs w:val="18"/>
                <w:highlight w:val="none"/>
              </w:rPr>
              <w:fldChar w:fldCharType="separate"/>
            </w:r>
            <w:r>
              <w:rPr>
                <w:rFonts w:hint="default" w:ascii="Times New Roman" w:hAnsi="Times New Roman" w:eastAsia="仿宋_GB2312" w:cs="Times New Roman"/>
                <w:b/>
                <w:bCs/>
                <w:color w:val="auto"/>
                <w:kern w:val="0"/>
                <w:sz w:val="18"/>
                <w:szCs w:val="18"/>
                <w:highlight w:val="none"/>
              </w:rPr>
              <w:t>100</w:t>
            </w:r>
            <w:r>
              <w:rPr>
                <w:rFonts w:hint="default" w:ascii="Times New Roman" w:hAnsi="Times New Roman" w:eastAsia="仿宋_GB2312" w:cs="Times New Roman"/>
                <w:b/>
                <w:bCs/>
                <w:color w:val="auto"/>
                <w:kern w:val="0"/>
                <w:sz w:val="18"/>
                <w:szCs w:val="18"/>
                <w:highlight w:val="none"/>
              </w:rPr>
              <w:fldChar w:fldCharType="end"/>
            </w:r>
          </w:p>
        </w:tc>
        <w:tc>
          <w:tcPr>
            <w:tcW w:w="1365" w:type="dxa"/>
            <w:shd w:val="clear" w:color="000000" w:fill="FFFFFF"/>
            <w:vAlign w:val="center"/>
          </w:tcPr>
          <w:p w14:paraId="1985C508">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100</w:t>
            </w:r>
          </w:p>
        </w:tc>
      </w:tr>
    </w:tbl>
    <w:p w14:paraId="0469EFBF">
      <w:pPr>
        <w:rPr>
          <w:rFonts w:hint="default" w:ascii="Times New Roman" w:hAnsi="Times New Roman" w:cs="Times New Roman"/>
        </w:rPr>
        <w:sectPr>
          <w:pgSz w:w="16838" w:h="11906" w:orient="landscape"/>
          <w:pgMar w:top="1800" w:right="1440" w:bottom="1558" w:left="1440" w:header="851" w:footer="992" w:gutter="0"/>
          <w:cols w:space="425" w:num="1"/>
          <w:docGrid w:type="lines" w:linePitch="312" w:charSpace="0"/>
        </w:sectPr>
      </w:pPr>
    </w:p>
    <w:p w14:paraId="23911BE7">
      <w:pPr>
        <w:spacing w:line="600" w:lineRule="exact"/>
        <w:rPr>
          <w:rFonts w:hint="eastAsia" w:eastAsia="黑体" w:cs="Times New Roman"/>
          <w:sz w:val="32"/>
          <w:szCs w:val="32"/>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2</w:t>
      </w:r>
    </w:p>
    <w:tbl>
      <w:tblPr>
        <w:tblStyle w:val="14"/>
        <w:tblW w:w="13717"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1079"/>
        <w:gridCol w:w="1079"/>
        <w:gridCol w:w="1291"/>
        <w:gridCol w:w="868"/>
        <w:gridCol w:w="1005"/>
        <w:gridCol w:w="630"/>
        <w:gridCol w:w="1499"/>
        <w:gridCol w:w="1334"/>
        <w:gridCol w:w="869"/>
        <w:gridCol w:w="779"/>
        <w:gridCol w:w="884"/>
        <w:gridCol w:w="615"/>
        <w:gridCol w:w="705"/>
        <w:gridCol w:w="1080"/>
      </w:tblGrid>
      <w:tr w14:paraId="7D846A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08" w:hRule="atLeast"/>
        </w:trPr>
        <w:tc>
          <w:tcPr>
            <w:tcW w:w="13717" w:type="dxa"/>
            <w:gridSpan w:val="14"/>
            <w:tcBorders>
              <w:top w:val="nil"/>
              <w:left w:val="nil"/>
              <w:bottom w:val="nil"/>
              <w:right w:val="nil"/>
            </w:tcBorders>
            <w:shd w:val="clear" w:color="auto" w:fill="auto"/>
            <w:tcMar>
              <w:top w:w="12" w:type="dxa"/>
              <w:left w:w="12" w:type="dxa"/>
              <w:right w:w="12" w:type="dxa"/>
            </w:tcMar>
            <w:vAlign w:val="center"/>
          </w:tcPr>
          <w:p w14:paraId="25483BDB">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项目支出绩效自评表</w:t>
            </w:r>
          </w:p>
        </w:tc>
      </w:tr>
      <w:tr w14:paraId="030E90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88" w:hRule="atLeast"/>
        </w:trPr>
        <w:tc>
          <w:tcPr>
            <w:tcW w:w="13717" w:type="dxa"/>
            <w:gridSpan w:val="14"/>
            <w:tcBorders>
              <w:top w:val="nil"/>
              <w:left w:val="nil"/>
              <w:bottom w:val="nil"/>
              <w:right w:val="nil"/>
            </w:tcBorders>
            <w:shd w:val="clear" w:color="auto" w:fill="auto"/>
            <w:tcMar>
              <w:top w:w="12" w:type="dxa"/>
              <w:left w:w="12" w:type="dxa"/>
              <w:right w:w="12" w:type="dxa"/>
            </w:tcMar>
            <w:vAlign w:val="center"/>
          </w:tcPr>
          <w:p w14:paraId="34449C96">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(2024年度)</w:t>
            </w:r>
          </w:p>
        </w:tc>
      </w:tr>
      <w:tr w14:paraId="4D720B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8" w:hRule="atLeast"/>
        </w:trPr>
        <w:tc>
          <w:tcPr>
            <w:tcW w:w="2158"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445D5DE">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项目名称</w:t>
            </w:r>
          </w:p>
        </w:tc>
        <w:tc>
          <w:tcPr>
            <w:tcW w:w="11559" w:type="dxa"/>
            <w:gridSpan w:val="1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677AAC0">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昌州财建[2023]97号奇台江布拉克机场场外供电项目35kv输变电工程</w:t>
            </w:r>
          </w:p>
        </w:tc>
      </w:tr>
      <w:tr w14:paraId="434DF6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88" w:hRule="atLeast"/>
        </w:trPr>
        <w:tc>
          <w:tcPr>
            <w:tcW w:w="2158"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F528DC3">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主管部门</w:t>
            </w:r>
          </w:p>
        </w:tc>
        <w:tc>
          <w:tcPr>
            <w:tcW w:w="5293"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3BB3C7E">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奇台县西北湾镇人民政府</w:t>
            </w:r>
          </w:p>
        </w:tc>
        <w:tc>
          <w:tcPr>
            <w:tcW w:w="2203"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CCB7AA5">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实施单位</w:t>
            </w:r>
          </w:p>
        </w:tc>
        <w:tc>
          <w:tcPr>
            <w:tcW w:w="4063"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1DB7A0">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奇台县西北湾镇人民政府</w:t>
            </w:r>
          </w:p>
        </w:tc>
      </w:tr>
      <w:tr w14:paraId="58EB31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215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F3F2A2D">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项目资金</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（万元）</w:t>
            </w:r>
          </w:p>
        </w:tc>
        <w:tc>
          <w:tcPr>
            <w:tcW w:w="215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24EE1CA">
            <w:pPr>
              <w:jc w:val="center"/>
              <w:rPr>
                <w:rFonts w:hint="eastAsia" w:ascii="宋体" w:hAnsi="宋体" w:eastAsia="宋体" w:cs="宋体"/>
                <w:i w:val="0"/>
                <w:color w:val="000000"/>
                <w:sz w:val="20"/>
                <w:szCs w:val="20"/>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FA3CAB1">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年初预算数</w:t>
            </w:r>
          </w:p>
        </w:tc>
        <w:tc>
          <w:tcPr>
            <w:tcW w:w="212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84E1A76">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全年预算数</w:t>
            </w:r>
          </w:p>
        </w:tc>
        <w:tc>
          <w:tcPr>
            <w:tcW w:w="2203"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25056F0">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全年执行数</w:t>
            </w:r>
          </w:p>
        </w:tc>
        <w:tc>
          <w:tcPr>
            <w:tcW w:w="1663"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34490F">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分值</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114CE6C">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执行率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AFEB3DC">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得分</w:t>
            </w:r>
          </w:p>
        </w:tc>
      </w:tr>
      <w:tr w14:paraId="1D141F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40" w:hRule="atLeast"/>
        </w:trPr>
        <w:tc>
          <w:tcPr>
            <w:tcW w:w="215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D9C2CE5">
            <w:pPr>
              <w:jc w:val="center"/>
              <w:rPr>
                <w:rFonts w:hint="eastAsia" w:ascii="宋体" w:hAnsi="宋体" w:eastAsia="宋体" w:cs="宋体"/>
                <w:i w:val="0"/>
                <w:color w:val="000000"/>
                <w:sz w:val="20"/>
                <w:szCs w:val="20"/>
                <w:u w:val="none"/>
              </w:rPr>
            </w:pPr>
          </w:p>
        </w:tc>
        <w:tc>
          <w:tcPr>
            <w:tcW w:w="215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B7B343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年度资金总额</w:t>
            </w:r>
          </w:p>
        </w:tc>
        <w:tc>
          <w:tcPr>
            <w:tcW w:w="100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07325F5">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400</w:t>
            </w:r>
          </w:p>
        </w:tc>
        <w:tc>
          <w:tcPr>
            <w:tcW w:w="212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A44CE78">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919.42</w:t>
            </w:r>
          </w:p>
        </w:tc>
        <w:tc>
          <w:tcPr>
            <w:tcW w:w="2203"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2D78F3C">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919.42</w:t>
            </w:r>
          </w:p>
        </w:tc>
        <w:tc>
          <w:tcPr>
            <w:tcW w:w="1663"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9F70E0">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8FF68F">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CFB81A">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10.00分</w:t>
            </w:r>
          </w:p>
        </w:tc>
      </w:tr>
      <w:tr w14:paraId="382D5D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40" w:hRule="atLeast"/>
        </w:trPr>
        <w:tc>
          <w:tcPr>
            <w:tcW w:w="215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04F4A6F">
            <w:pPr>
              <w:jc w:val="center"/>
              <w:rPr>
                <w:rFonts w:hint="eastAsia" w:ascii="宋体" w:hAnsi="宋体" w:eastAsia="宋体" w:cs="宋体"/>
                <w:i w:val="0"/>
                <w:color w:val="000000"/>
                <w:sz w:val="20"/>
                <w:szCs w:val="20"/>
                <w:u w:val="none"/>
              </w:rPr>
            </w:pPr>
          </w:p>
        </w:tc>
        <w:tc>
          <w:tcPr>
            <w:tcW w:w="215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6820E31">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其中：当年财政拨款</w:t>
            </w:r>
          </w:p>
        </w:tc>
        <w:tc>
          <w:tcPr>
            <w:tcW w:w="100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268D2C0">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400</w:t>
            </w:r>
          </w:p>
        </w:tc>
        <w:tc>
          <w:tcPr>
            <w:tcW w:w="212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FAF3DE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919.42</w:t>
            </w:r>
          </w:p>
        </w:tc>
        <w:tc>
          <w:tcPr>
            <w:tcW w:w="2203"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5E5F0EF">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919.42</w:t>
            </w:r>
          </w:p>
        </w:tc>
        <w:tc>
          <w:tcPr>
            <w:tcW w:w="1663"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0519500">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FCEFFC">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7657F8F">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r>
      <w:tr w14:paraId="7BA399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40" w:hRule="atLeast"/>
        </w:trPr>
        <w:tc>
          <w:tcPr>
            <w:tcW w:w="215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2F052F3">
            <w:pPr>
              <w:jc w:val="center"/>
              <w:rPr>
                <w:rFonts w:hint="eastAsia" w:ascii="宋体" w:hAnsi="宋体" w:eastAsia="宋体" w:cs="宋体"/>
                <w:i w:val="0"/>
                <w:color w:val="000000"/>
                <w:sz w:val="20"/>
                <w:szCs w:val="20"/>
                <w:u w:val="none"/>
              </w:rPr>
            </w:pPr>
          </w:p>
        </w:tc>
        <w:tc>
          <w:tcPr>
            <w:tcW w:w="215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BD0B625">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上年结转资金</w:t>
            </w:r>
          </w:p>
        </w:tc>
        <w:tc>
          <w:tcPr>
            <w:tcW w:w="100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85D70A3">
            <w:pPr>
              <w:jc w:val="center"/>
              <w:rPr>
                <w:rFonts w:hint="eastAsia" w:ascii="宋体" w:hAnsi="宋体" w:eastAsia="宋体" w:cs="宋体"/>
                <w:i w:val="0"/>
                <w:color w:val="000000"/>
                <w:sz w:val="20"/>
                <w:szCs w:val="20"/>
                <w:u w:val="none"/>
              </w:rPr>
            </w:pPr>
          </w:p>
        </w:tc>
        <w:tc>
          <w:tcPr>
            <w:tcW w:w="212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EA57F5">
            <w:pPr>
              <w:jc w:val="center"/>
              <w:rPr>
                <w:rFonts w:hint="eastAsia" w:ascii="宋体" w:hAnsi="宋体" w:eastAsia="宋体" w:cs="宋体"/>
                <w:i w:val="0"/>
                <w:color w:val="000000"/>
                <w:sz w:val="20"/>
                <w:szCs w:val="20"/>
                <w:u w:val="none"/>
              </w:rPr>
            </w:pPr>
          </w:p>
        </w:tc>
        <w:tc>
          <w:tcPr>
            <w:tcW w:w="2203"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57F3724">
            <w:pPr>
              <w:jc w:val="center"/>
              <w:rPr>
                <w:rFonts w:hint="eastAsia" w:ascii="宋体" w:hAnsi="宋体" w:eastAsia="宋体" w:cs="宋体"/>
                <w:i w:val="0"/>
                <w:color w:val="000000"/>
                <w:sz w:val="20"/>
                <w:szCs w:val="20"/>
                <w:u w:val="none"/>
              </w:rPr>
            </w:pPr>
          </w:p>
        </w:tc>
        <w:tc>
          <w:tcPr>
            <w:tcW w:w="1663"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6CD8DE9">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95978F9">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72EB9A8">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r>
      <w:tr w14:paraId="262D0E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40" w:hRule="atLeast"/>
        </w:trPr>
        <w:tc>
          <w:tcPr>
            <w:tcW w:w="215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682B91B">
            <w:pPr>
              <w:jc w:val="center"/>
              <w:rPr>
                <w:rFonts w:hint="eastAsia" w:ascii="宋体" w:hAnsi="宋体" w:eastAsia="宋体" w:cs="宋体"/>
                <w:i w:val="0"/>
                <w:color w:val="000000"/>
                <w:sz w:val="20"/>
                <w:szCs w:val="20"/>
                <w:u w:val="none"/>
              </w:rPr>
            </w:pPr>
          </w:p>
        </w:tc>
        <w:tc>
          <w:tcPr>
            <w:tcW w:w="215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1641A8D">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其他资金</w:t>
            </w:r>
          </w:p>
        </w:tc>
        <w:tc>
          <w:tcPr>
            <w:tcW w:w="100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A195541">
            <w:pPr>
              <w:jc w:val="center"/>
              <w:rPr>
                <w:rFonts w:hint="eastAsia" w:ascii="宋体" w:hAnsi="宋体" w:eastAsia="宋体" w:cs="宋体"/>
                <w:i w:val="0"/>
                <w:color w:val="000000"/>
                <w:sz w:val="20"/>
                <w:szCs w:val="20"/>
                <w:u w:val="none"/>
              </w:rPr>
            </w:pPr>
          </w:p>
        </w:tc>
        <w:tc>
          <w:tcPr>
            <w:tcW w:w="212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45BB71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w:t>
            </w:r>
          </w:p>
        </w:tc>
        <w:tc>
          <w:tcPr>
            <w:tcW w:w="2203"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F8B7A8">
            <w:pPr>
              <w:jc w:val="center"/>
              <w:rPr>
                <w:rFonts w:hint="eastAsia" w:ascii="宋体" w:hAnsi="宋体" w:eastAsia="宋体" w:cs="宋体"/>
                <w:i w:val="0"/>
                <w:color w:val="000000"/>
                <w:sz w:val="20"/>
                <w:szCs w:val="20"/>
                <w:u w:val="none"/>
              </w:rPr>
            </w:pPr>
          </w:p>
        </w:tc>
        <w:tc>
          <w:tcPr>
            <w:tcW w:w="1663"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D65E019">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E8D9F26">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9592C21">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r>
      <w:tr w14:paraId="3D54B9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00" w:hRule="atLeast"/>
        </w:trPr>
        <w:tc>
          <w:tcPr>
            <w:tcW w:w="1079"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7379CE">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年度总体目标</w:t>
            </w:r>
          </w:p>
        </w:tc>
        <w:tc>
          <w:tcPr>
            <w:tcW w:w="6372" w:type="dxa"/>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492D96D">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预期目标</w:t>
            </w:r>
          </w:p>
        </w:tc>
        <w:tc>
          <w:tcPr>
            <w:tcW w:w="6266" w:type="dxa"/>
            <w:gridSpan w:val="7"/>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FFB70D">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实际完成情况</w:t>
            </w:r>
          </w:p>
        </w:tc>
      </w:tr>
      <w:tr w14:paraId="2844BC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360" w:hRule="atLeast"/>
        </w:trPr>
        <w:tc>
          <w:tcPr>
            <w:tcW w:w="10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D01C965">
            <w:pPr>
              <w:jc w:val="center"/>
              <w:rPr>
                <w:rFonts w:hint="eastAsia" w:ascii="宋体" w:hAnsi="宋体" w:eastAsia="宋体" w:cs="宋体"/>
                <w:i w:val="0"/>
                <w:color w:val="000000"/>
                <w:sz w:val="20"/>
                <w:szCs w:val="20"/>
                <w:u w:val="none"/>
              </w:rPr>
            </w:pPr>
          </w:p>
        </w:tc>
        <w:tc>
          <w:tcPr>
            <w:tcW w:w="6372" w:type="dxa"/>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top"/>
          </w:tcPr>
          <w:p w14:paraId="34B8861A">
            <w:pPr>
              <w:keepNext w:val="0"/>
              <w:keepLines w:val="0"/>
              <w:widowControl/>
              <w:suppressLineNumbers w:val="0"/>
              <w:jc w:val="left"/>
              <w:textAlignment w:val="top"/>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根据昌州财建[2023]97号奇台江布拉克机场场外供电项目35kv输变电工程通知和奇乡财[2024]59号关于拨付奇台江布拉克机场场外供电项目耕地占用税文件精神，主要建设实施奇台江布拉克机场场外供电项目2条35kv输变电工程，1回接入110千伏古城变，1回接入110千伏犁铧变，在机场南侧新建35千伏变电站1座，配套变电站至机场用电等负荷点100千伏供电线路2.8KM及场内道路、事故油池等设施建设。确保工程验收合格率达100%，项目在当年及时开工，在批复阶段内及时竣工，资金支付及时率100%，项目资金支付笔数15笔，金额919.425519万元，资金支付有效保障机场供电。</w:t>
            </w:r>
          </w:p>
        </w:tc>
        <w:tc>
          <w:tcPr>
            <w:tcW w:w="6266" w:type="dxa"/>
            <w:gridSpan w:val="7"/>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top"/>
          </w:tcPr>
          <w:p w14:paraId="09E97801">
            <w:pPr>
              <w:keepNext w:val="0"/>
              <w:keepLines w:val="0"/>
              <w:widowControl/>
              <w:suppressLineNumbers w:val="0"/>
              <w:jc w:val="left"/>
              <w:textAlignment w:val="top"/>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截止2024年12月31日，该项目完成奇台江布拉克机场场外供电项目2条35kv输变电工程，1回接入110千伏古城变，1回接入110千伏犁铧变，在机场南侧新建35千伏变电站1座，配套变电站至机场用电等负荷点100千伏供电线路2.8KM及场内道路、事故油池等设施建设。确保工程验收合格率达100%，通过该项目实施实现奇台江布拉克机场年内通航的目标。带动周边地区经济发展和旅游资源开发。</w:t>
            </w:r>
          </w:p>
        </w:tc>
      </w:tr>
      <w:tr w14:paraId="548F1E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00" w:hRule="atLeast"/>
        </w:trPr>
        <w:tc>
          <w:tcPr>
            <w:tcW w:w="10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0E31B5">
            <w:pPr>
              <w:jc w:val="center"/>
              <w:rPr>
                <w:rFonts w:hint="eastAsia" w:ascii="宋体" w:hAnsi="宋体" w:eastAsia="宋体" w:cs="宋体"/>
                <w:i w:val="0"/>
                <w:color w:val="000000"/>
                <w:sz w:val="20"/>
                <w:szCs w:val="20"/>
                <w:u w:val="none"/>
              </w:rPr>
            </w:pPr>
          </w:p>
        </w:tc>
        <w:tc>
          <w:tcPr>
            <w:tcW w:w="1079" w:type="dxa"/>
            <w:tcBorders>
              <w:top w:val="single" w:color="000000" w:sz="4" w:space="0"/>
              <w:left w:val="single" w:color="000000" w:sz="4" w:space="0"/>
              <w:bottom w:val="single" w:color="000000" w:sz="4" w:space="0"/>
              <w:right w:val="nil"/>
            </w:tcBorders>
            <w:shd w:val="clear" w:color="auto" w:fill="auto"/>
            <w:tcMar>
              <w:top w:w="12" w:type="dxa"/>
              <w:left w:w="12" w:type="dxa"/>
              <w:right w:w="12" w:type="dxa"/>
            </w:tcMar>
            <w:vAlign w:val="top"/>
          </w:tcPr>
          <w:p w14:paraId="1684C702">
            <w:pPr>
              <w:jc w:val="left"/>
              <w:rPr>
                <w:rFonts w:hint="eastAsia" w:ascii="宋体" w:hAnsi="宋体" w:eastAsia="宋体" w:cs="宋体"/>
                <w:i w:val="0"/>
                <w:color w:val="000000"/>
                <w:sz w:val="20"/>
                <w:szCs w:val="20"/>
                <w:u w:val="none"/>
              </w:rPr>
            </w:pPr>
          </w:p>
        </w:tc>
        <w:tc>
          <w:tcPr>
            <w:tcW w:w="1291" w:type="dxa"/>
            <w:tcBorders>
              <w:top w:val="single" w:color="000000" w:sz="4" w:space="0"/>
              <w:left w:val="nil"/>
              <w:bottom w:val="single" w:color="000000" w:sz="4" w:space="0"/>
              <w:right w:val="nil"/>
            </w:tcBorders>
            <w:shd w:val="clear" w:color="auto" w:fill="auto"/>
            <w:tcMar>
              <w:top w:w="12" w:type="dxa"/>
              <w:left w:w="12" w:type="dxa"/>
              <w:right w:w="12" w:type="dxa"/>
            </w:tcMar>
            <w:vAlign w:val="top"/>
          </w:tcPr>
          <w:p w14:paraId="54937DB7">
            <w:pPr>
              <w:jc w:val="left"/>
              <w:rPr>
                <w:rFonts w:hint="eastAsia" w:ascii="宋体" w:hAnsi="宋体" w:eastAsia="宋体" w:cs="宋体"/>
                <w:i w:val="0"/>
                <w:color w:val="000000"/>
                <w:sz w:val="20"/>
                <w:szCs w:val="20"/>
                <w:u w:val="none"/>
              </w:rPr>
            </w:pPr>
          </w:p>
        </w:tc>
        <w:tc>
          <w:tcPr>
            <w:tcW w:w="868" w:type="dxa"/>
            <w:tcBorders>
              <w:top w:val="single" w:color="000000" w:sz="4" w:space="0"/>
              <w:left w:val="nil"/>
              <w:bottom w:val="single" w:color="000000" w:sz="4" w:space="0"/>
              <w:right w:val="nil"/>
            </w:tcBorders>
            <w:shd w:val="clear" w:color="auto" w:fill="auto"/>
            <w:tcMar>
              <w:top w:w="12" w:type="dxa"/>
              <w:left w:w="12" w:type="dxa"/>
              <w:right w:w="12" w:type="dxa"/>
            </w:tcMar>
            <w:vAlign w:val="top"/>
          </w:tcPr>
          <w:p w14:paraId="4BE87E71">
            <w:pPr>
              <w:jc w:val="left"/>
              <w:rPr>
                <w:rFonts w:hint="eastAsia" w:ascii="宋体" w:hAnsi="宋体" w:eastAsia="宋体" w:cs="宋体"/>
                <w:i w:val="0"/>
                <w:color w:val="000000"/>
                <w:sz w:val="20"/>
                <w:szCs w:val="20"/>
                <w:u w:val="none"/>
              </w:rPr>
            </w:pPr>
          </w:p>
        </w:tc>
        <w:tc>
          <w:tcPr>
            <w:tcW w:w="1005" w:type="dxa"/>
            <w:tcBorders>
              <w:top w:val="single" w:color="000000" w:sz="4" w:space="0"/>
              <w:left w:val="nil"/>
              <w:bottom w:val="single" w:color="000000" w:sz="4" w:space="0"/>
              <w:right w:val="nil"/>
            </w:tcBorders>
            <w:shd w:val="clear" w:color="auto" w:fill="auto"/>
            <w:tcMar>
              <w:top w:w="12" w:type="dxa"/>
              <w:left w:w="12" w:type="dxa"/>
              <w:right w:w="12" w:type="dxa"/>
            </w:tcMar>
            <w:vAlign w:val="top"/>
          </w:tcPr>
          <w:p w14:paraId="78EF4802">
            <w:pPr>
              <w:jc w:val="left"/>
              <w:rPr>
                <w:rFonts w:hint="eastAsia" w:ascii="宋体" w:hAnsi="宋体" w:eastAsia="宋体" w:cs="宋体"/>
                <w:i w:val="0"/>
                <w:color w:val="000000"/>
                <w:sz w:val="20"/>
                <w:szCs w:val="20"/>
                <w:u w:val="none"/>
              </w:rPr>
            </w:pPr>
          </w:p>
        </w:tc>
        <w:tc>
          <w:tcPr>
            <w:tcW w:w="630" w:type="dxa"/>
            <w:tcBorders>
              <w:top w:val="single" w:color="000000" w:sz="4" w:space="0"/>
              <w:left w:val="nil"/>
              <w:bottom w:val="single" w:color="000000" w:sz="4" w:space="0"/>
              <w:right w:val="nil"/>
            </w:tcBorders>
            <w:shd w:val="clear" w:color="auto" w:fill="auto"/>
            <w:tcMar>
              <w:top w:w="12" w:type="dxa"/>
              <w:left w:w="12" w:type="dxa"/>
              <w:right w:w="12" w:type="dxa"/>
            </w:tcMar>
            <w:vAlign w:val="top"/>
          </w:tcPr>
          <w:p w14:paraId="6781F5AF">
            <w:pPr>
              <w:jc w:val="left"/>
              <w:rPr>
                <w:rFonts w:hint="eastAsia" w:ascii="宋体" w:hAnsi="宋体" w:eastAsia="宋体" w:cs="宋体"/>
                <w:i w:val="0"/>
                <w:color w:val="000000"/>
                <w:sz w:val="20"/>
                <w:szCs w:val="20"/>
                <w:u w:val="none"/>
              </w:rPr>
            </w:pPr>
          </w:p>
        </w:tc>
        <w:tc>
          <w:tcPr>
            <w:tcW w:w="1499" w:type="dxa"/>
            <w:tcBorders>
              <w:top w:val="single" w:color="000000" w:sz="4" w:space="0"/>
              <w:left w:val="nil"/>
              <w:bottom w:val="single" w:color="000000" w:sz="4" w:space="0"/>
              <w:right w:val="single" w:color="000000" w:sz="4" w:space="0"/>
            </w:tcBorders>
            <w:shd w:val="clear" w:color="auto" w:fill="auto"/>
            <w:tcMar>
              <w:top w:w="12" w:type="dxa"/>
              <w:left w:w="12" w:type="dxa"/>
              <w:right w:w="12" w:type="dxa"/>
            </w:tcMar>
            <w:vAlign w:val="top"/>
          </w:tcPr>
          <w:p w14:paraId="1822AF2E">
            <w:pPr>
              <w:jc w:val="left"/>
              <w:rPr>
                <w:rFonts w:hint="eastAsia" w:ascii="宋体" w:hAnsi="宋体" w:eastAsia="宋体" w:cs="宋体"/>
                <w:i w:val="0"/>
                <w:color w:val="000000"/>
                <w:sz w:val="20"/>
                <w:szCs w:val="20"/>
                <w:u w:val="none"/>
              </w:rPr>
            </w:pPr>
          </w:p>
        </w:tc>
        <w:tc>
          <w:tcPr>
            <w:tcW w:w="1334" w:type="dxa"/>
            <w:tcBorders>
              <w:top w:val="single" w:color="000000" w:sz="4" w:space="0"/>
              <w:left w:val="single" w:color="000000" w:sz="4" w:space="0"/>
              <w:bottom w:val="single" w:color="000000" w:sz="4" w:space="0"/>
              <w:right w:val="nil"/>
            </w:tcBorders>
            <w:shd w:val="clear" w:color="auto" w:fill="auto"/>
            <w:tcMar>
              <w:top w:w="12" w:type="dxa"/>
              <w:left w:w="12" w:type="dxa"/>
              <w:right w:w="12" w:type="dxa"/>
            </w:tcMar>
            <w:vAlign w:val="top"/>
          </w:tcPr>
          <w:p w14:paraId="654141B3">
            <w:pPr>
              <w:jc w:val="left"/>
              <w:rPr>
                <w:rFonts w:hint="eastAsia" w:ascii="宋体" w:hAnsi="宋体" w:eastAsia="宋体" w:cs="宋体"/>
                <w:i w:val="0"/>
                <w:color w:val="000000"/>
                <w:sz w:val="20"/>
                <w:szCs w:val="20"/>
                <w:u w:val="none"/>
              </w:rPr>
            </w:pPr>
          </w:p>
        </w:tc>
        <w:tc>
          <w:tcPr>
            <w:tcW w:w="869" w:type="dxa"/>
            <w:tcBorders>
              <w:top w:val="single" w:color="000000" w:sz="4" w:space="0"/>
              <w:left w:val="nil"/>
              <w:bottom w:val="single" w:color="000000" w:sz="4" w:space="0"/>
              <w:right w:val="nil"/>
            </w:tcBorders>
            <w:shd w:val="clear" w:color="auto" w:fill="auto"/>
            <w:tcMar>
              <w:top w:w="12" w:type="dxa"/>
              <w:left w:w="12" w:type="dxa"/>
              <w:right w:w="12" w:type="dxa"/>
            </w:tcMar>
            <w:vAlign w:val="top"/>
          </w:tcPr>
          <w:p w14:paraId="39E24C11">
            <w:pPr>
              <w:jc w:val="left"/>
              <w:rPr>
                <w:rFonts w:hint="eastAsia" w:ascii="宋体" w:hAnsi="宋体" w:eastAsia="宋体" w:cs="宋体"/>
                <w:i w:val="0"/>
                <w:color w:val="000000"/>
                <w:sz w:val="20"/>
                <w:szCs w:val="20"/>
                <w:u w:val="none"/>
              </w:rPr>
            </w:pPr>
          </w:p>
        </w:tc>
        <w:tc>
          <w:tcPr>
            <w:tcW w:w="779" w:type="dxa"/>
            <w:tcBorders>
              <w:top w:val="single" w:color="000000" w:sz="4" w:space="0"/>
              <w:left w:val="nil"/>
              <w:bottom w:val="single" w:color="000000" w:sz="4" w:space="0"/>
              <w:right w:val="nil"/>
            </w:tcBorders>
            <w:shd w:val="clear" w:color="auto" w:fill="auto"/>
            <w:tcMar>
              <w:top w:w="12" w:type="dxa"/>
              <w:left w:w="12" w:type="dxa"/>
              <w:right w:w="12" w:type="dxa"/>
            </w:tcMar>
            <w:vAlign w:val="top"/>
          </w:tcPr>
          <w:p w14:paraId="2A108F98">
            <w:pPr>
              <w:jc w:val="left"/>
              <w:rPr>
                <w:rFonts w:hint="eastAsia" w:ascii="宋体" w:hAnsi="宋体" w:eastAsia="宋体" w:cs="宋体"/>
                <w:i w:val="0"/>
                <w:color w:val="000000"/>
                <w:sz w:val="20"/>
                <w:szCs w:val="20"/>
                <w:u w:val="none"/>
              </w:rPr>
            </w:pPr>
          </w:p>
        </w:tc>
        <w:tc>
          <w:tcPr>
            <w:tcW w:w="884" w:type="dxa"/>
            <w:tcBorders>
              <w:top w:val="single" w:color="000000" w:sz="4" w:space="0"/>
              <w:left w:val="nil"/>
              <w:bottom w:val="single" w:color="000000" w:sz="4" w:space="0"/>
              <w:right w:val="nil"/>
            </w:tcBorders>
            <w:shd w:val="clear" w:color="auto" w:fill="auto"/>
            <w:tcMar>
              <w:top w:w="12" w:type="dxa"/>
              <w:left w:w="12" w:type="dxa"/>
              <w:right w:w="12" w:type="dxa"/>
            </w:tcMar>
            <w:vAlign w:val="top"/>
          </w:tcPr>
          <w:p w14:paraId="3F602839">
            <w:pPr>
              <w:jc w:val="left"/>
              <w:rPr>
                <w:rFonts w:hint="eastAsia" w:ascii="宋体" w:hAnsi="宋体" w:eastAsia="宋体" w:cs="宋体"/>
                <w:i w:val="0"/>
                <w:color w:val="000000"/>
                <w:sz w:val="20"/>
                <w:szCs w:val="20"/>
                <w:u w:val="none"/>
              </w:rPr>
            </w:pPr>
          </w:p>
        </w:tc>
        <w:tc>
          <w:tcPr>
            <w:tcW w:w="615" w:type="dxa"/>
            <w:tcBorders>
              <w:top w:val="single" w:color="000000" w:sz="4" w:space="0"/>
              <w:left w:val="nil"/>
              <w:bottom w:val="single" w:color="000000" w:sz="4" w:space="0"/>
              <w:right w:val="nil"/>
            </w:tcBorders>
            <w:shd w:val="clear" w:color="auto" w:fill="auto"/>
            <w:tcMar>
              <w:top w:w="12" w:type="dxa"/>
              <w:left w:w="12" w:type="dxa"/>
              <w:right w:w="12" w:type="dxa"/>
            </w:tcMar>
            <w:vAlign w:val="top"/>
          </w:tcPr>
          <w:p w14:paraId="344D074D">
            <w:pPr>
              <w:jc w:val="left"/>
              <w:rPr>
                <w:rFonts w:hint="eastAsia" w:ascii="宋体" w:hAnsi="宋体" w:eastAsia="宋体" w:cs="宋体"/>
                <w:i w:val="0"/>
                <w:color w:val="000000"/>
                <w:sz w:val="20"/>
                <w:szCs w:val="20"/>
                <w:u w:val="none"/>
              </w:rPr>
            </w:pPr>
          </w:p>
        </w:tc>
        <w:tc>
          <w:tcPr>
            <w:tcW w:w="705" w:type="dxa"/>
            <w:tcBorders>
              <w:top w:val="single" w:color="000000" w:sz="4" w:space="0"/>
              <w:left w:val="nil"/>
              <w:bottom w:val="single" w:color="000000" w:sz="4" w:space="0"/>
              <w:right w:val="nil"/>
            </w:tcBorders>
            <w:shd w:val="clear" w:color="auto" w:fill="auto"/>
            <w:tcMar>
              <w:top w:w="12" w:type="dxa"/>
              <w:left w:w="12" w:type="dxa"/>
              <w:right w:w="12" w:type="dxa"/>
            </w:tcMar>
            <w:vAlign w:val="top"/>
          </w:tcPr>
          <w:p w14:paraId="7A517DC6">
            <w:pPr>
              <w:jc w:val="left"/>
              <w:rPr>
                <w:rFonts w:hint="eastAsia" w:ascii="宋体" w:hAnsi="宋体" w:eastAsia="宋体" w:cs="宋体"/>
                <w:i w:val="0"/>
                <w:color w:val="000000"/>
                <w:sz w:val="20"/>
                <w:szCs w:val="20"/>
                <w:u w:val="none"/>
              </w:rPr>
            </w:pPr>
          </w:p>
        </w:tc>
        <w:tc>
          <w:tcPr>
            <w:tcW w:w="1080" w:type="dxa"/>
            <w:tcBorders>
              <w:top w:val="single" w:color="000000" w:sz="4" w:space="0"/>
              <w:left w:val="nil"/>
              <w:bottom w:val="single" w:color="000000" w:sz="4" w:space="0"/>
              <w:right w:val="single" w:color="000000" w:sz="4" w:space="0"/>
            </w:tcBorders>
            <w:shd w:val="clear" w:color="auto" w:fill="auto"/>
            <w:tcMar>
              <w:top w:w="12" w:type="dxa"/>
              <w:left w:w="12" w:type="dxa"/>
              <w:right w:w="12" w:type="dxa"/>
            </w:tcMar>
            <w:vAlign w:val="top"/>
          </w:tcPr>
          <w:p w14:paraId="613E45A4">
            <w:pPr>
              <w:jc w:val="left"/>
              <w:rPr>
                <w:rFonts w:hint="eastAsia" w:ascii="宋体" w:hAnsi="宋体" w:eastAsia="宋体" w:cs="宋体"/>
                <w:i w:val="0"/>
                <w:color w:val="000000"/>
                <w:sz w:val="20"/>
                <w:szCs w:val="20"/>
                <w:u w:val="none"/>
              </w:rPr>
            </w:pPr>
          </w:p>
        </w:tc>
      </w:tr>
      <w:tr w14:paraId="5AEA04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40" w:hRule="atLeast"/>
        </w:trPr>
        <w:tc>
          <w:tcPr>
            <w:tcW w:w="1079"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D579FB">
            <w:pPr>
              <w:jc w:val="center"/>
              <w:rPr>
                <w:rFonts w:hint="eastAsia" w:ascii="宋体" w:hAnsi="宋体" w:eastAsia="宋体" w:cs="宋体"/>
                <w:i w:val="0"/>
                <w:color w:val="000000"/>
                <w:sz w:val="20"/>
                <w:szCs w:val="20"/>
                <w:u w:val="none"/>
              </w:rPr>
            </w:pPr>
          </w:p>
        </w:tc>
        <w:tc>
          <w:tcPr>
            <w:tcW w:w="1079"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B7A5258">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一级指标</w:t>
            </w:r>
          </w:p>
        </w:tc>
        <w:tc>
          <w:tcPr>
            <w:tcW w:w="1291"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56BF0C8">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二级指标</w:t>
            </w:r>
          </w:p>
        </w:tc>
        <w:tc>
          <w:tcPr>
            <w:tcW w:w="2503"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2BF6B5D">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三级指标</w:t>
            </w:r>
          </w:p>
        </w:tc>
        <w:tc>
          <w:tcPr>
            <w:tcW w:w="1499"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A5165DC">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年度指标值</w:t>
            </w:r>
          </w:p>
        </w:tc>
        <w:tc>
          <w:tcPr>
            <w:tcW w:w="133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09D13C2">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实际完成值</w:t>
            </w:r>
          </w:p>
        </w:tc>
        <w:tc>
          <w:tcPr>
            <w:tcW w:w="164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BF06FC2">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分值</w:t>
            </w:r>
          </w:p>
        </w:tc>
        <w:tc>
          <w:tcPr>
            <w:tcW w:w="149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DE800FF">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得分</w:t>
            </w:r>
          </w:p>
        </w:tc>
        <w:tc>
          <w:tcPr>
            <w:tcW w:w="178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F19FD22">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偏差原因分析及改进措施</w:t>
            </w:r>
          </w:p>
        </w:tc>
      </w:tr>
      <w:tr w14:paraId="316876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40" w:hRule="atLeast"/>
        </w:trPr>
        <w:tc>
          <w:tcPr>
            <w:tcW w:w="10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CB0B21">
            <w:pPr>
              <w:jc w:val="center"/>
              <w:rPr>
                <w:rFonts w:hint="eastAsia" w:ascii="宋体" w:hAnsi="宋体" w:eastAsia="宋体" w:cs="宋体"/>
                <w:i w:val="0"/>
                <w:color w:val="000000"/>
                <w:sz w:val="20"/>
                <w:szCs w:val="20"/>
                <w:u w:val="none"/>
              </w:rPr>
            </w:pPr>
          </w:p>
        </w:tc>
        <w:tc>
          <w:tcPr>
            <w:tcW w:w="10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7DCBEF5">
            <w:pPr>
              <w:jc w:val="center"/>
              <w:rPr>
                <w:rFonts w:hint="eastAsia" w:ascii="宋体" w:hAnsi="宋体" w:eastAsia="宋体" w:cs="宋体"/>
                <w:i w:val="0"/>
                <w:color w:val="000000"/>
                <w:sz w:val="20"/>
                <w:szCs w:val="20"/>
                <w:u w:val="none"/>
              </w:rPr>
            </w:pPr>
          </w:p>
        </w:tc>
        <w:tc>
          <w:tcPr>
            <w:tcW w:w="12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AE577DC">
            <w:pPr>
              <w:jc w:val="center"/>
              <w:rPr>
                <w:rFonts w:hint="eastAsia" w:ascii="宋体" w:hAnsi="宋体" w:eastAsia="宋体" w:cs="宋体"/>
                <w:i w:val="0"/>
                <w:color w:val="000000"/>
                <w:sz w:val="20"/>
                <w:szCs w:val="20"/>
                <w:u w:val="none"/>
              </w:rPr>
            </w:pPr>
          </w:p>
        </w:tc>
        <w:tc>
          <w:tcPr>
            <w:tcW w:w="2503"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FA46946">
            <w:pPr>
              <w:jc w:val="center"/>
              <w:rPr>
                <w:rFonts w:hint="eastAsia" w:ascii="宋体" w:hAnsi="宋体" w:eastAsia="宋体" w:cs="宋体"/>
                <w:i w:val="0"/>
                <w:color w:val="000000"/>
                <w:sz w:val="20"/>
                <w:szCs w:val="20"/>
                <w:u w:val="none"/>
              </w:rPr>
            </w:pPr>
          </w:p>
        </w:tc>
        <w:tc>
          <w:tcPr>
            <w:tcW w:w="149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445DCF">
            <w:pPr>
              <w:jc w:val="center"/>
              <w:rPr>
                <w:rFonts w:hint="eastAsia" w:ascii="宋体" w:hAnsi="宋体" w:eastAsia="宋体" w:cs="宋体"/>
                <w:i w:val="0"/>
                <w:color w:val="000000"/>
                <w:sz w:val="20"/>
                <w:szCs w:val="20"/>
                <w:u w:val="none"/>
              </w:rPr>
            </w:pPr>
          </w:p>
        </w:tc>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2D2D198">
            <w:pPr>
              <w:jc w:val="center"/>
              <w:rPr>
                <w:rFonts w:hint="eastAsia" w:ascii="宋体" w:hAnsi="宋体" w:eastAsia="宋体" w:cs="宋体"/>
                <w:i w:val="0"/>
                <w:color w:val="000000"/>
                <w:sz w:val="20"/>
                <w:szCs w:val="20"/>
                <w:u w:val="none"/>
              </w:rPr>
            </w:pPr>
          </w:p>
        </w:tc>
        <w:tc>
          <w:tcPr>
            <w:tcW w:w="164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75F4BFF">
            <w:pPr>
              <w:jc w:val="center"/>
              <w:rPr>
                <w:rFonts w:hint="eastAsia" w:ascii="宋体" w:hAnsi="宋体" w:eastAsia="宋体" w:cs="宋体"/>
                <w:i w:val="0"/>
                <w:color w:val="000000"/>
                <w:sz w:val="20"/>
                <w:szCs w:val="20"/>
                <w:u w:val="none"/>
              </w:rPr>
            </w:pPr>
          </w:p>
        </w:tc>
        <w:tc>
          <w:tcPr>
            <w:tcW w:w="149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93617E">
            <w:pPr>
              <w:jc w:val="center"/>
              <w:rPr>
                <w:rFonts w:hint="eastAsia" w:ascii="宋体" w:hAnsi="宋体" w:eastAsia="宋体" w:cs="宋体"/>
                <w:i w:val="0"/>
                <w:color w:val="000000"/>
                <w:sz w:val="20"/>
                <w:szCs w:val="20"/>
                <w:u w:val="none"/>
              </w:rPr>
            </w:pPr>
          </w:p>
        </w:tc>
        <w:tc>
          <w:tcPr>
            <w:tcW w:w="178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91C4DB1">
            <w:pPr>
              <w:jc w:val="center"/>
              <w:rPr>
                <w:rFonts w:hint="eastAsia" w:ascii="宋体" w:hAnsi="宋体" w:eastAsia="宋体" w:cs="宋体"/>
                <w:i w:val="0"/>
                <w:color w:val="000000"/>
                <w:sz w:val="20"/>
                <w:szCs w:val="20"/>
                <w:u w:val="none"/>
              </w:rPr>
            </w:pPr>
          </w:p>
        </w:tc>
      </w:tr>
      <w:tr w14:paraId="67AF74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00" w:hRule="atLeast"/>
        </w:trPr>
        <w:tc>
          <w:tcPr>
            <w:tcW w:w="1079"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7187DC6">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年度绩效指标完成情况</w:t>
            </w:r>
          </w:p>
        </w:tc>
        <w:tc>
          <w:tcPr>
            <w:tcW w:w="1079"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C733EA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产出指标</w:t>
            </w:r>
          </w:p>
        </w:tc>
        <w:tc>
          <w:tcPr>
            <w:tcW w:w="12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73DCDFA">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2503"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B1DE150">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输变电线路总条数</w:t>
            </w:r>
          </w:p>
        </w:tc>
        <w:tc>
          <w:tcPr>
            <w:tcW w:w="149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96FF47B">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=2条</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E3D5C8F">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=2条</w:t>
            </w:r>
          </w:p>
        </w:tc>
        <w:tc>
          <w:tcPr>
            <w:tcW w:w="1648"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4E45D8A">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49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BAE1852">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0CE5F40">
            <w:pPr>
              <w:jc w:val="center"/>
              <w:rPr>
                <w:rFonts w:hint="eastAsia" w:ascii="宋体" w:hAnsi="宋体" w:eastAsia="宋体" w:cs="宋体"/>
                <w:i w:val="0"/>
                <w:color w:val="000000"/>
                <w:sz w:val="20"/>
                <w:szCs w:val="20"/>
                <w:u w:val="none"/>
              </w:rPr>
            </w:pPr>
          </w:p>
        </w:tc>
      </w:tr>
      <w:tr w14:paraId="40393B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0" w:hRule="atLeast"/>
        </w:trPr>
        <w:tc>
          <w:tcPr>
            <w:tcW w:w="10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AFFC6F1">
            <w:pPr>
              <w:jc w:val="center"/>
              <w:rPr>
                <w:rFonts w:hint="eastAsia" w:ascii="宋体" w:hAnsi="宋体" w:eastAsia="宋体" w:cs="宋体"/>
                <w:i w:val="0"/>
                <w:color w:val="000000"/>
                <w:sz w:val="20"/>
                <w:szCs w:val="20"/>
                <w:u w:val="none"/>
              </w:rPr>
            </w:pPr>
          </w:p>
        </w:tc>
        <w:tc>
          <w:tcPr>
            <w:tcW w:w="10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92520C0">
            <w:pPr>
              <w:jc w:val="center"/>
              <w:rPr>
                <w:rFonts w:hint="eastAsia" w:ascii="宋体" w:hAnsi="宋体" w:eastAsia="宋体" w:cs="宋体"/>
                <w:i w:val="0"/>
                <w:color w:val="000000"/>
                <w:sz w:val="20"/>
                <w:szCs w:val="20"/>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AD24111">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质量指标</w:t>
            </w:r>
          </w:p>
        </w:tc>
        <w:tc>
          <w:tcPr>
            <w:tcW w:w="2503"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71C7217">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工程竣工验收合格率</w:t>
            </w:r>
          </w:p>
        </w:tc>
        <w:tc>
          <w:tcPr>
            <w:tcW w:w="149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6B7132">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927649A">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648"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F661381">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49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B870BFB">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AFB70F1">
            <w:pPr>
              <w:jc w:val="center"/>
              <w:rPr>
                <w:rFonts w:hint="eastAsia" w:ascii="宋体" w:hAnsi="宋体" w:eastAsia="宋体" w:cs="宋体"/>
                <w:i w:val="0"/>
                <w:color w:val="000000"/>
                <w:sz w:val="20"/>
                <w:szCs w:val="20"/>
                <w:u w:val="none"/>
              </w:rPr>
            </w:pPr>
          </w:p>
        </w:tc>
      </w:tr>
      <w:tr w14:paraId="09E2FE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00" w:hRule="atLeast"/>
        </w:trPr>
        <w:tc>
          <w:tcPr>
            <w:tcW w:w="10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8A92C09">
            <w:pPr>
              <w:jc w:val="center"/>
              <w:rPr>
                <w:rFonts w:hint="eastAsia" w:ascii="宋体" w:hAnsi="宋体" w:eastAsia="宋体" w:cs="宋体"/>
                <w:i w:val="0"/>
                <w:color w:val="000000"/>
                <w:sz w:val="20"/>
                <w:szCs w:val="20"/>
                <w:u w:val="none"/>
              </w:rPr>
            </w:pPr>
          </w:p>
        </w:tc>
        <w:tc>
          <w:tcPr>
            <w:tcW w:w="10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853CA88">
            <w:pPr>
              <w:jc w:val="center"/>
              <w:rPr>
                <w:rFonts w:hint="eastAsia" w:ascii="宋体" w:hAnsi="宋体" w:eastAsia="宋体" w:cs="宋体"/>
                <w:i w:val="0"/>
                <w:color w:val="000000"/>
                <w:sz w:val="20"/>
                <w:szCs w:val="20"/>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2E6EBD0">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时效指标</w:t>
            </w:r>
          </w:p>
        </w:tc>
        <w:tc>
          <w:tcPr>
            <w:tcW w:w="2503"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29AD0D6">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工程开工时间</w:t>
            </w:r>
          </w:p>
        </w:tc>
        <w:tc>
          <w:tcPr>
            <w:tcW w:w="149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30C0C8D">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=2023年8月</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18E285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=2023年8月</w:t>
            </w:r>
          </w:p>
        </w:tc>
        <w:tc>
          <w:tcPr>
            <w:tcW w:w="1648"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D47AD48">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49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5029D2">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42F2B05">
            <w:pPr>
              <w:jc w:val="center"/>
              <w:rPr>
                <w:rFonts w:hint="eastAsia" w:ascii="宋体" w:hAnsi="宋体" w:eastAsia="宋体" w:cs="宋体"/>
                <w:i w:val="0"/>
                <w:color w:val="000000"/>
                <w:sz w:val="20"/>
                <w:szCs w:val="20"/>
                <w:u w:val="none"/>
              </w:rPr>
            </w:pPr>
          </w:p>
        </w:tc>
      </w:tr>
      <w:tr w14:paraId="174A90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00" w:hRule="atLeast"/>
        </w:trPr>
        <w:tc>
          <w:tcPr>
            <w:tcW w:w="10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B99744">
            <w:pPr>
              <w:jc w:val="center"/>
              <w:rPr>
                <w:rFonts w:hint="eastAsia" w:ascii="宋体" w:hAnsi="宋体" w:eastAsia="宋体" w:cs="宋体"/>
                <w:i w:val="0"/>
                <w:color w:val="000000"/>
                <w:sz w:val="20"/>
                <w:szCs w:val="20"/>
                <w:u w:val="none"/>
              </w:rPr>
            </w:pPr>
          </w:p>
        </w:tc>
        <w:tc>
          <w:tcPr>
            <w:tcW w:w="10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BBA0E3">
            <w:pPr>
              <w:jc w:val="center"/>
              <w:rPr>
                <w:rFonts w:hint="eastAsia" w:ascii="宋体" w:hAnsi="宋体" w:eastAsia="宋体" w:cs="宋体"/>
                <w:i w:val="0"/>
                <w:color w:val="000000"/>
                <w:sz w:val="20"/>
                <w:szCs w:val="20"/>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30535CD">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时效指标</w:t>
            </w:r>
          </w:p>
        </w:tc>
        <w:tc>
          <w:tcPr>
            <w:tcW w:w="2503"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E555184">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工程竣工时间</w:t>
            </w:r>
          </w:p>
        </w:tc>
        <w:tc>
          <w:tcPr>
            <w:tcW w:w="149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B988F83">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=2024年4月</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ED0710F">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=2024年4月</w:t>
            </w:r>
          </w:p>
        </w:tc>
        <w:tc>
          <w:tcPr>
            <w:tcW w:w="1648"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1B70F5C">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49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B9C5CD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FFE3C30">
            <w:pPr>
              <w:jc w:val="center"/>
              <w:rPr>
                <w:rFonts w:hint="eastAsia" w:ascii="宋体" w:hAnsi="宋体" w:eastAsia="宋体" w:cs="宋体"/>
                <w:i w:val="0"/>
                <w:color w:val="000000"/>
                <w:sz w:val="20"/>
                <w:szCs w:val="20"/>
                <w:u w:val="none"/>
              </w:rPr>
            </w:pPr>
          </w:p>
        </w:tc>
      </w:tr>
      <w:tr w14:paraId="2F7EAE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00" w:hRule="atLeast"/>
        </w:trPr>
        <w:tc>
          <w:tcPr>
            <w:tcW w:w="10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2C5CCB6">
            <w:pPr>
              <w:jc w:val="center"/>
              <w:rPr>
                <w:rFonts w:hint="eastAsia" w:ascii="宋体" w:hAnsi="宋体" w:eastAsia="宋体" w:cs="宋体"/>
                <w:i w:val="0"/>
                <w:color w:val="000000"/>
                <w:sz w:val="20"/>
                <w:szCs w:val="20"/>
                <w:u w:val="none"/>
              </w:rPr>
            </w:pPr>
          </w:p>
        </w:tc>
        <w:tc>
          <w:tcPr>
            <w:tcW w:w="1079"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2B0651">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成本指标</w:t>
            </w:r>
          </w:p>
        </w:tc>
        <w:tc>
          <w:tcPr>
            <w:tcW w:w="12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07CBC1">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经济成本指标</w:t>
            </w:r>
          </w:p>
        </w:tc>
        <w:tc>
          <w:tcPr>
            <w:tcW w:w="2503"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4705445">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项目预算控制率</w:t>
            </w:r>
          </w:p>
        </w:tc>
        <w:tc>
          <w:tcPr>
            <w:tcW w:w="149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A40E913">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D19EED">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648"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A7A2A6">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49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E2AE8DE">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DCFDC1A">
            <w:pPr>
              <w:jc w:val="center"/>
              <w:rPr>
                <w:rFonts w:hint="eastAsia" w:ascii="宋体" w:hAnsi="宋体" w:eastAsia="宋体" w:cs="宋体"/>
                <w:i w:val="0"/>
                <w:color w:val="000000"/>
                <w:sz w:val="20"/>
                <w:szCs w:val="20"/>
                <w:u w:val="none"/>
              </w:rPr>
            </w:pPr>
          </w:p>
        </w:tc>
      </w:tr>
      <w:tr w14:paraId="0476E1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00" w:hRule="atLeast"/>
        </w:trPr>
        <w:tc>
          <w:tcPr>
            <w:tcW w:w="10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B736522">
            <w:pPr>
              <w:jc w:val="center"/>
              <w:rPr>
                <w:rFonts w:hint="eastAsia" w:ascii="宋体" w:hAnsi="宋体" w:eastAsia="宋体" w:cs="宋体"/>
                <w:i w:val="0"/>
                <w:color w:val="000000"/>
                <w:sz w:val="20"/>
                <w:szCs w:val="20"/>
                <w:u w:val="none"/>
              </w:rPr>
            </w:pPr>
          </w:p>
        </w:tc>
        <w:tc>
          <w:tcPr>
            <w:tcW w:w="10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DB16115">
            <w:pPr>
              <w:jc w:val="center"/>
              <w:rPr>
                <w:rFonts w:hint="eastAsia" w:ascii="宋体" w:hAnsi="宋体" w:eastAsia="宋体" w:cs="宋体"/>
                <w:i w:val="0"/>
                <w:color w:val="000000"/>
                <w:sz w:val="20"/>
                <w:szCs w:val="20"/>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1E47030">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经济成本指标</w:t>
            </w:r>
          </w:p>
        </w:tc>
        <w:tc>
          <w:tcPr>
            <w:tcW w:w="2503"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33CA22B">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资金支付笔数</w:t>
            </w:r>
          </w:p>
        </w:tc>
        <w:tc>
          <w:tcPr>
            <w:tcW w:w="149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A80F05E">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=15笔</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B93938C">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=15笔</w:t>
            </w:r>
          </w:p>
        </w:tc>
        <w:tc>
          <w:tcPr>
            <w:tcW w:w="1648"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DD39EA5">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49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F8EF16E">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316665C">
            <w:pPr>
              <w:jc w:val="center"/>
              <w:rPr>
                <w:rFonts w:hint="eastAsia" w:ascii="宋体" w:hAnsi="宋体" w:eastAsia="宋体" w:cs="宋体"/>
                <w:i w:val="0"/>
                <w:color w:val="000000"/>
                <w:sz w:val="20"/>
                <w:szCs w:val="20"/>
                <w:u w:val="none"/>
              </w:rPr>
            </w:pPr>
          </w:p>
        </w:tc>
      </w:tr>
      <w:tr w14:paraId="0917CD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00" w:hRule="atLeast"/>
        </w:trPr>
        <w:tc>
          <w:tcPr>
            <w:tcW w:w="10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5AD3C8D">
            <w:pPr>
              <w:jc w:val="center"/>
              <w:rPr>
                <w:rFonts w:hint="eastAsia" w:ascii="宋体" w:hAnsi="宋体" w:eastAsia="宋体" w:cs="宋体"/>
                <w:i w:val="0"/>
                <w:color w:val="000000"/>
                <w:sz w:val="20"/>
                <w:szCs w:val="20"/>
                <w:u w:val="none"/>
              </w:rPr>
            </w:pPr>
          </w:p>
        </w:tc>
        <w:tc>
          <w:tcPr>
            <w:tcW w:w="10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1AB3C5">
            <w:pPr>
              <w:jc w:val="center"/>
              <w:rPr>
                <w:rFonts w:hint="eastAsia" w:ascii="宋体" w:hAnsi="宋体" w:eastAsia="宋体" w:cs="宋体"/>
                <w:i w:val="0"/>
                <w:color w:val="000000"/>
                <w:sz w:val="20"/>
                <w:szCs w:val="20"/>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3D9929B">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社会成本指标</w:t>
            </w:r>
          </w:p>
        </w:tc>
        <w:tc>
          <w:tcPr>
            <w:tcW w:w="2503"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2531205">
            <w:pPr>
              <w:jc w:val="left"/>
              <w:rPr>
                <w:rFonts w:hint="eastAsia" w:ascii="宋体" w:hAnsi="宋体" w:eastAsia="宋体" w:cs="宋体"/>
                <w:i w:val="0"/>
                <w:color w:val="000000"/>
                <w:sz w:val="20"/>
                <w:szCs w:val="20"/>
                <w:u w:val="none"/>
              </w:rPr>
            </w:pPr>
          </w:p>
        </w:tc>
        <w:tc>
          <w:tcPr>
            <w:tcW w:w="149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25DB69E">
            <w:pPr>
              <w:jc w:val="center"/>
              <w:rPr>
                <w:rFonts w:hint="eastAsia" w:ascii="宋体" w:hAnsi="宋体" w:eastAsia="宋体" w:cs="宋体"/>
                <w:i w:val="0"/>
                <w:color w:val="000000"/>
                <w:sz w:val="20"/>
                <w:szCs w:val="20"/>
                <w:u w:val="none"/>
              </w:rPr>
            </w:pP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8DCE3D3">
            <w:pPr>
              <w:jc w:val="center"/>
              <w:rPr>
                <w:rFonts w:hint="eastAsia" w:ascii="宋体" w:hAnsi="宋体" w:eastAsia="宋体" w:cs="宋体"/>
                <w:i w:val="0"/>
                <w:color w:val="000000"/>
                <w:sz w:val="20"/>
                <w:szCs w:val="20"/>
                <w:u w:val="none"/>
              </w:rPr>
            </w:pPr>
          </w:p>
        </w:tc>
        <w:tc>
          <w:tcPr>
            <w:tcW w:w="1648"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E17A74E">
            <w:pPr>
              <w:jc w:val="center"/>
              <w:rPr>
                <w:rFonts w:hint="eastAsia" w:ascii="宋体" w:hAnsi="宋体" w:eastAsia="宋体" w:cs="宋体"/>
                <w:i w:val="0"/>
                <w:color w:val="000000"/>
                <w:sz w:val="20"/>
                <w:szCs w:val="20"/>
                <w:u w:val="none"/>
              </w:rPr>
            </w:pPr>
          </w:p>
        </w:tc>
        <w:tc>
          <w:tcPr>
            <w:tcW w:w="149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D385A47">
            <w:pPr>
              <w:jc w:val="center"/>
              <w:rPr>
                <w:rFonts w:hint="eastAsia" w:ascii="宋体" w:hAnsi="宋体" w:eastAsia="宋体" w:cs="宋体"/>
                <w:i w:val="0"/>
                <w:color w:val="000000"/>
                <w:sz w:val="20"/>
                <w:szCs w:val="20"/>
                <w:u w:val="none"/>
              </w:rPr>
            </w:pP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811C144">
            <w:pPr>
              <w:jc w:val="center"/>
              <w:rPr>
                <w:rFonts w:hint="eastAsia" w:ascii="宋体" w:hAnsi="宋体" w:eastAsia="宋体" w:cs="宋体"/>
                <w:i w:val="0"/>
                <w:color w:val="000000"/>
                <w:sz w:val="20"/>
                <w:szCs w:val="20"/>
                <w:u w:val="none"/>
              </w:rPr>
            </w:pPr>
          </w:p>
        </w:tc>
      </w:tr>
      <w:tr w14:paraId="387638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0" w:hRule="atLeast"/>
        </w:trPr>
        <w:tc>
          <w:tcPr>
            <w:tcW w:w="10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F447FEB">
            <w:pPr>
              <w:jc w:val="center"/>
              <w:rPr>
                <w:rFonts w:hint="eastAsia" w:ascii="宋体" w:hAnsi="宋体" w:eastAsia="宋体" w:cs="宋体"/>
                <w:i w:val="0"/>
                <w:color w:val="000000"/>
                <w:sz w:val="20"/>
                <w:szCs w:val="20"/>
                <w:u w:val="none"/>
              </w:rPr>
            </w:pPr>
          </w:p>
        </w:tc>
        <w:tc>
          <w:tcPr>
            <w:tcW w:w="10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FE31484">
            <w:pPr>
              <w:jc w:val="center"/>
              <w:rPr>
                <w:rFonts w:hint="eastAsia" w:ascii="宋体" w:hAnsi="宋体" w:eastAsia="宋体" w:cs="宋体"/>
                <w:i w:val="0"/>
                <w:color w:val="000000"/>
                <w:sz w:val="20"/>
                <w:szCs w:val="20"/>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54D31BE">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生态环境成本指标</w:t>
            </w:r>
          </w:p>
        </w:tc>
        <w:tc>
          <w:tcPr>
            <w:tcW w:w="2503"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9F0BC86">
            <w:pPr>
              <w:jc w:val="left"/>
              <w:rPr>
                <w:rFonts w:hint="eastAsia" w:ascii="宋体" w:hAnsi="宋体" w:eastAsia="宋体" w:cs="宋体"/>
                <w:i w:val="0"/>
                <w:color w:val="000000"/>
                <w:sz w:val="20"/>
                <w:szCs w:val="20"/>
                <w:u w:val="none"/>
              </w:rPr>
            </w:pPr>
          </w:p>
        </w:tc>
        <w:tc>
          <w:tcPr>
            <w:tcW w:w="149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EB4BE15">
            <w:pPr>
              <w:jc w:val="center"/>
              <w:rPr>
                <w:rFonts w:hint="eastAsia" w:ascii="宋体" w:hAnsi="宋体" w:eastAsia="宋体" w:cs="宋体"/>
                <w:i w:val="0"/>
                <w:color w:val="000000"/>
                <w:sz w:val="20"/>
                <w:szCs w:val="20"/>
                <w:u w:val="none"/>
              </w:rPr>
            </w:pP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4D7E49">
            <w:pPr>
              <w:jc w:val="center"/>
              <w:rPr>
                <w:rFonts w:hint="eastAsia" w:ascii="宋体" w:hAnsi="宋体" w:eastAsia="宋体" w:cs="宋体"/>
                <w:i w:val="0"/>
                <w:color w:val="000000"/>
                <w:sz w:val="20"/>
                <w:szCs w:val="20"/>
                <w:u w:val="none"/>
              </w:rPr>
            </w:pPr>
          </w:p>
        </w:tc>
        <w:tc>
          <w:tcPr>
            <w:tcW w:w="1648"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4A43A00">
            <w:pPr>
              <w:jc w:val="center"/>
              <w:rPr>
                <w:rFonts w:hint="eastAsia" w:ascii="宋体" w:hAnsi="宋体" w:eastAsia="宋体" w:cs="宋体"/>
                <w:i w:val="0"/>
                <w:color w:val="000000"/>
                <w:sz w:val="20"/>
                <w:szCs w:val="20"/>
                <w:u w:val="none"/>
              </w:rPr>
            </w:pPr>
          </w:p>
        </w:tc>
        <w:tc>
          <w:tcPr>
            <w:tcW w:w="149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90F52FA">
            <w:pPr>
              <w:jc w:val="center"/>
              <w:rPr>
                <w:rFonts w:hint="eastAsia" w:ascii="宋体" w:hAnsi="宋体" w:eastAsia="宋体" w:cs="宋体"/>
                <w:i w:val="0"/>
                <w:color w:val="000000"/>
                <w:sz w:val="20"/>
                <w:szCs w:val="20"/>
                <w:u w:val="none"/>
              </w:rPr>
            </w:pP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566901F">
            <w:pPr>
              <w:jc w:val="center"/>
              <w:rPr>
                <w:rFonts w:hint="eastAsia" w:ascii="宋体" w:hAnsi="宋体" w:eastAsia="宋体" w:cs="宋体"/>
                <w:i w:val="0"/>
                <w:color w:val="000000"/>
                <w:sz w:val="20"/>
                <w:szCs w:val="20"/>
                <w:u w:val="none"/>
              </w:rPr>
            </w:pPr>
          </w:p>
        </w:tc>
      </w:tr>
      <w:tr w14:paraId="4B14A0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0" w:hRule="atLeast"/>
        </w:trPr>
        <w:tc>
          <w:tcPr>
            <w:tcW w:w="10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04B7CA3">
            <w:pPr>
              <w:jc w:val="center"/>
              <w:rPr>
                <w:rFonts w:hint="eastAsia" w:ascii="宋体" w:hAnsi="宋体" w:eastAsia="宋体" w:cs="宋体"/>
                <w:i w:val="0"/>
                <w:color w:val="000000"/>
                <w:sz w:val="20"/>
                <w:szCs w:val="20"/>
                <w:u w:val="none"/>
              </w:rPr>
            </w:pPr>
          </w:p>
        </w:tc>
        <w:tc>
          <w:tcPr>
            <w:tcW w:w="1079"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94DC32A">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效益指标</w:t>
            </w:r>
          </w:p>
        </w:tc>
        <w:tc>
          <w:tcPr>
            <w:tcW w:w="12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C7E71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经济效益指标</w:t>
            </w:r>
          </w:p>
        </w:tc>
        <w:tc>
          <w:tcPr>
            <w:tcW w:w="2503"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882D4BC">
            <w:pPr>
              <w:jc w:val="left"/>
              <w:rPr>
                <w:rFonts w:hint="eastAsia" w:ascii="宋体" w:hAnsi="宋体" w:eastAsia="宋体" w:cs="宋体"/>
                <w:i w:val="0"/>
                <w:color w:val="000000"/>
                <w:sz w:val="20"/>
                <w:szCs w:val="20"/>
                <w:u w:val="none"/>
              </w:rPr>
            </w:pPr>
          </w:p>
        </w:tc>
        <w:tc>
          <w:tcPr>
            <w:tcW w:w="149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721076F">
            <w:pPr>
              <w:jc w:val="center"/>
              <w:rPr>
                <w:rFonts w:hint="eastAsia" w:ascii="宋体" w:hAnsi="宋体" w:eastAsia="宋体" w:cs="宋体"/>
                <w:i w:val="0"/>
                <w:color w:val="000000"/>
                <w:sz w:val="20"/>
                <w:szCs w:val="20"/>
                <w:u w:val="none"/>
              </w:rPr>
            </w:pP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18E65A5">
            <w:pPr>
              <w:jc w:val="center"/>
              <w:rPr>
                <w:rFonts w:hint="eastAsia" w:ascii="宋体" w:hAnsi="宋体" w:eastAsia="宋体" w:cs="宋体"/>
                <w:i w:val="0"/>
                <w:color w:val="000000"/>
                <w:sz w:val="20"/>
                <w:szCs w:val="20"/>
                <w:u w:val="none"/>
              </w:rPr>
            </w:pPr>
          </w:p>
        </w:tc>
        <w:tc>
          <w:tcPr>
            <w:tcW w:w="1648"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753F83D">
            <w:pPr>
              <w:jc w:val="center"/>
              <w:rPr>
                <w:rFonts w:hint="eastAsia" w:ascii="宋体" w:hAnsi="宋体" w:eastAsia="宋体" w:cs="宋体"/>
                <w:i w:val="0"/>
                <w:color w:val="000000"/>
                <w:sz w:val="20"/>
                <w:szCs w:val="20"/>
                <w:u w:val="none"/>
              </w:rPr>
            </w:pPr>
          </w:p>
        </w:tc>
        <w:tc>
          <w:tcPr>
            <w:tcW w:w="149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FFEA020">
            <w:pPr>
              <w:jc w:val="center"/>
              <w:rPr>
                <w:rFonts w:hint="eastAsia" w:ascii="宋体" w:hAnsi="宋体" w:eastAsia="宋体" w:cs="宋体"/>
                <w:i w:val="0"/>
                <w:color w:val="000000"/>
                <w:sz w:val="20"/>
                <w:szCs w:val="20"/>
                <w:u w:val="none"/>
              </w:rPr>
            </w:pP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ADE88AE">
            <w:pPr>
              <w:jc w:val="center"/>
              <w:rPr>
                <w:rFonts w:hint="eastAsia" w:ascii="宋体" w:hAnsi="宋体" w:eastAsia="宋体" w:cs="宋体"/>
                <w:i w:val="0"/>
                <w:color w:val="000000"/>
                <w:sz w:val="20"/>
                <w:szCs w:val="20"/>
                <w:u w:val="none"/>
              </w:rPr>
            </w:pPr>
          </w:p>
        </w:tc>
      </w:tr>
      <w:tr w14:paraId="682C66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0" w:hRule="atLeast"/>
        </w:trPr>
        <w:tc>
          <w:tcPr>
            <w:tcW w:w="10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056CF63">
            <w:pPr>
              <w:jc w:val="center"/>
              <w:rPr>
                <w:rFonts w:hint="eastAsia" w:ascii="宋体" w:hAnsi="宋体" w:eastAsia="宋体" w:cs="宋体"/>
                <w:i w:val="0"/>
                <w:color w:val="000000"/>
                <w:sz w:val="20"/>
                <w:szCs w:val="20"/>
                <w:u w:val="none"/>
              </w:rPr>
            </w:pPr>
          </w:p>
        </w:tc>
        <w:tc>
          <w:tcPr>
            <w:tcW w:w="10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94EB48E">
            <w:pPr>
              <w:jc w:val="center"/>
              <w:rPr>
                <w:rFonts w:hint="eastAsia" w:ascii="宋体" w:hAnsi="宋体" w:eastAsia="宋体" w:cs="宋体"/>
                <w:i w:val="0"/>
                <w:color w:val="000000"/>
                <w:sz w:val="20"/>
                <w:szCs w:val="20"/>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703625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社会效益指标</w:t>
            </w:r>
          </w:p>
        </w:tc>
        <w:tc>
          <w:tcPr>
            <w:tcW w:w="2503"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83A8327">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保障机场供电</w:t>
            </w:r>
          </w:p>
        </w:tc>
        <w:tc>
          <w:tcPr>
            <w:tcW w:w="149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47A018D">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有效保障</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7B0E38">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有效保障</w:t>
            </w:r>
          </w:p>
        </w:tc>
        <w:tc>
          <w:tcPr>
            <w:tcW w:w="1648"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9C7F49E">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49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F04108F">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804D286">
            <w:pPr>
              <w:jc w:val="center"/>
              <w:rPr>
                <w:rFonts w:hint="eastAsia" w:ascii="宋体" w:hAnsi="宋体" w:eastAsia="宋体" w:cs="宋体"/>
                <w:i w:val="0"/>
                <w:color w:val="000000"/>
                <w:sz w:val="20"/>
                <w:szCs w:val="20"/>
                <w:u w:val="none"/>
              </w:rPr>
            </w:pPr>
          </w:p>
        </w:tc>
      </w:tr>
      <w:tr w14:paraId="341096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00" w:hRule="atLeast"/>
        </w:trPr>
        <w:tc>
          <w:tcPr>
            <w:tcW w:w="10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A7B14D6">
            <w:pPr>
              <w:jc w:val="center"/>
              <w:rPr>
                <w:rFonts w:hint="eastAsia" w:ascii="宋体" w:hAnsi="宋体" w:eastAsia="宋体" w:cs="宋体"/>
                <w:i w:val="0"/>
                <w:color w:val="000000"/>
                <w:sz w:val="20"/>
                <w:szCs w:val="20"/>
                <w:u w:val="none"/>
              </w:rPr>
            </w:pPr>
          </w:p>
        </w:tc>
        <w:tc>
          <w:tcPr>
            <w:tcW w:w="10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2B13E0B">
            <w:pPr>
              <w:jc w:val="center"/>
              <w:rPr>
                <w:rFonts w:hint="eastAsia" w:ascii="宋体" w:hAnsi="宋体" w:eastAsia="宋体" w:cs="宋体"/>
                <w:i w:val="0"/>
                <w:color w:val="000000"/>
                <w:sz w:val="20"/>
                <w:szCs w:val="20"/>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1A374CC">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生态效益指标</w:t>
            </w:r>
          </w:p>
        </w:tc>
        <w:tc>
          <w:tcPr>
            <w:tcW w:w="2503"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75EDDA5">
            <w:pPr>
              <w:jc w:val="left"/>
              <w:rPr>
                <w:rFonts w:hint="eastAsia" w:ascii="宋体" w:hAnsi="宋体" w:eastAsia="宋体" w:cs="宋体"/>
                <w:i w:val="0"/>
                <w:color w:val="000000"/>
                <w:sz w:val="20"/>
                <w:szCs w:val="20"/>
                <w:u w:val="none"/>
              </w:rPr>
            </w:pPr>
          </w:p>
        </w:tc>
        <w:tc>
          <w:tcPr>
            <w:tcW w:w="149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157B637">
            <w:pPr>
              <w:jc w:val="center"/>
              <w:rPr>
                <w:rFonts w:hint="eastAsia" w:ascii="宋体" w:hAnsi="宋体" w:eastAsia="宋体" w:cs="宋体"/>
                <w:i w:val="0"/>
                <w:color w:val="000000"/>
                <w:sz w:val="20"/>
                <w:szCs w:val="20"/>
                <w:u w:val="none"/>
              </w:rPr>
            </w:pP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BAB927F">
            <w:pPr>
              <w:jc w:val="center"/>
              <w:rPr>
                <w:rFonts w:hint="eastAsia" w:ascii="宋体" w:hAnsi="宋体" w:eastAsia="宋体" w:cs="宋体"/>
                <w:i w:val="0"/>
                <w:color w:val="000000"/>
                <w:sz w:val="20"/>
                <w:szCs w:val="20"/>
                <w:u w:val="none"/>
              </w:rPr>
            </w:pPr>
          </w:p>
        </w:tc>
        <w:tc>
          <w:tcPr>
            <w:tcW w:w="1648"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0F7E83">
            <w:pPr>
              <w:jc w:val="center"/>
              <w:rPr>
                <w:rFonts w:hint="eastAsia" w:ascii="宋体" w:hAnsi="宋体" w:eastAsia="宋体" w:cs="宋体"/>
                <w:i w:val="0"/>
                <w:color w:val="000000"/>
                <w:sz w:val="20"/>
                <w:szCs w:val="20"/>
                <w:u w:val="none"/>
              </w:rPr>
            </w:pPr>
          </w:p>
        </w:tc>
        <w:tc>
          <w:tcPr>
            <w:tcW w:w="149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5E9AC38">
            <w:pPr>
              <w:jc w:val="center"/>
              <w:rPr>
                <w:rFonts w:hint="eastAsia" w:ascii="宋体" w:hAnsi="宋体" w:eastAsia="宋体" w:cs="宋体"/>
                <w:i w:val="0"/>
                <w:color w:val="000000"/>
                <w:sz w:val="20"/>
                <w:szCs w:val="20"/>
                <w:u w:val="none"/>
              </w:rPr>
            </w:pP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E863AF7">
            <w:pPr>
              <w:jc w:val="center"/>
              <w:rPr>
                <w:rFonts w:hint="eastAsia" w:ascii="宋体" w:hAnsi="宋体" w:eastAsia="宋体" w:cs="宋体"/>
                <w:i w:val="0"/>
                <w:color w:val="000000"/>
                <w:sz w:val="20"/>
                <w:szCs w:val="20"/>
                <w:u w:val="none"/>
              </w:rPr>
            </w:pPr>
          </w:p>
        </w:tc>
      </w:tr>
      <w:tr w14:paraId="6EF33D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00" w:hRule="atLeast"/>
        </w:trPr>
        <w:tc>
          <w:tcPr>
            <w:tcW w:w="10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E3C033">
            <w:pPr>
              <w:jc w:val="center"/>
              <w:rPr>
                <w:rFonts w:hint="eastAsia" w:ascii="宋体" w:hAnsi="宋体" w:eastAsia="宋体" w:cs="宋体"/>
                <w:i w:val="0"/>
                <w:color w:val="000000"/>
                <w:sz w:val="20"/>
                <w:szCs w:val="20"/>
                <w:u w:val="none"/>
              </w:rPr>
            </w:pPr>
          </w:p>
        </w:tc>
        <w:tc>
          <w:tcPr>
            <w:tcW w:w="10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0E033DE">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12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5BEE8A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2503"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2682EDE">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机场客户满意度</w:t>
            </w:r>
          </w:p>
        </w:tc>
        <w:tc>
          <w:tcPr>
            <w:tcW w:w="149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82B4FEB">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≥95%</w:t>
            </w:r>
          </w:p>
        </w:tc>
        <w:tc>
          <w:tcPr>
            <w:tcW w:w="133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D4B2DA">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=95%</w:t>
            </w:r>
          </w:p>
        </w:tc>
        <w:tc>
          <w:tcPr>
            <w:tcW w:w="1648"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5324F08">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149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5005BBD">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219B352">
            <w:pPr>
              <w:jc w:val="center"/>
              <w:rPr>
                <w:rFonts w:hint="eastAsia" w:ascii="宋体" w:hAnsi="宋体" w:eastAsia="宋体" w:cs="宋体"/>
                <w:i w:val="0"/>
                <w:color w:val="000000"/>
                <w:sz w:val="20"/>
                <w:szCs w:val="20"/>
                <w:u w:val="none"/>
              </w:rPr>
            </w:pPr>
          </w:p>
        </w:tc>
      </w:tr>
      <w:tr w14:paraId="2A38FE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88" w:hRule="atLeast"/>
        </w:trPr>
        <w:tc>
          <w:tcPr>
            <w:tcW w:w="8785" w:type="dxa"/>
            <w:gridSpan w:val="8"/>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2DEC4A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总分</w:t>
            </w:r>
          </w:p>
        </w:tc>
        <w:tc>
          <w:tcPr>
            <w:tcW w:w="1648"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62774D5">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49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F32F411">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100.00分</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9044597">
            <w:pPr>
              <w:jc w:val="center"/>
              <w:rPr>
                <w:rFonts w:hint="eastAsia" w:ascii="宋体" w:hAnsi="宋体" w:eastAsia="宋体" w:cs="宋体"/>
                <w:i w:val="0"/>
                <w:color w:val="000000"/>
                <w:sz w:val="20"/>
                <w:szCs w:val="20"/>
                <w:u w:val="none"/>
              </w:rPr>
            </w:pPr>
          </w:p>
        </w:tc>
      </w:tr>
    </w:tbl>
    <w:p w14:paraId="1491CE30">
      <w:pPr>
        <w:rPr>
          <w:rFonts w:hint="default" w:ascii="Times New Roman" w:hAnsi="Times New Roman" w:cs="Times New Roman"/>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3000509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14:paraId="7F8C39D7">
        <w:pPr>
          <w:pStyle w:val="7"/>
          <w:jc w:val="center"/>
        </w:pPr>
        <w:r>
          <w:fldChar w:fldCharType="begin"/>
        </w:r>
        <w:r>
          <w:instrText xml:space="preserve">PAGE   \* MERGEFORMAT</w:instrText>
        </w:r>
        <w:r>
          <w:fldChar w:fldCharType="separate"/>
        </w:r>
        <w:r>
          <w:rPr>
            <w:lang w:val="zh-CN"/>
          </w:rPr>
          <w:t>13</w:t>
        </w:r>
        <w:r>
          <w:fldChar w:fldCharType="end"/>
        </w:r>
      </w:p>
    </w:sdtContent>
  </w:sdt>
  <w:p w14:paraId="23B30255">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CD2B0F"/>
    <w:multiLevelType w:val="singleLevel"/>
    <w:tmpl w:val="F4CD2B0F"/>
    <w:lvl w:ilvl="0" w:tentative="0">
      <w:start w:val="1"/>
      <w:numFmt w:val="decimal"/>
      <w:suff w:val="nothing"/>
      <w:lvlText w:val="（%1）"/>
      <w:lvlJc w:val="left"/>
    </w:lvl>
  </w:abstractNum>
  <w:abstractNum w:abstractNumId="1">
    <w:nsid w:val="FF9379A8"/>
    <w:multiLevelType w:val="singleLevel"/>
    <w:tmpl w:val="FF9379A8"/>
    <w:lvl w:ilvl="0" w:tentative="0">
      <w:start w:val="2"/>
      <w:numFmt w:val="chineseCounting"/>
      <w:suff w:val="nothing"/>
      <w:lvlText w:val="（%1）"/>
      <w:lvlJc w:val="left"/>
      <w:rPr>
        <w:rFonts w:hint="eastAsia"/>
      </w:rPr>
    </w:lvl>
  </w:abstractNum>
  <w:abstractNum w:abstractNumId="2">
    <w:nsid w:val="116B29BF"/>
    <w:multiLevelType w:val="singleLevel"/>
    <w:tmpl w:val="116B29BF"/>
    <w:lvl w:ilvl="0" w:tentative="0">
      <w:start w:val="3"/>
      <w:numFmt w:val="chineseCounting"/>
      <w:suff w:val="nothing"/>
      <w:lvlText w:val="%1、"/>
      <w:lvlJc w:val="left"/>
      <w:rPr>
        <w:rFonts w:hint="eastAsia"/>
      </w:rPr>
    </w:lvl>
  </w:abstractNum>
  <w:abstractNum w:abstractNumId="3">
    <w:nsid w:val="27813159"/>
    <w:multiLevelType w:val="singleLevel"/>
    <w:tmpl w:val="27813159"/>
    <w:lvl w:ilvl="0" w:tentative="0">
      <w:start w:val="3"/>
      <w:numFmt w:val="chineseCounting"/>
      <w:suff w:val="nothing"/>
      <w:lvlText w:val="（%1）"/>
      <w:lvlJc w:val="left"/>
      <w:rPr>
        <w:rFonts w:hint="eastAsia"/>
      </w:rPr>
    </w:lvl>
  </w:abstractNum>
  <w:abstractNum w:abstractNumId="4">
    <w:nsid w:val="59F6B46F"/>
    <w:multiLevelType w:val="singleLevel"/>
    <w:tmpl w:val="59F6B46F"/>
    <w:lvl w:ilvl="0" w:tentative="0">
      <w:start w:val="2"/>
      <w:numFmt w:val="decimal"/>
      <w:lvlText w:val="%1."/>
      <w:lvlJc w:val="left"/>
      <w:pPr>
        <w:tabs>
          <w:tab w:val="left" w:pos="312"/>
        </w:tabs>
      </w:pPr>
    </w:lvl>
  </w:abstractNum>
  <w:abstractNum w:abstractNumId="5">
    <w:nsid w:val="6FAA0AB1"/>
    <w:multiLevelType w:val="singleLevel"/>
    <w:tmpl w:val="6FAA0AB1"/>
    <w:lvl w:ilvl="0" w:tentative="0">
      <w:start w:val="2"/>
      <w:numFmt w:val="chineseCounting"/>
      <w:suff w:val="nothing"/>
      <w:lvlText w:val="（%1）"/>
      <w:lvlJc w:val="left"/>
      <w:rPr>
        <w:rFonts w:hint="eastAsia"/>
      </w:rPr>
    </w:lvl>
  </w:abstractNum>
  <w:num w:numId="1">
    <w:abstractNumId w:val="4"/>
  </w:num>
  <w:num w:numId="2">
    <w:abstractNumId w:val="0"/>
  </w:num>
  <w:num w:numId="3">
    <w:abstractNumId w:val="3"/>
  </w:num>
  <w:num w:numId="4">
    <w:abstractNumId w:val="2"/>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FF6C4049"/>
    <w:rsid w:val="006F7242"/>
    <w:rsid w:val="007B168A"/>
    <w:rsid w:val="008B2CFE"/>
    <w:rsid w:val="008F7E5C"/>
    <w:rsid w:val="00F26FF6"/>
    <w:rsid w:val="01610122"/>
    <w:rsid w:val="021B0FC0"/>
    <w:rsid w:val="022C115C"/>
    <w:rsid w:val="02510197"/>
    <w:rsid w:val="038D3264"/>
    <w:rsid w:val="03EC461B"/>
    <w:rsid w:val="05C62858"/>
    <w:rsid w:val="071A5591"/>
    <w:rsid w:val="07397B77"/>
    <w:rsid w:val="0AD007F3"/>
    <w:rsid w:val="0C1849DB"/>
    <w:rsid w:val="0D082A6E"/>
    <w:rsid w:val="0E3C619F"/>
    <w:rsid w:val="0F6273CA"/>
    <w:rsid w:val="100F38EC"/>
    <w:rsid w:val="11170296"/>
    <w:rsid w:val="120D7B8A"/>
    <w:rsid w:val="12C66037"/>
    <w:rsid w:val="12CD1ABC"/>
    <w:rsid w:val="13471461"/>
    <w:rsid w:val="13B90F01"/>
    <w:rsid w:val="13D876DF"/>
    <w:rsid w:val="146F729F"/>
    <w:rsid w:val="155E4C4D"/>
    <w:rsid w:val="17CC68E1"/>
    <w:rsid w:val="181066D2"/>
    <w:rsid w:val="194E108D"/>
    <w:rsid w:val="1C671E73"/>
    <w:rsid w:val="1D322C47"/>
    <w:rsid w:val="22290DFD"/>
    <w:rsid w:val="23616034"/>
    <w:rsid w:val="23696C97"/>
    <w:rsid w:val="24480FA2"/>
    <w:rsid w:val="25227A45"/>
    <w:rsid w:val="26AC3A6A"/>
    <w:rsid w:val="273F26EE"/>
    <w:rsid w:val="2B9D7E25"/>
    <w:rsid w:val="2C7C7A3B"/>
    <w:rsid w:val="2C9F7BF8"/>
    <w:rsid w:val="2F364819"/>
    <w:rsid w:val="2FD63906"/>
    <w:rsid w:val="37215DAE"/>
    <w:rsid w:val="38CA40DD"/>
    <w:rsid w:val="395F2B56"/>
    <w:rsid w:val="3A4337AD"/>
    <w:rsid w:val="3B482032"/>
    <w:rsid w:val="3B4C67E0"/>
    <w:rsid w:val="3BBA0580"/>
    <w:rsid w:val="3BECE841"/>
    <w:rsid w:val="3CDE204C"/>
    <w:rsid w:val="3D363C36"/>
    <w:rsid w:val="3E9C3F6D"/>
    <w:rsid w:val="3F870EE7"/>
    <w:rsid w:val="3FF7797D"/>
    <w:rsid w:val="42F16CBA"/>
    <w:rsid w:val="45801269"/>
    <w:rsid w:val="46690BD8"/>
    <w:rsid w:val="49F70BF1"/>
    <w:rsid w:val="4B4340EE"/>
    <w:rsid w:val="503D507A"/>
    <w:rsid w:val="51F87FB5"/>
    <w:rsid w:val="51FA74D0"/>
    <w:rsid w:val="52AA4A52"/>
    <w:rsid w:val="539D3AD1"/>
    <w:rsid w:val="53E914A7"/>
    <w:rsid w:val="59943D66"/>
    <w:rsid w:val="59E051FD"/>
    <w:rsid w:val="59E6355E"/>
    <w:rsid w:val="5B821531"/>
    <w:rsid w:val="5BFF6039"/>
    <w:rsid w:val="5D76A616"/>
    <w:rsid w:val="5D7F20B9"/>
    <w:rsid w:val="5DAC7D0E"/>
    <w:rsid w:val="5F98B5AF"/>
    <w:rsid w:val="5FFE8511"/>
    <w:rsid w:val="5FFEACE2"/>
    <w:rsid w:val="609D5BF6"/>
    <w:rsid w:val="61073070"/>
    <w:rsid w:val="61177AAD"/>
    <w:rsid w:val="61B9080E"/>
    <w:rsid w:val="61DF3FED"/>
    <w:rsid w:val="61E933B1"/>
    <w:rsid w:val="62606CE8"/>
    <w:rsid w:val="642B176B"/>
    <w:rsid w:val="643EE26D"/>
    <w:rsid w:val="656019A0"/>
    <w:rsid w:val="658D4A72"/>
    <w:rsid w:val="65F242EE"/>
    <w:rsid w:val="666D7E19"/>
    <w:rsid w:val="68376930"/>
    <w:rsid w:val="68F91E38"/>
    <w:rsid w:val="6B3158B9"/>
    <w:rsid w:val="6BA02A3F"/>
    <w:rsid w:val="6C105349"/>
    <w:rsid w:val="6C1E5A53"/>
    <w:rsid w:val="6F5C41AC"/>
    <w:rsid w:val="6FAF6C78"/>
    <w:rsid w:val="716167CC"/>
    <w:rsid w:val="718A7AD1"/>
    <w:rsid w:val="72A44BC2"/>
    <w:rsid w:val="7317C656"/>
    <w:rsid w:val="734ED73F"/>
    <w:rsid w:val="73C82B32"/>
    <w:rsid w:val="73F94DAE"/>
    <w:rsid w:val="74220495"/>
    <w:rsid w:val="747D1B6F"/>
    <w:rsid w:val="749E5641"/>
    <w:rsid w:val="755346B4"/>
    <w:rsid w:val="76271066"/>
    <w:rsid w:val="77FD8BE9"/>
    <w:rsid w:val="78000AED"/>
    <w:rsid w:val="78036054"/>
    <w:rsid w:val="78386A5C"/>
    <w:rsid w:val="79A9BD3F"/>
    <w:rsid w:val="7AC5270E"/>
    <w:rsid w:val="7AEF50A5"/>
    <w:rsid w:val="7B776F12"/>
    <w:rsid w:val="7BFFFDD0"/>
    <w:rsid w:val="7C336E5F"/>
    <w:rsid w:val="7C8D4919"/>
    <w:rsid w:val="7D7A5F86"/>
    <w:rsid w:val="7E4B683A"/>
    <w:rsid w:val="7E5E656D"/>
    <w:rsid w:val="7E8F2BCB"/>
    <w:rsid w:val="7F37BB4E"/>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2"/>
    <w:qFormat/>
    <w:uiPriority w:val="0"/>
    <w:pPr>
      <w:jc w:val="left"/>
    </w:pPr>
  </w:style>
  <w:style w:type="paragraph" w:styleId="4">
    <w:name w:val="Body Text"/>
    <w:basedOn w:val="1"/>
    <w:qFormat/>
    <w:uiPriority w:val="0"/>
    <w:pPr>
      <w:spacing w:after="120"/>
    </w:pPr>
  </w:style>
  <w:style w:type="paragraph" w:styleId="5">
    <w:name w:val="Body Text Indent"/>
    <w:basedOn w:val="1"/>
    <w:qFormat/>
    <w:uiPriority w:val="0"/>
    <w:pPr>
      <w:spacing w:after="120"/>
      <w:ind w:left="420" w:leftChars="200"/>
    </w:pPr>
    <w:rPr>
      <w:rFonts w:ascii="Calibri" w:hAnsi="Calibri"/>
    </w:rPr>
  </w:style>
  <w:style w:type="paragraph" w:styleId="6">
    <w:name w:val="Balloon Text"/>
    <w:basedOn w:val="1"/>
    <w:link w:val="20"/>
    <w:qFormat/>
    <w:uiPriority w:val="0"/>
    <w:rPr>
      <w:sz w:val="18"/>
      <w:szCs w:val="18"/>
    </w:rPr>
  </w:style>
  <w:style w:type="paragraph" w:styleId="7">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8">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0">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1">
    <w:name w:val="annotation subject"/>
    <w:basedOn w:val="3"/>
    <w:next w:val="3"/>
    <w:link w:val="23"/>
    <w:qFormat/>
    <w:uiPriority w:val="0"/>
    <w:rPr>
      <w:b/>
      <w:bCs/>
    </w:rPr>
  </w:style>
  <w:style w:type="paragraph" w:styleId="12">
    <w:name w:val="Body Text First Indent"/>
    <w:basedOn w:val="4"/>
    <w:qFormat/>
    <w:uiPriority w:val="0"/>
    <w:pPr>
      <w:spacing w:after="0"/>
      <w:ind w:firstLine="200" w:firstLineChars="200"/>
    </w:pPr>
  </w:style>
  <w:style w:type="paragraph" w:styleId="13">
    <w:name w:val="Body Text First Indent 2"/>
    <w:basedOn w:val="5"/>
    <w:qFormat/>
    <w:uiPriority w:val="0"/>
    <w:pPr>
      <w:ind w:firstLine="420" w:firstLineChars="200"/>
    </w:pPr>
  </w:style>
  <w:style w:type="character" w:styleId="16">
    <w:name w:val="Strong"/>
    <w:basedOn w:val="15"/>
    <w:qFormat/>
    <w:uiPriority w:val="0"/>
    <w:rPr>
      <w:b/>
      <w:bCs/>
    </w:rPr>
  </w:style>
  <w:style w:type="character" w:styleId="17">
    <w:name w:val="annotation reference"/>
    <w:basedOn w:val="15"/>
    <w:qFormat/>
    <w:uiPriority w:val="0"/>
    <w:rPr>
      <w:sz w:val="21"/>
      <w:szCs w:val="21"/>
    </w:rPr>
  </w:style>
  <w:style w:type="character" w:customStyle="1" w:styleId="18">
    <w:name w:val="fontstyle01"/>
    <w:qFormat/>
    <w:uiPriority w:val="0"/>
    <w:rPr>
      <w:rFonts w:ascii="仿宋_GB2312" w:hAnsi="仿宋_GB2312" w:eastAsia="仿宋_GB2312" w:cs="仿宋_GB2312"/>
      <w:color w:val="000000"/>
      <w:sz w:val="32"/>
      <w:szCs w:val="32"/>
    </w:rPr>
  </w:style>
  <w:style w:type="paragraph" w:customStyle="1" w:styleId="19">
    <w:name w:val="闻政-正文段落文字"/>
    <w:basedOn w:val="1"/>
    <w:qFormat/>
    <w:uiPriority w:val="3"/>
    <w:pPr>
      <w:spacing w:line="500" w:lineRule="exact"/>
      <w:ind w:firstLine="200"/>
    </w:pPr>
    <w:rPr>
      <w:kern w:val="0"/>
      <w:szCs w:val="28"/>
    </w:rPr>
  </w:style>
  <w:style w:type="character" w:customStyle="1" w:styleId="20">
    <w:name w:val="批注框文本 字符"/>
    <w:basedOn w:val="15"/>
    <w:link w:val="6"/>
    <w:qFormat/>
    <w:uiPriority w:val="0"/>
    <w:rPr>
      <w:rFonts w:ascii="Times New Roman" w:hAnsi="Times New Roman" w:eastAsia="宋体" w:cs="Times New Roman"/>
      <w:kern w:val="2"/>
      <w:sz w:val="18"/>
      <w:szCs w:val="18"/>
    </w:rPr>
  </w:style>
  <w:style w:type="character" w:customStyle="1" w:styleId="21">
    <w:name w:val="页眉 字符"/>
    <w:basedOn w:val="15"/>
    <w:link w:val="8"/>
    <w:qFormat/>
    <w:uiPriority w:val="0"/>
    <w:rPr>
      <w:rFonts w:ascii="Times New Roman" w:hAnsi="Times New Roman" w:eastAsia="宋体" w:cs="Times New Roman"/>
      <w:kern w:val="2"/>
      <w:sz w:val="18"/>
      <w:szCs w:val="18"/>
    </w:rPr>
  </w:style>
  <w:style w:type="character" w:customStyle="1" w:styleId="22">
    <w:name w:val="批注文字 字符"/>
    <w:basedOn w:val="15"/>
    <w:link w:val="3"/>
    <w:qFormat/>
    <w:uiPriority w:val="0"/>
    <w:rPr>
      <w:rFonts w:ascii="Times New Roman" w:hAnsi="Times New Roman" w:eastAsia="宋体" w:cs="Times New Roman"/>
      <w:kern w:val="2"/>
      <w:sz w:val="21"/>
      <w:szCs w:val="24"/>
    </w:rPr>
  </w:style>
  <w:style w:type="character" w:customStyle="1" w:styleId="23">
    <w:name w:val="批注主题 字符"/>
    <w:basedOn w:val="22"/>
    <w:link w:val="11"/>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29</Pages>
  <Words>3621</Words>
  <Characters>3916</Characters>
  <Lines>58</Lines>
  <Paragraphs>16</Paragraphs>
  <TotalTime>15</TotalTime>
  <ScaleCrop>false</ScaleCrop>
  <LinksUpToDate>false</LinksUpToDate>
  <CharactersWithSpaces>3916</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cp:lastModifiedBy>
  <dcterms:modified xsi:type="dcterms:W3CDTF">2025-05-08T10:01:54Z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A075C2AEC1C54D1693797747003CB0A9_13</vt:lpwstr>
  </property>
  <property fmtid="{D5CDD505-2E9C-101B-9397-08002B2CF9AE}" pid="4" name="KSOTemplateDocerSaveRecord">
    <vt:lpwstr>eyJoZGlkIjoiZGU2OWVkNjVhNTc2NTNjNjZhOGJlZWQ2NTc3Njc5NGQiLCJ1c2VySWQiOiIzODQzMzMyOTcifQ==</vt:lpwstr>
  </property>
</Properties>
</file>