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0113B">
      <w:pPr>
        <w:spacing w:line="540" w:lineRule="exact"/>
        <w:jc w:val="center"/>
        <w:rPr>
          <w:rFonts w:hint="default" w:ascii="Times New Roman" w:hAnsi="Times New Roman" w:eastAsia="华文中宋" w:cs="Times New Roman"/>
          <w:b/>
          <w:kern w:val="0"/>
          <w:sz w:val="52"/>
          <w:szCs w:val="52"/>
        </w:rPr>
      </w:pPr>
    </w:p>
    <w:p w14:paraId="07113624">
      <w:pPr>
        <w:spacing w:line="540" w:lineRule="exact"/>
        <w:rPr>
          <w:rFonts w:hint="default" w:ascii="Times New Roman" w:hAnsi="Times New Roman" w:eastAsia="华文中宋" w:cs="Times New Roman"/>
          <w:b/>
          <w:kern w:val="0"/>
          <w:sz w:val="52"/>
          <w:szCs w:val="52"/>
        </w:rPr>
      </w:pPr>
    </w:p>
    <w:p w14:paraId="5A71A758">
      <w:pPr>
        <w:spacing w:line="540" w:lineRule="exact"/>
        <w:jc w:val="center"/>
        <w:rPr>
          <w:rFonts w:hint="default" w:ascii="Times New Roman" w:hAnsi="Times New Roman" w:eastAsia="华文中宋" w:cs="Times New Roman"/>
          <w:b/>
          <w:kern w:val="0"/>
          <w:sz w:val="52"/>
          <w:szCs w:val="52"/>
        </w:rPr>
      </w:pPr>
    </w:p>
    <w:p w14:paraId="1FE522C5">
      <w:pPr>
        <w:spacing w:line="540" w:lineRule="exact"/>
        <w:jc w:val="center"/>
        <w:rPr>
          <w:rFonts w:hint="default" w:ascii="Times New Roman" w:hAnsi="Times New Roman" w:eastAsia="华文中宋" w:cs="Times New Roman"/>
          <w:b/>
          <w:kern w:val="0"/>
          <w:sz w:val="52"/>
          <w:szCs w:val="52"/>
        </w:rPr>
      </w:pPr>
    </w:p>
    <w:p w14:paraId="0AF1CC23">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奇财农[2024]19号耕地占用税项目支出绩效评价报告</w:t>
      </w:r>
    </w:p>
    <w:p w14:paraId="19760390">
      <w:pPr>
        <w:spacing w:line="540" w:lineRule="exact"/>
        <w:jc w:val="center"/>
        <w:rPr>
          <w:rFonts w:hint="default" w:ascii="Times New Roman" w:hAnsi="Times New Roman" w:eastAsia="华文中宋" w:cs="Times New Roman"/>
          <w:b/>
          <w:kern w:val="0"/>
          <w:sz w:val="52"/>
          <w:szCs w:val="52"/>
        </w:rPr>
      </w:pPr>
    </w:p>
    <w:p w14:paraId="350D8549">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4B80812C">
      <w:pPr>
        <w:spacing w:line="540" w:lineRule="exact"/>
        <w:jc w:val="center"/>
        <w:rPr>
          <w:rFonts w:hint="default" w:ascii="Times New Roman" w:hAnsi="Times New Roman" w:eastAsia="仿宋_GB2312" w:cs="Times New Roman"/>
          <w:kern w:val="0"/>
          <w:sz w:val="30"/>
          <w:szCs w:val="30"/>
        </w:rPr>
      </w:pPr>
    </w:p>
    <w:p w14:paraId="5D53A9A9">
      <w:pPr>
        <w:spacing w:line="540" w:lineRule="exact"/>
        <w:jc w:val="center"/>
        <w:rPr>
          <w:rFonts w:hint="default" w:ascii="Times New Roman" w:hAnsi="Times New Roman" w:eastAsia="仿宋_GB2312" w:cs="Times New Roman"/>
          <w:kern w:val="0"/>
          <w:sz w:val="30"/>
          <w:szCs w:val="30"/>
        </w:rPr>
      </w:pPr>
    </w:p>
    <w:p w14:paraId="73F79844">
      <w:pPr>
        <w:spacing w:line="540" w:lineRule="exact"/>
        <w:jc w:val="center"/>
        <w:rPr>
          <w:rFonts w:hint="default" w:ascii="Times New Roman" w:hAnsi="Times New Roman" w:eastAsia="仿宋_GB2312" w:cs="Times New Roman"/>
          <w:kern w:val="0"/>
          <w:sz w:val="30"/>
          <w:szCs w:val="30"/>
        </w:rPr>
      </w:pPr>
    </w:p>
    <w:p w14:paraId="455834A8">
      <w:pPr>
        <w:pStyle w:val="10"/>
        <w:rPr>
          <w:rFonts w:hint="default" w:ascii="Times New Roman" w:hAnsi="Times New Roman" w:cs="Times New Roman"/>
        </w:rPr>
      </w:pPr>
    </w:p>
    <w:p w14:paraId="41958C02">
      <w:pPr>
        <w:spacing w:line="540" w:lineRule="exact"/>
        <w:jc w:val="center"/>
        <w:rPr>
          <w:rFonts w:hint="default" w:ascii="Times New Roman" w:hAnsi="Times New Roman" w:eastAsia="仿宋_GB2312" w:cs="Times New Roman"/>
          <w:kern w:val="0"/>
          <w:sz w:val="30"/>
          <w:szCs w:val="30"/>
        </w:rPr>
      </w:pPr>
    </w:p>
    <w:p w14:paraId="16D7521C">
      <w:pPr>
        <w:spacing w:line="540" w:lineRule="exact"/>
        <w:rPr>
          <w:rFonts w:hint="default" w:ascii="Times New Roman" w:hAnsi="Times New Roman" w:eastAsia="仿宋_GB2312" w:cs="Times New Roman"/>
          <w:kern w:val="0"/>
          <w:sz w:val="30"/>
          <w:szCs w:val="30"/>
        </w:rPr>
      </w:pPr>
    </w:p>
    <w:p w14:paraId="5F39D31E">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项目名称：奇财农[2024]19号耕地占用税</w:t>
      </w:r>
    </w:p>
    <w:p w14:paraId="45114304">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奇台县自然资源局</w:t>
      </w:r>
    </w:p>
    <w:p w14:paraId="6BF44155">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奇台县自然资源局</w:t>
      </w:r>
    </w:p>
    <w:p w14:paraId="21D4E2F3">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刘波</w:t>
      </w:r>
    </w:p>
    <w:p w14:paraId="57CA8290">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27</w:t>
      </w:r>
      <w:r>
        <w:rPr>
          <w:rFonts w:hint="default" w:ascii="Times New Roman" w:hAnsi="Times New Roman" w:eastAsia="仿宋_GB2312" w:cs="Times New Roman"/>
          <w:kern w:val="0"/>
          <w:sz w:val="36"/>
          <w:szCs w:val="36"/>
        </w:rPr>
        <w:t>日</w:t>
      </w:r>
    </w:p>
    <w:p w14:paraId="65F7C199">
      <w:pPr>
        <w:spacing w:line="540" w:lineRule="exact"/>
        <w:jc w:val="center"/>
        <w:rPr>
          <w:rFonts w:hint="default" w:ascii="Times New Roman" w:hAnsi="Times New Roman" w:eastAsia="仿宋_GB2312" w:cs="Times New Roman"/>
          <w:kern w:val="0"/>
          <w:sz w:val="30"/>
          <w:szCs w:val="30"/>
        </w:rPr>
      </w:pPr>
    </w:p>
    <w:p w14:paraId="5766C42A">
      <w:pPr>
        <w:spacing w:line="540" w:lineRule="exact"/>
        <w:rPr>
          <w:rStyle w:val="16"/>
          <w:rFonts w:hint="default" w:ascii="Times New Roman" w:hAnsi="Times New Roman" w:eastAsia="黑体" w:cs="Times New Roman"/>
          <w:b w:val="0"/>
          <w:spacing w:val="-4"/>
          <w:sz w:val="32"/>
          <w:szCs w:val="32"/>
        </w:rPr>
      </w:pPr>
    </w:p>
    <w:p w14:paraId="4906DED6">
      <w:pPr>
        <w:spacing w:line="540" w:lineRule="exact"/>
        <w:ind w:firstLine="640"/>
        <w:rPr>
          <w:rStyle w:val="16"/>
          <w:rFonts w:hint="default" w:ascii="Times New Roman" w:hAnsi="Times New Roman" w:eastAsia="黑体" w:cs="Times New Roman"/>
          <w:b w:val="0"/>
          <w:spacing w:val="-4"/>
          <w:sz w:val="32"/>
          <w:szCs w:val="32"/>
        </w:rPr>
      </w:pPr>
    </w:p>
    <w:p w14:paraId="715137C9">
      <w:pPr>
        <w:spacing w:line="540" w:lineRule="exact"/>
        <w:rPr>
          <w:rStyle w:val="16"/>
          <w:rFonts w:hint="default" w:ascii="Times New Roman" w:hAnsi="Times New Roman" w:eastAsia="黑体" w:cs="Times New Roman"/>
          <w:b w:val="0"/>
          <w:spacing w:val="-4"/>
          <w:sz w:val="32"/>
          <w:szCs w:val="32"/>
        </w:rPr>
      </w:pPr>
    </w:p>
    <w:p w14:paraId="7AFB4844">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67EA858E">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0D6CE8A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2D793C09">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02E4877D">
      <w:pPr>
        <w:spacing w:line="560" w:lineRule="exact"/>
        <w:ind w:firstLine="640" w:firstLineChars="200"/>
        <w:rPr>
          <w:rStyle w:val="16"/>
          <w:rFonts w:hint="default" w:ascii="Times New Roman" w:hAnsi="Times New Roman" w:eastAsia="黑体" w:cs="Times New Roman"/>
          <w:b w:val="0"/>
          <w:bCs/>
          <w:spacing w:val="-4"/>
          <w:sz w:val="32"/>
          <w:szCs w:val="32"/>
          <w:highlight w:val="yellow"/>
          <w:lang w:eastAsia="zh-CN"/>
        </w:rPr>
      </w:pPr>
      <w:r>
        <w:rPr>
          <w:rFonts w:hint="eastAsia" w:ascii="仿宋_GB2312" w:hAnsi="仿宋_GB2312" w:eastAsia="仿宋_GB2312" w:cs="仿宋_GB2312"/>
          <w:sz w:val="32"/>
          <w:szCs w:val="32"/>
          <w:lang w:eastAsia="zh-CN"/>
        </w:rPr>
        <w:t>根据《中华人民共和国耕地占用税法》、《中华人民共和国耕地占用税法实施办法》、《关于做好耕地占用税部门协作和信息交换工作的通知》（新财税法〔</w:t>
      </w: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2号</w:t>
      </w:r>
      <w:r>
        <w:rPr>
          <w:rFonts w:hint="eastAsia" w:ascii="仿宋_GB2312" w:hAnsi="仿宋_GB2312" w:eastAsia="仿宋_GB2312" w:cs="仿宋_GB2312"/>
          <w:sz w:val="32"/>
          <w:szCs w:val="32"/>
          <w:lang w:eastAsia="zh-CN"/>
        </w:rPr>
        <w:t>）法规及文件要求，“经批准占用耕地的，纳税人为农用地转用审批文件中标明的建设用地人；农用地转用审批文件中未标明建设用地人的，纳税人为用地申请人，其中用地申请人为各级人民政府的，由同级土地储备中心、自然资源主管部门或政府委托的其他部门、单位履行耕地占用税申报纳税义务”，加强协税护税思想共识，切实履行协税纳税义务。税收是国家财政收入的重要来源，为实现国家职能提供了财力上的保证。我国税收取之于民，用之于民，国家通过税收实现全体人民的根本利益。依法纳税，既是自己应尽的义务，也是对国家、对社会的一种贡献。要以高度的责任感，积极配合国家税收政策，维护国家和全体人民的合法权益。</w:t>
      </w:r>
    </w:p>
    <w:p w14:paraId="369E90C0">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1B2558A5">
      <w:pPr>
        <w:spacing w:line="560" w:lineRule="exact"/>
        <w:ind w:firstLine="60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仿宋_GB2312" w:hAnsi="仿宋_GB2312" w:eastAsia="仿宋_GB2312" w:cs="仿宋_GB2312"/>
          <w:sz w:val="32"/>
          <w:szCs w:val="32"/>
          <w:lang w:eastAsia="zh-CN"/>
        </w:rPr>
        <w:t>根据《中华人民共和国耕地占用税法实施办法第二条》“经批准占用耕地的，纳税人为农用地转用审批文件中标明的建设用地人；农用地转用审批文件中未标明建设用地人的，纳税人为用地申请人，其中用地申请人为各级人民政府的，由同级土地储备中心、自然资源主管部门或政府委托的其他部门、单位履行耕地占用税申报纳税义务”，税务局反馈我局涉及缴纳部分</w:t>
      </w:r>
      <w:r>
        <w:rPr>
          <w:rFonts w:hint="eastAsia" w:ascii="仿宋_GB2312" w:hAnsi="仿宋_GB2312" w:eastAsia="仿宋_GB2312" w:cs="仿宋_GB2312"/>
          <w:sz w:val="32"/>
          <w:szCs w:val="32"/>
          <w:lang w:val="en-US" w:eastAsia="zh-CN"/>
        </w:rPr>
        <w:t>2021年以来批次转用项目耕地占用税，共涉及16个批次转用项目。</w:t>
      </w:r>
    </w:p>
    <w:p w14:paraId="7305AD02">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eastAsia" w:ascii="仿宋_GB2312" w:hAnsi="仿宋_GB2312" w:eastAsia="仿宋_GB2312" w:cs="仿宋_GB2312"/>
          <w:sz w:val="32"/>
          <w:szCs w:val="32"/>
          <w:lang w:val="en-US" w:eastAsia="zh-CN"/>
        </w:rPr>
        <w:t>根据《中华人民共和国耕地占用税法》、《中华人民共和国耕地占用税法实施办法》、《关于做好耕地占用税部门协作和信息交换工作的通知》（新财税法〔2023〕2号）法规及文件要求，加强协税护税思想共识，切实履行协税纳税义务，已完成缴纳涉及</w:t>
      </w:r>
      <w:r>
        <w:rPr>
          <w:rFonts w:hint="eastAsia" w:ascii="仿宋_GB2312" w:hAnsi="仿宋_GB2312" w:eastAsia="仿宋_GB2312" w:cs="仿宋_GB2312"/>
          <w:color w:val="auto"/>
          <w:sz w:val="32"/>
          <w:szCs w:val="32"/>
          <w:lang w:val="en-US" w:eastAsia="zh-CN"/>
        </w:rPr>
        <w:t>102.69公顷土地的</w:t>
      </w:r>
      <w:r>
        <w:rPr>
          <w:rFonts w:hint="eastAsia" w:ascii="仿宋_GB2312" w:hAnsi="仿宋_GB2312" w:eastAsia="仿宋_GB2312" w:cs="仿宋_GB2312"/>
          <w:sz w:val="32"/>
          <w:szCs w:val="32"/>
          <w:lang w:val="en-US" w:eastAsia="zh-CN"/>
        </w:rPr>
        <w:t>耕地占用税。</w:t>
      </w:r>
    </w:p>
    <w:p w14:paraId="40D2974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4F0871D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6805494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年中追加资金555.26万元，</w:t>
      </w:r>
      <w:r>
        <w:rPr>
          <w:rFonts w:hint="default" w:ascii="Times New Roman" w:hAnsi="Times New Roman" w:eastAsia="仿宋_GB2312" w:cs="Times New Roman"/>
          <w:sz w:val="32"/>
          <w:szCs w:val="32"/>
          <w:highlight w:val="none"/>
          <w:lang w:val="en-US" w:eastAsia="zh-CN"/>
        </w:rPr>
        <w:t>全年预算数</w:t>
      </w:r>
      <w:r>
        <w:rPr>
          <w:rFonts w:hint="eastAsia" w:eastAsia="仿宋_GB2312" w:cs="Times New Roman"/>
          <w:sz w:val="32"/>
          <w:szCs w:val="32"/>
          <w:highlight w:val="none"/>
          <w:lang w:val="en-US" w:eastAsia="zh-CN"/>
        </w:rPr>
        <w:t>555.26</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0E39338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07E712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年中追加资金555.26万元，</w:t>
      </w:r>
      <w:r>
        <w:rPr>
          <w:rFonts w:hint="default" w:ascii="Times New Roman" w:hAnsi="Times New Roman" w:eastAsia="仿宋_GB2312" w:cs="Times New Roman"/>
          <w:sz w:val="32"/>
          <w:szCs w:val="32"/>
          <w:highlight w:val="none"/>
          <w:lang w:val="en-US" w:eastAsia="zh-CN"/>
        </w:rPr>
        <w:t>全年预算数</w:t>
      </w:r>
      <w:r>
        <w:rPr>
          <w:rFonts w:hint="eastAsia" w:eastAsia="仿宋_GB2312" w:cs="Times New Roman"/>
          <w:sz w:val="32"/>
          <w:szCs w:val="32"/>
          <w:highlight w:val="none"/>
          <w:lang w:val="en-US" w:eastAsia="zh-CN"/>
        </w:rPr>
        <w:t>555.26</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554.57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99.88%</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耕地占用税</w:t>
      </w:r>
      <w:r>
        <w:rPr>
          <w:rFonts w:hint="default" w:ascii="Times New Roman" w:hAnsi="Times New Roman" w:eastAsia="仿宋_GB2312" w:cs="Times New Roman"/>
          <w:sz w:val="32"/>
          <w:szCs w:val="32"/>
          <w:highlight w:val="none"/>
          <w:lang w:val="en-US" w:eastAsia="zh-CN"/>
        </w:rPr>
        <w:t>。</w:t>
      </w:r>
    </w:p>
    <w:p w14:paraId="1D09FAF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31813B5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4270D44B">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中华人民共和国耕地占用税法》、《中华人民共和国耕地占用税法实施办法》、《关于做好耕地占用税部门协作和信息交换工作的通知》（新财税法〔2023〕2号）法规及文件，依法缴纳耕地占用税，有效控制了非农业建设对耕地的占用，保护了农用耕地，促进了土地管理，有助于增加国家的财政收入，用于农业发展和土地资源的保护，为社会经济发展创造了良好的环境。</w:t>
      </w:r>
    </w:p>
    <w:p w14:paraId="506E584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649D3250">
      <w:pPr>
        <w:spacing w:line="560" w:lineRule="exact"/>
        <w:ind w:firstLine="640" w:firstLineChars="200"/>
        <w:rPr>
          <w:rFonts w:hint="default" w:ascii="Times New Roman" w:hAnsi="Times New Roman" w:eastAsia="仿宋_GB2312" w:cs="Times New Roman"/>
          <w:b w:val="0"/>
          <w:bCs/>
          <w:lang w:val="en-US" w:eastAsia="zh-CN"/>
        </w:rPr>
      </w:pPr>
      <w:r>
        <w:rPr>
          <w:rFonts w:hint="default" w:ascii="Times New Roman" w:hAnsi="Times New Roman" w:eastAsia="仿宋_GB2312" w:cs="Times New Roman"/>
          <w:sz w:val="32"/>
          <w:szCs w:val="32"/>
        </w:rPr>
        <w:t>通过《中华人民共和国耕地占用税法》、《中华人民共和国耕地占用税法实施办法》、《关于做好耕地占用税部门协作和信息交换工作的通知》（新财税法〔2023〕2号）法规及文件，</w:t>
      </w:r>
      <w:r>
        <w:rPr>
          <w:rFonts w:hint="eastAsia" w:eastAsia="仿宋_GB2312" w:cs="Times New Roman"/>
          <w:sz w:val="32"/>
          <w:szCs w:val="32"/>
          <w:lang w:eastAsia="zh-CN"/>
        </w:rPr>
        <w:t>依据国家税务总局奇台县税务局出具的税务事项通知书，在</w:t>
      </w:r>
      <w:r>
        <w:rPr>
          <w:rFonts w:hint="eastAsia" w:eastAsia="仿宋_GB2312" w:cs="Times New Roman"/>
          <w:sz w:val="32"/>
          <w:szCs w:val="32"/>
          <w:lang w:val="en-US" w:eastAsia="zh-CN"/>
        </w:rPr>
        <w:t>2024年6月30日之前缴纳奇台县2021年第一批农村三项等15个批次转用项目的耕地占用税469.515844万元，在2024年8月10日之前缴纳错误享受优惠政策补缴的耕地占用税20.024764万元，在2024年9月30日之前缴纳乡镇规划2024年第三批建设用地的耕地占用税65.0308万元。</w:t>
      </w:r>
    </w:p>
    <w:p w14:paraId="6CD7E5CB">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64F50B7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6CF36DD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547CFBF1">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3AE12FE">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w:t>
      </w:r>
      <w:r>
        <w:rPr>
          <w:rFonts w:hint="eastAsia" w:eastAsia="仿宋_GB2312" w:cs="Times New Roman"/>
          <w:color w:val="auto"/>
          <w:sz w:val="32"/>
          <w:szCs w:val="32"/>
          <w:highlight w:val="none"/>
          <w:lang w:val="en-US" w:eastAsia="zh-CN"/>
        </w:rPr>
        <w:t>在常规经济性指标之外创新设置了</w:t>
      </w:r>
      <w:r>
        <w:rPr>
          <w:rFonts w:hint="default" w:ascii="Times New Roman" w:hAnsi="Times New Roman" w:eastAsia="仿宋_GB2312" w:cs="Times New Roman"/>
          <w:color w:val="auto"/>
          <w:sz w:val="32"/>
          <w:szCs w:val="32"/>
          <w:highlight w:val="none"/>
          <w:lang w:val="en-US" w:eastAsia="zh-CN"/>
        </w:rPr>
        <w:t>社会效益维度，</w:t>
      </w:r>
      <w:r>
        <w:rPr>
          <w:rFonts w:hint="eastAsia" w:eastAsia="仿宋_GB2312" w:cs="Times New Roman"/>
          <w:color w:val="auto"/>
          <w:sz w:val="32"/>
          <w:szCs w:val="32"/>
          <w:highlight w:val="none"/>
          <w:lang w:val="en-US" w:eastAsia="zh-CN"/>
        </w:rPr>
        <w:t>形成包含</w:t>
      </w:r>
      <w:r>
        <w:rPr>
          <w:rFonts w:hint="default" w:ascii="Times New Roman" w:hAnsi="Times New Roman" w:eastAsia="仿宋_GB2312" w:cs="Times New Roman"/>
          <w:sz w:val="32"/>
          <w:szCs w:val="32"/>
          <w:highlight w:val="none"/>
          <w:lang w:val="en-US" w:eastAsia="zh-CN"/>
        </w:rPr>
        <w:t>合理有效保护土地资源</w:t>
      </w:r>
      <w:r>
        <w:rPr>
          <w:rFonts w:hint="eastAsia" w:eastAsia="仿宋_GB2312" w:cs="Times New Roman"/>
          <w:sz w:val="32"/>
          <w:szCs w:val="32"/>
          <w:highlight w:val="none"/>
          <w:lang w:val="en-US" w:eastAsia="zh-CN"/>
        </w:rPr>
        <w:t>等观测点的社会效益评估维度，构建起覆盖投入-过程-产出-影响全链条的多维度评估模型，</w:t>
      </w:r>
      <w:r>
        <w:rPr>
          <w:rFonts w:hint="default" w:ascii="Times New Roman" w:hAnsi="Times New Roman" w:eastAsia="仿宋_GB2312" w:cs="Times New Roman"/>
          <w:color w:val="auto"/>
          <w:sz w:val="32"/>
          <w:szCs w:val="32"/>
          <w:highlight w:val="none"/>
          <w:lang w:val="en-US" w:eastAsia="zh-CN"/>
        </w:rPr>
        <w:t>力求全方位反映项目的绩效状况。同时，对于每个指标的评价标准和数据来源均进行了</w:t>
      </w:r>
      <w:r>
        <w:rPr>
          <w:rFonts w:hint="eastAsia" w:eastAsia="仿宋_GB2312" w:cs="Times New Roman"/>
          <w:color w:val="auto"/>
          <w:sz w:val="32"/>
          <w:szCs w:val="32"/>
          <w:highlight w:val="none"/>
          <w:lang w:val="en-US" w:eastAsia="zh-CN"/>
        </w:rPr>
        <w:t>工作资料印证</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确保了评价结果具备三重可验证性-方法可复制、结果可验证、过程可追溯，显著提升了评估成果在行政决策中的转化应用价值。</w:t>
      </w:r>
    </w:p>
    <w:p w14:paraId="582F0AE3">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w:t>
      </w:r>
      <w:r>
        <w:rPr>
          <w:rFonts w:hint="eastAsia" w:eastAsia="仿宋_GB2312" w:cs="Times New Roman"/>
          <w:color w:val="auto"/>
          <w:sz w:val="32"/>
          <w:szCs w:val="32"/>
          <w:highlight w:val="none"/>
          <w:lang w:val="en-US" w:eastAsia="zh-CN"/>
        </w:rPr>
        <w:t>工作资料查询、</w:t>
      </w:r>
      <w:r>
        <w:rPr>
          <w:rFonts w:hint="default" w:ascii="Times New Roman" w:hAnsi="Times New Roman" w:eastAsia="仿宋_GB2312" w:cs="Times New Roman"/>
          <w:color w:val="auto"/>
          <w:sz w:val="32"/>
          <w:szCs w:val="32"/>
          <w:highlight w:val="none"/>
          <w:lang w:val="en-US" w:eastAsia="zh-CN"/>
        </w:rPr>
        <w:t>问卷调查、数据分析等，广泛收集了与项目相关的各类数据，</w:t>
      </w:r>
      <w:r>
        <w:rPr>
          <w:rFonts w:hint="eastAsia" w:eastAsia="仿宋_GB2312" w:cs="Times New Roman"/>
          <w:color w:val="auto"/>
          <w:sz w:val="32"/>
          <w:szCs w:val="32"/>
          <w:highlight w:val="none"/>
          <w:lang w:val="en-US" w:eastAsia="zh-CN"/>
        </w:rPr>
        <w:t>并</w:t>
      </w:r>
      <w:r>
        <w:rPr>
          <w:rFonts w:hint="default" w:ascii="Times New Roman" w:hAnsi="Times New Roman" w:eastAsia="仿宋_GB2312" w:cs="Times New Roman"/>
          <w:color w:val="auto"/>
          <w:sz w:val="32"/>
          <w:szCs w:val="32"/>
          <w:highlight w:val="none"/>
          <w:lang w:val="en-US" w:eastAsia="zh-CN"/>
        </w:rPr>
        <w:t>对数据进行深入挖掘，以确保评价结论的科学性和可靠性。此外，还对数据的质量和完整性进行了严格把控，保证了评价数据的真实性和有效性。</w:t>
      </w:r>
    </w:p>
    <w:p w14:paraId="172F00AA">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w:t>
      </w:r>
      <w:r>
        <w:rPr>
          <w:rFonts w:hint="eastAsia" w:eastAsia="仿宋_GB2312" w:cs="Times New Roman"/>
          <w:color w:val="auto"/>
          <w:sz w:val="32"/>
          <w:szCs w:val="32"/>
          <w:highlight w:val="none"/>
          <w:lang w:val="en-US" w:eastAsia="zh-CN"/>
        </w:rPr>
        <w:t>主要内容、资金投入和使用情况以及项目绩效目标</w:t>
      </w:r>
      <w:r>
        <w:rPr>
          <w:rFonts w:hint="default" w:ascii="Times New Roman" w:hAnsi="Times New Roman" w:eastAsia="仿宋_GB2312" w:cs="Times New Roman"/>
          <w:color w:val="auto"/>
          <w:sz w:val="32"/>
          <w:szCs w:val="32"/>
          <w:highlight w:val="none"/>
          <w:lang w:val="en-US" w:eastAsia="zh-CN"/>
        </w:rPr>
        <w:t>进行了简要介绍，为后续的绩效评价提供了必要的背景信息；接着详细阐述了绩效评价的指标体系、评价方法和</w:t>
      </w:r>
      <w:r>
        <w:rPr>
          <w:rFonts w:hint="eastAsia" w:eastAsia="仿宋_GB2312" w:cs="Times New Roman"/>
          <w:color w:val="auto"/>
          <w:sz w:val="32"/>
          <w:szCs w:val="32"/>
          <w:highlight w:val="none"/>
          <w:lang w:val="en-US" w:eastAsia="zh-CN"/>
        </w:rPr>
        <w:t>评价标准</w:t>
      </w:r>
      <w:r>
        <w:rPr>
          <w:rFonts w:hint="default" w:ascii="Times New Roman" w:hAnsi="Times New Roman" w:eastAsia="仿宋_GB2312" w:cs="Times New Roman"/>
          <w:color w:val="auto"/>
          <w:sz w:val="32"/>
          <w:szCs w:val="32"/>
          <w:highlight w:val="none"/>
          <w:lang w:val="en-US" w:eastAsia="zh-CN"/>
        </w:rPr>
        <w:t>，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6314F48">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22327B0">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759D64D2">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DF0ABD2">
      <w:pPr>
        <w:numPr>
          <w:ilvl w:val="0"/>
          <w:numId w:val="0"/>
        </w:numPr>
        <w:spacing w:line="560" w:lineRule="exact"/>
        <w:ind w:firstLine="640" w:firstLineChars="200"/>
        <w:rPr>
          <w:rFonts w:eastAsia="仿宋_GB2312"/>
          <w:sz w:val="32"/>
          <w:szCs w:val="32"/>
        </w:rPr>
      </w:pPr>
      <w:r>
        <w:rPr>
          <w:rFonts w:ascii="Times New Roman" w:hAnsi="Times New Roman" w:eastAsia="仿宋_GB2312" w:cs="Times New Roman"/>
          <w:kern w:val="2"/>
          <w:sz w:val="32"/>
          <w:szCs w:val="32"/>
          <w:lang w:val="en-US" w:eastAsia="zh-CN" w:bidi="ar-SA"/>
        </w:rPr>
        <w:t>（1）</w:t>
      </w:r>
      <w:r>
        <w:rPr>
          <w:rFonts w:eastAsia="仿宋_GB2312"/>
          <w:sz w:val="32"/>
          <w:szCs w:val="32"/>
        </w:rPr>
        <w:t>项目在实施前向项目负责人提供财政支出绩效方面的资金管理信息，促进项目支出严格按照资金管理规定进行。</w:t>
      </w:r>
    </w:p>
    <w:p w14:paraId="1BAEAD3B">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77EDA4B7">
      <w:pPr>
        <w:pStyle w:val="19"/>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w:t>
      </w:r>
      <w:r>
        <w:rPr>
          <w:rFonts w:hint="eastAsia" w:eastAsia="仿宋_GB2312"/>
          <w:sz w:val="32"/>
          <w:szCs w:val="32"/>
          <w:lang w:eastAsia="zh-CN"/>
        </w:rPr>
        <w:t>相关部门</w:t>
      </w:r>
      <w:r>
        <w:rPr>
          <w:rFonts w:hint="eastAsia" w:eastAsia="仿宋_GB2312"/>
          <w:sz w:val="32"/>
          <w:szCs w:val="32"/>
        </w:rPr>
        <w:t>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0025A60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0F88D2E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本项目预算绩效评价报告的评价对象是奇财农[2024]19号耕地占用税及其预算执行情况。该项目由</w:t>
      </w:r>
      <w:r>
        <w:rPr>
          <w:rFonts w:hint="eastAsia" w:ascii="Times New Roman" w:hAnsi="Times New Roman" w:eastAsia="仿宋_GB2312" w:cs="Times New Roman"/>
          <w:b w:val="0"/>
          <w:bCs w:val="0"/>
          <w:highlight w:val="none"/>
          <w:lang w:eastAsia="zh-CN"/>
        </w:rPr>
        <w:t>奇台县自然资源局</w:t>
      </w:r>
      <w:r>
        <w:rPr>
          <w:rFonts w:hint="default" w:ascii="Times New Roman" w:hAnsi="Times New Roman" w:eastAsia="仿宋_GB2312" w:cs="Times New Roman"/>
          <w:b w:val="0"/>
          <w:bCs w:val="0"/>
          <w:highlight w:val="none"/>
        </w:rPr>
        <w:t>负责实施，旨在有效控制非农业建设对耕地的占用，保护农用耕地，促进土地管理。项目预算涵盖从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555.26</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5BC6523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2878AF3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3F37C67F">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kern w:val="28"/>
          <w:sz w:val="32"/>
          <w:szCs w:val="32"/>
          <w:lang w:val="en-US" w:eastAsia="zh-CN" w:bidi="ar-SA"/>
        </w:rPr>
        <w:t>（1）</w:t>
      </w:r>
      <w:r>
        <w:rPr>
          <w:rFonts w:hint="default" w:ascii="Times New Roman" w:hAnsi="Times New Roman" w:eastAsia="仿宋_GB2312" w:cs="Times New Roman"/>
          <w:b w:val="0"/>
          <w:bCs w:val="0"/>
          <w:highlight w:val="none"/>
        </w:rPr>
        <w:t>项目预算编制与执行：结合本单位的职能职责，</w:t>
      </w:r>
      <w:r>
        <w:rPr>
          <w:rFonts w:hint="eastAsia" w:ascii="Times New Roman" w:hAnsi="Times New Roman" w:eastAsia="仿宋_GB2312" w:cs="Times New Roman"/>
          <w:b w:val="0"/>
          <w:bCs w:val="0"/>
          <w:highlight w:val="none"/>
          <w:lang w:eastAsia="zh-CN"/>
        </w:rPr>
        <w:t>全面审视本单位资金预算的</w:t>
      </w:r>
      <w:r>
        <w:rPr>
          <w:rFonts w:hint="default" w:ascii="Times New Roman" w:hAnsi="Times New Roman" w:eastAsia="仿宋_GB2312" w:cs="Times New Roman"/>
          <w:b w:val="0"/>
          <w:bCs w:val="0"/>
          <w:highlight w:val="none"/>
        </w:rPr>
        <w:t>科学</w:t>
      </w:r>
      <w:r>
        <w:rPr>
          <w:rFonts w:hint="eastAsia" w:ascii="Times New Roman" w:hAnsi="Times New Roman" w:eastAsia="仿宋_GB2312" w:cs="Times New Roman"/>
          <w:b w:val="0"/>
          <w:bCs w:val="0"/>
          <w:highlight w:val="none"/>
          <w:lang w:eastAsia="zh-CN"/>
        </w:rPr>
        <w:t>性</w:t>
      </w:r>
      <w:r>
        <w:rPr>
          <w:rFonts w:hint="default" w:ascii="Times New Roman" w:hAnsi="Times New Roman" w:eastAsia="仿宋_GB2312" w:cs="Times New Roman"/>
          <w:b w:val="0"/>
          <w:bCs w:val="0"/>
          <w:highlight w:val="none"/>
        </w:rPr>
        <w:t>合理</w:t>
      </w:r>
      <w:r>
        <w:rPr>
          <w:rFonts w:hint="eastAsia" w:ascii="Times New Roman" w:hAnsi="Times New Roman" w:eastAsia="仿宋_GB2312" w:cs="Times New Roman"/>
          <w:b w:val="0"/>
          <w:bCs w:val="0"/>
          <w:highlight w:val="none"/>
          <w:lang w:eastAsia="zh-CN"/>
        </w:rPr>
        <w:t>性</w:t>
      </w:r>
      <w:r>
        <w:rPr>
          <w:rFonts w:hint="default" w:ascii="Times New Roman" w:hAnsi="Times New Roman" w:eastAsia="仿宋_GB2312" w:cs="Times New Roman"/>
          <w:b w:val="0"/>
          <w:bCs w:val="0"/>
          <w:highlight w:val="none"/>
        </w:rPr>
        <w:t>严谨性</w:t>
      </w:r>
      <w:r>
        <w:rPr>
          <w:rFonts w:hint="eastAsia" w:ascii="Times New Roman" w:hAnsi="Times New Roman" w:eastAsia="仿宋_GB2312" w:cs="Times New Roman"/>
          <w:b w:val="0"/>
          <w:bCs w:val="0"/>
          <w:highlight w:val="none"/>
          <w:lang w:eastAsia="zh-CN"/>
        </w:rPr>
        <w:t>，包括</w:t>
      </w:r>
      <w:r>
        <w:rPr>
          <w:rFonts w:hint="default" w:ascii="Times New Roman" w:hAnsi="Times New Roman" w:eastAsia="仿宋_GB2312" w:cs="Times New Roman"/>
          <w:b w:val="0"/>
          <w:bCs w:val="0"/>
          <w:highlight w:val="none"/>
        </w:rPr>
        <w:t>编制依据和测算深度，确保实际执行与项目预算绩效不存在偏差。</w:t>
      </w:r>
    </w:p>
    <w:p w14:paraId="1C31E5A9">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kern w:val="28"/>
          <w:sz w:val="32"/>
          <w:szCs w:val="32"/>
          <w:lang w:val="en-US" w:eastAsia="zh-CN" w:bidi="ar-SA"/>
        </w:rPr>
        <w:t>（2）</w:t>
      </w:r>
      <w:r>
        <w:rPr>
          <w:rFonts w:hint="default" w:ascii="Times New Roman" w:hAnsi="Times New Roman" w:eastAsia="仿宋_GB2312" w:cs="Times New Roman"/>
          <w:b w:val="0"/>
          <w:bCs w:val="0"/>
          <w:highlight w:val="none"/>
        </w:rPr>
        <w:t>资金管理：严格按照项目的相关制度和要求</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深入分析项目资金的分配、使用和监管情况，提高项目资金运用的科学性、严谨性和可控性</w:t>
      </w:r>
      <w:r>
        <w:rPr>
          <w:rFonts w:hint="eastAsia"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确保资金使用的合规性、高效性和透明度。</w:t>
      </w:r>
    </w:p>
    <w:p w14:paraId="482EF864">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kern w:val="28"/>
          <w:sz w:val="32"/>
          <w:szCs w:val="32"/>
          <w:lang w:val="en-US" w:eastAsia="zh-CN" w:bidi="ar-SA"/>
        </w:rPr>
        <w:t>（3）</w:t>
      </w: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4FA5FB3F">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kern w:val="28"/>
          <w:sz w:val="32"/>
          <w:szCs w:val="32"/>
          <w:lang w:val="en-US" w:eastAsia="zh-CN" w:bidi="ar-SA"/>
        </w:rPr>
        <w:t>（4）</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w:t>
      </w:r>
      <w:r>
        <w:rPr>
          <w:rFonts w:hint="eastAsia" w:ascii="Times New Roman" w:hAnsi="Times New Roman" w:eastAsia="仿宋_GB2312" w:cs="Times New Roman"/>
          <w:b w:val="0"/>
          <w:bCs w:val="0"/>
          <w:highlight w:val="none"/>
          <w:lang w:eastAsia="zh-CN"/>
        </w:rPr>
        <w:t>依据项目完成后</w:t>
      </w:r>
      <w:r>
        <w:rPr>
          <w:rFonts w:hint="default" w:ascii="Times New Roman" w:hAnsi="Times New Roman" w:eastAsia="仿宋_GB2312" w:cs="Times New Roman"/>
          <w:b w:val="0"/>
          <w:bCs w:val="0"/>
          <w:highlight w:val="none"/>
        </w:rPr>
        <w:t>产出的数量、质量和时效性</w:t>
      </w:r>
      <w:r>
        <w:rPr>
          <w:rFonts w:hint="eastAsia" w:ascii="Times New Roman" w:hAnsi="Times New Roman" w:eastAsia="仿宋_GB2312" w:cs="Times New Roman"/>
          <w:b w:val="0"/>
          <w:bCs w:val="0"/>
          <w:highlight w:val="none"/>
          <w:lang w:eastAsia="zh-CN"/>
        </w:rPr>
        <w:t>等指标，整体</w:t>
      </w:r>
      <w:r>
        <w:rPr>
          <w:rFonts w:hint="default" w:ascii="Times New Roman" w:hAnsi="Times New Roman" w:eastAsia="仿宋_GB2312" w:cs="Times New Roman"/>
          <w:b w:val="0"/>
          <w:bCs w:val="0"/>
          <w:highlight w:val="none"/>
        </w:rPr>
        <w:t>考察项目对社会</w:t>
      </w:r>
      <w:r>
        <w:rPr>
          <w:rFonts w:hint="eastAsia" w:ascii="Times New Roman" w:hAnsi="Times New Roman" w:eastAsia="仿宋_GB2312" w:cs="Times New Roman"/>
          <w:b w:val="0"/>
          <w:bCs w:val="0"/>
          <w:highlight w:val="none"/>
          <w:lang w:eastAsia="zh-CN"/>
        </w:rPr>
        <w:t>效益</w:t>
      </w:r>
      <w:r>
        <w:rPr>
          <w:rFonts w:hint="default" w:ascii="Times New Roman" w:hAnsi="Times New Roman" w:eastAsia="仿宋_GB2312" w:cs="Times New Roman"/>
          <w:b w:val="0"/>
          <w:bCs w:val="0"/>
          <w:highlight w:val="none"/>
        </w:rPr>
        <w:t>方面的影响。</w:t>
      </w:r>
    </w:p>
    <w:p w14:paraId="7AB540BC">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088B0CD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571501D3">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33DD7289">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w:t>
      </w:r>
      <w:r>
        <w:rPr>
          <w:rFonts w:hint="eastAsia" w:ascii="Times New Roman" w:hAnsi="Times New Roman" w:eastAsia="仿宋_GB2312" w:cs="Times New Roman"/>
          <w:b w:val="0"/>
          <w:bCs w:val="0"/>
          <w:lang w:eastAsia="zh-CN"/>
        </w:rPr>
        <w:t>严格依据《项目支出绩效评价管理办法》等政策法规，统一指标定义与评价标准，</w:t>
      </w:r>
      <w:r>
        <w:rPr>
          <w:rFonts w:hint="default" w:ascii="Times New Roman" w:hAnsi="Times New Roman" w:eastAsia="仿宋_GB2312" w:cs="Times New Roman"/>
          <w:b w:val="0"/>
          <w:bCs w:val="0"/>
        </w:rPr>
        <w:t>按照规范的程序，对项目绩效进行客观、公正的反映。</w:t>
      </w:r>
    </w:p>
    <w:p w14:paraId="1A08DA5A">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w:t>
      </w:r>
      <w:r>
        <w:rPr>
          <w:rFonts w:hint="eastAsia" w:ascii="Times New Roman" w:hAnsi="Times New Roman" w:eastAsia="仿宋_GB2312" w:cs="Times New Roman"/>
          <w:b w:val="0"/>
          <w:bCs w:val="0"/>
          <w:lang w:eastAsia="zh-CN"/>
        </w:rPr>
        <w:t>构建“单位自评</w:t>
      </w:r>
      <w:r>
        <w:rPr>
          <w:rFonts w:hint="eastAsia" w:ascii="Times New Roman" w:hAnsi="Times New Roman" w:eastAsia="仿宋_GB2312" w:cs="Times New Roman"/>
          <w:b w:val="0"/>
          <w:bCs w:val="0"/>
          <w:lang w:val="en-US" w:eastAsia="zh-CN"/>
        </w:rPr>
        <w:t>-部门监管-财政统筹</w:t>
      </w:r>
      <w:r>
        <w:rPr>
          <w:rFonts w:hint="eastAsia" w:ascii="Times New Roman" w:hAnsi="Times New Roman" w:eastAsia="仿宋_GB2312" w:cs="Times New Roman"/>
          <w:b w:val="0"/>
          <w:bCs w:val="0"/>
          <w:lang w:eastAsia="zh-CN"/>
        </w:rPr>
        <w:t>”三级联动的绩效评价体系，实行分层级管控机制，</w:t>
      </w:r>
      <w:r>
        <w:rPr>
          <w:rFonts w:hint="default" w:ascii="Times New Roman" w:hAnsi="Times New Roman" w:eastAsia="仿宋_GB2312" w:cs="Times New Roman"/>
          <w:b w:val="0"/>
          <w:bCs w:val="0"/>
        </w:rPr>
        <w:t>职责明确，各有侧重，相互衔接。项目单位</w:t>
      </w:r>
      <w:r>
        <w:rPr>
          <w:rFonts w:hint="eastAsia" w:ascii="Times New Roman" w:hAnsi="Times New Roman" w:eastAsia="仿宋_GB2312" w:cs="Times New Roman"/>
          <w:b w:val="0"/>
          <w:bCs w:val="0"/>
          <w:lang w:eastAsia="zh-CN"/>
        </w:rPr>
        <w:t>遵循</w:t>
      </w:r>
      <w:r>
        <w:rPr>
          <w:rFonts w:hint="default" w:ascii="Times New Roman" w:hAnsi="Times New Roman" w:eastAsia="仿宋_GB2312" w:cs="Times New Roman"/>
          <w:b w:val="0"/>
          <w:bCs w:val="0"/>
        </w:rPr>
        <w:t>“谁支出、谁自评”</w:t>
      </w:r>
      <w:r>
        <w:rPr>
          <w:rFonts w:hint="eastAsia" w:ascii="Times New Roman" w:hAnsi="Times New Roman" w:eastAsia="仿宋_GB2312" w:cs="Times New Roman"/>
          <w:b w:val="0"/>
          <w:bCs w:val="0"/>
          <w:lang w:eastAsia="zh-CN"/>
        </w:rPr>
        <w:t>原则，部门监管和财政统筹</w:t>
      </w:r>
      <w:r>
        <w:rPr>
          <w:rFonts w:hint="default" w:ascii="Times New Roman" w:hAnsi="Times New Roman" w:eastAsia="仿宋_GB2312" w:cs="Times New Roman"/>
          <w:b w:val="0"/>
          <w:bCs w:val="0"/>
        </w:rPr>
        <w:t>应在单位自评的基础上开展。</w:t>
      </w:r>
    </w:p>
    <w:p w14:paraId="691EB771">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w:t>
      </w:r>
      <w:r>
        <w:rPr>
          <w:rFonts w:hint="eastAsia" w:ascii="Times New Roman" w:hAnsi="Times New Roman" w:eastAsia="仿宋_GB2312" w:cs="Times New Roman"/>
          <w:b w:val="0"/>
          <w:bCs w:val="0"/>
          <w:lang w:eastAsia="zh-CN"/>
        </w:rPr>
        <w:t>通过奖惩结合、全责匹配的方式，实现绩效目标和行为导向的动态平衡，</w:t>
      </w:r>
      <w:r>
        <w:rPr>
          <w:rFonts w:hint="default" w:ascii="Times New Roman" w:hAnsi="Times New Roman" w:eastAsia="仿宋_GB2312" w:cs="Times New Roman"/>
          <w:b w:val="0"/>
          <w:bCs w:val="0"/>
        </w:rPr>
        <w:t>体现奖优罚劣和激励相容导向，有效要安排、低效要压减、无效要问责。</w:t>
      </w:r>
    </w:p>
    <w:p w14:paraId="3EB3BEEC">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w:t>
      </w:r>
      <w:r>
        <w:rPr>
          <w:rFonts w:hint="eastAsia" w:ascii="Times New Roman" w:hAnsi="Times New Roman" w:eastAsia="仿宋_GB2312" w:cs="Times New Roman"/>
          <w:b w:val="0"/>
          <w:bCs w:val="0"/>
          <w:lang w:eastAsia="zh-CN"/>
        </w:rPr>
        <w:t>绩效过程透明，明确数据来源、计算方法和评价逻辑，</w:t>
      </w:r>
      <w:r>
        <w:rPr>
          <w:rFonts w:hint="default" w:ascii="Times New Roman" w:hAnsi="Times New Roman" w:eastAsia="仿宋_GB2312" w:cs="Times New Roman"/>
          <w:b w:val="0"/>
          <w:bCs w:val="0"/>
        </w:rPr>
        <w:t>绩效评价结果依法依规公开，并自觉接受社会监督。</w:t>
      </w:r>
    </w:p>
    <w:p w14:paraId="38747EA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49A96A72">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1028B21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14B2A15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DE1FB0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7FE6C582">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259591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41C919A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14D462B2">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59A09BAE">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4FCA6CD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3F5FA04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1B665BB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27D7A2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r>
        <w:rPr>
          <w:rFonts w:hint="eastAsia" w:eastAsia="仿宋_GB2312" w:cs="Times New Roman"/>
          <w:color w:val="000000"/>
          <w:spacing w:val="17"/>
          <w:sz w:val="32"/>
          <w:szCs w:val="32"/>
          <w:highlight w:val="none"/>
          <w:lang w:eastAsia="zh-CN"/>
        </w:rPr>
        <w:t>通过该比较该项目的成本和效益分析绩效目标实现程度，确保资源得到有效利用，避免资源浪费。</w:t>
      </w:r>
    </w:p>
    <w:p w14:paraId="3473A716">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二</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r>
        <w:rPr>
          <w:rFonts w:hint="eastAsia" w:eastAsia="仿宋_GB2312" w:cs="Times New Roman"/>
          <w:color w:val="000000"/>
          <w:spacing w:val="17"/>
          <w:sz w:val="32"/>
          <w:szCs w:val="32"/>
          <w:highlight w:val="none"/>
          <w:lang w:eastAsia="zh-CN"/>
        </w:rPr>
        <w:t>通过分析影响因素，从而揭示其内在联系，提高行政效率和资金使用绩效。</w:t>
      </w:r>
    </w:p>
    <w:p w14:paraId="0253156D">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r>
        <w:rPr>
          <w:rFonts w:hint="eastAsia" w:eastAsia="仿宋_GB2312" w:cs="Times New Roman"/>
          <w:color w:val="000000"/>
          <w:spacing w:val="17"/>
          <w:sz w:val="32"/>
          <w:szCs w:val="32"/>
          <w:highlight w:val="none"/>
          <w:lang w:eastAsia="zh-CN"/>
        </w:rPr>
        <w:t>通过向相关部门发放满意度问卷，来评判该项目的实施是否有效控制了非农业建设对耕地的占用，保护了农用耕地，促进了土地管理。</w:t>
      </w:r>
    </w:p>
    <w:p w14:paraId="2CAB831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615CB5C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eastAsia="zh-CN"/>
        </w:rPr>
        <w:t>计划</w:t>
      </w:r>
      <w:r>
        <w:rPr>
          <w:rFonts w:hint="default" w:ascii="Times New Roman" w:hAnsi="Times New Roman" w:eastAsia="仿宋_GB2312" w:cs="Times New Roman"/>
          <w:b w:val="0"/>
          <w:bCs w:val="0"/>
        </w:rPr>
        <w:t>标准</w:t>
      </w:r>
      <w:r>
        <w:rPr>
          <w:rFonts w:hint="eastAsia" w:ascii="Times New Roman" w:hAnsi="Times New Roman" w:eastAsia="仿宋_GB2312" w:cs="Times New Roman"/>
          <w:b w:val="0"/>
          <w:bCs w:val="0"/>
          <w:lang w:eastAsia="zh-CN"/>
        </w:rPr>
        <w:t>和行业标准</w:t>
      </w:r>
      <w:r>
        <w:rPr>
          <w:rFonts w:hint="default" w:ascii="Times New Roman" w:hAnsi="Times New Roman" w:eastAsia="仿宋_GB2312" w:cs="Times New Roman"/>
          <w:b w:val="0"/>
          <w:bCs w:val="0"/>
        </w:rPr>
        <w:t>。</w:t>
      </w:r>
    </w:p>
    <w:p w14:paraId="1870E13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76455B9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043230C6">
      <w:pPr>
        <w:pStyle w:val="10"/>
        <w:numPr>
          <w:ilvl w:val="0"/>
          <w:numId w:val="0"/>
        </w:numPr>
        <w:spacing w:before="0" w:after="0" w:line="560" w:lineRule="exact"/>
        <w:ind w:firstLine="711" w:firstLineChars="200"/>
        <w:jc w:val="both"/>
        <w:rPr>
          <w:rFonts w:hint="default" w:ascii="Times New Roman" w:hAnsi="Times New Roman" w:eastAsia="楷体" w:cs="Times New Roman"/>
          <w:color w:val="000000"/>
          <w:spacing w:val="17"/>
        </w:rPr>
      </w:pPr>
      <w:r>
        <w:rPr>
          <w:rFonts w:hint="eastAsia" w:ascii="Times New Roman" w:hAnsi="Times New Roman" w:eastAsia="楷体" w:cs="Times New Roman"/>
          <w:b/>
          <w:bCs/>
          <w:color w:val="000000"/>
          <w:spacing w:val="17"/>
          <w:kern w:val="28"/>
          <w:sz w:val="32"/>
          <w:szCs w:val="32"/>
          <w:lang w:val="en-US" w:eastAsia="zh-CN" w:bidi="ar-SA"/>
        </w:rPr>
        <w:t>（三）</w:t>
      </w:r>
      <w:r>
        <w:rPr>
          <w:rFonts w:hint="default" w:ascii="Times New Roman" w:hAnsi="Times New Roman" w:eastAsia="楷体" w:cs="Times New Roman"/>
          <w:color w:val="000000"/>
          <w:spacing w:val="17"/>
        </w:rPr>
        <w:t>绩效评价工作过程</w:t>
      </w:r>
    </w:p>
    <w:p w14:paraId="744617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22A795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4B4573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7FED8F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24E36F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48DC30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w:t>
      </w:r>
      <w:r>
        <w:rPr>
          <w:rFonts w:hint="eastAsia" w:eastAsia="仿宋_GB2312" w:cs="Times New Roman"/>
          <w:sz w:val="32"/>
          <w:szCs w:val="32"/>
          <w:highlight w:val="none"/>
          <w:lang w:eastAsia="zh-CN"/>
        </w:rPr>
        <w:t>凭证</w:t>
      </w:r>
      <w:r>
        <w:rPr>
          <w:rFonts w:hint="default" w:ascii="Times New Roman" w:hAnsi="Times New Roman" w:eastAsia="仿宋_GB2312" w:cs="Times New Roman"/>
          <w:sz w:val="32"/>
          <w:szCs w:val="32"/>
          <w:highlight w:val="none"/>
          <w:lang w:eastAsia="zh-CN"/>
        </w:rPr>
        <w:t>、项目文档、业务数据、</w:t>
      </w:r>
      <w:r>
        <w:rPr>
          <w:rFonts w:hint="eastAsia" w:eastAsia="仿宋_GB2312" w:cs="Times New Roman"/>
          <w:sz w:val="32"/>
          <w:szCs w:val="32"/>
          <w:highlight w:val="none"/>
          <w:lang w:eastAsia="zh-CN"/>
        </w:rPr>
        <w:t>相关部门</w:t>
      </w:r>
      <w:r>
        <w:rPr>
          <w:rFonts w:hint="default" w:ascii="Times New Roman" w:hAnsi="Times New Roman" w:eastAsia="仿宋_GB2312" w:cs="Times New Roman"/>
          <w:sz w:val="32"/>
          <w:szCs w:val="32"/>
          <w:highlight w:val="none"/>
          <w:lang w:eastAsia="zh-CN"/>
        </w:rPr>
        <w:t>反馈等。在数据收集过程中，注重数据的质量与完整性。随后，对收集到的数据进行了系统的整理，为后续的数据分析提供了有力支持。</w:t>
      </w:r>
    </w:p>
    <w:p w14:paraId="4FB02E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4DB04C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C6756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62C8A6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EEECC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254E7A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9AA2D77">
      <w:pPr>
        <w:numPr>
          <w:ilvl w:val="0"/>
          <w:numId w:val="0"/>
        </w:num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kern w:val="2"/>
          <w:sz w:val="32"/>
          <w:szCs w:val="32"/>
          <w:lang w:val="en-US" w:eastAsia="zh-CN" w:bidi="ar-SA"/>
        </w:rPr>
        <w:t>三、</w:t>
      </w:r>
      <w:r>
        <w:rPr>
          <w:rFonts w:hint="default" w:ascii="Times New Roman" w:hAnsi="Times New Roman" w:eastAsia="黑体" w:cs="Times New Roman"/>
          <w:sz w:val="32"/>
          <w:szCs w:val="32"/>
        </w:rPr>
        <w:t>综合评价情况及评价结论（附相关评分表）</w:t>
      </w:r>
    </w:p>
    <w:p w14:paraId="56DE5434">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3B64673C">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奇财农[2024]19号耕地占用税</w:t>
      </w:r>
      <w:r>
        <w:rPr>
          <w:rFonts w:hint="default" w:ascii="Times New Roman" w:hAnsi="Times New Roman" w:eastAsia="仿宋_GB2312" w:cs="Times New Roman"/>
          <w:sz w:val="32"/>
          <w:szCs w:val="32"/>
          <w:highlight w:val="none"/>
        </w:rPr>
        <w:t>在项目涉及土地面积、涉及批次转用项目个数等方面表现出色，达到了预期的标准与要求。同时，项目也在</w:t>
      </w:r>
      <w:r>
        <w:rPr>
          <w:rFonts w:hint="eastAsia" w:eastAsia="仿宋_GB2312" w:cs="Times New Roman"/>
          <w:color w:val="auto"/>
          <w:sz w:val="32"/>
          <w:szCs w:val="32"/>
          <w:highlight w:val="none"/>
          <w:lang w:eastAsia="zh-CN"/>
        </w:rPr>
        <w:t>拨付和缴纳税款环节</w:t>
      </w:r>
      <w:r>
        <w:rPr>
          <w:rFonts w:hint="default" w:ascii="Times New Roman" w:hAnsi="Times New Roman" w:eastAsia="仿宋_GB2312" w:cs="Times New Roman"/>
          <w:sz w:val="32"/>
          <w:szCs w:val="32"/>
          <w:highlight w:val="none"/>
        </w:rPr>
        <w:t>取得了显著的成效，如耕地占用税缴纳及时率、耕地占用税缴纳时限等。</w:t>
      </w:r>
    </w:p>
    <w:p w14:paraId="1D7677DF">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奇台县自然资源局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641DE2FA">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从项目效益的角度来看，本项目不仅实现了预期的社会效益等方面产生了积极的影响。具体而言，合理有效保护土地资源等方面的提升，为项目的利益相关者带来了实实在在的利益。</w:t>
      </w:r>
    </w:p>
    <w:p w14:paraId="279FBAC1">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奇财农[2024]19号耕地占用税</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2073864F">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761DC60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669119FA">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447D755C">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556DC6B">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4AA10E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55466D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6956124">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593C1DE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B74892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226FE8C7">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93C62C0">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EA9D2F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2061CAA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D0E2656">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69067481">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A0B8EB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00F16A0">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75951D5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63AE90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1440856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31ED09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B46964C">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06574939">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443391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16F5409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AF56DF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687A3DA">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7D1503C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BDE265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66856659">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863B27B">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73FC52C5">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3A6A607C">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5CC15E32">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303754B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2742155">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359E46D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77013EF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w:t>
      </w:r>
      <w:r>
        <w:rPr>
          <w:rFonts w:hint="eastAsia" w:ascii="仿宋_GB2312" w:hAnsi="仿宋_GB2312" w:eastAsia="仿宋_GB2312" w:cs="仿宋_GB2312"/>
          <w:sz w:val="32"/>
          <w:szCs w:val="32"/>
          <w:lang w:eastAsia="zh-CN"/>
        </w:rPr>
        <w:t>《中华人民共和国耕地占用税法》、《中华人民共和国耕地占用税法实施办法》、《关于做好耕地占用税部门协作和信息交换工作的通知》（新财税法〔</w:t>
      </w: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2号</w:t>
      </w:r>
      <w:r>
        <w:rPr>
          <w:rFonts w:hint="eastAsia" w:ascii="仿宋_GB2312" w:hAnsi="仿宋_GB2312" w:eastAsia="仿宋_GB2312" w:cs="仿宋_GB2312"/>
          <w:sz w:val="32"/>
          <w:szCs w:val="32"/>
          <w:lang w:eastAsia="zh-CN"/>
        </w:rPr>
        <w:t>）法规及文件要求，以</w:t>
      </w:r>
      <w:r>
        <w:rPr>
          <w:rFonts w:hint="default" w:ascii="Times New Roman" w:hAnsi="Times New Roman" w:eastAsia="仿宋_GB2312" w:cs="Times New Roman"/>
          <w:sz w:val="32"/>
          <w:szCs w:val="32"/>
          <w:lang w:val="en-US" w:eastAsia="zh-CN"/>
        </w:rPr>
        <w:t>及发展政策，符合行业规划要求，围绕本年度工作重点和工作计划制定经费预算，属于公共财政支持范围。本项目与部门内部其他相关项目不重复。部门发展规划及职能文件等归档完整。</w:t>
      </w:r>
    </w:p>
    <w:p w14:paraId="36769B4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016C8B5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eastAsia="zh-Hans"/>
        </w:rPr>
        <w:t>；</w:t>
      </w:r>
      <w:r>
        <w:rPr>
          <w:rFonts w:hint="default" w:ascii="Times New Roman" w:hAnsi="Times New Roman" w:eastAsia="仿宋_GB2312" w:cs="Times New Roman"/>
          <w:sz w:val="32"/>
          <w:szCs w:val="32"/>
          <w:highlight w:val="none"/>
          <w:lang w:val="en-US" w:eastAsia="zh-CN"/>
        </w:rPr>
        <w:t>根据</w:t>
      </w:r>
      <w:r>
        <w:rPr>
          <w:rFonts w:hint="eastAsia" w:eastAsia="仿宋_GB2312" w:cs="Times New Roman"/>
          <w:sz w:val="32"/>
          <w:szCs w:val="32"/>
          <w:highlight w:val="none"/>
          <w:lang w:val="en-US" w:eastAsia="zh-CN"/>
        </w:rPr>
        <w:t>税务局出具的税务事项通知书为依据</w:t>
      </w:r>
      <w:r>
        <w:rPr>
          <w:rFonts w:hint="default" w:ascii="Times New Roman" w:hAnsi="Times New Roman" w:eastAsia="仿宋_GB2312" w:cs="Times New Roman"/>
          <w:sz w:val="32"/>
          <w:szCs w:val="32"/>
          <w:highlight w:val="none"/>
          <w:lang w:val="en-US" w:eastAsia="zh-CN"/>
        </w:rPr>
        <w:t>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05BED28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1CD691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7D0665B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C2B08D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40AD251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C1A892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204F9A7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3A68EA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B8346E8">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1C54EEF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5A1BF9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49C8FC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985D4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0F5DF5F">
      <w:pPr>
        <w:pStyle w:val="10"/>
        <w:numPr>
          <w:ilvl w:val="0"/>
          <w:numId w:val="0"/>
        </w:numPr>
        <w:spacing w:before="0" w:after="0" w:line="560" w:lineRule="exact"/>
        <w:ind w:firstLine="643" w:firstLineChars="200"/>
        <w:jc w:val="both"/>
        <w:rPr>
          <w:rFonts w:hint="default" w:ascii="Times New Roman" w:hAnsi="Times New Roman" w:eastAsia="楷体" w:cs="Times New Roman"/>
        </w:rPr>
      </w:pPr>
      <w:r>
        <w:rPr>
          <w:rFonts w:hint="eastAsia" w:ascii="Times New Roman" w:hAnsi="Times New Roman" w:eastAsia="楷体" w:cs="Times New Roman"/>
          <w:b/>
          <w:bCs/>
          <w:kern w:val="28"/>
          <w:sz w:val="32"/>
          <w:szCs w:val="32"/>
          <w:lang w:val="en-US" w:eastAsia="zh-CN" w:bidi="ar-SA"/>
        </w:rPr>
        <w:t>（二）</w:t>
      </w:r>
      <w:r>
        <w:rPr>
          <w:rFonts w:hint="default" w:ascii="Times New Roman" w:hAnsi="Times New Roman" w:eastAsia="楷体" w:cs="Times New Roman"/>
        </w:rPr>
        <w:t>项目过程情况</w:t>
      </w:r>
    </w:p>
    <w:p w14:paraId="06EDCFE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B5EF78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661C347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1231744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555.26</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422C34C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556607D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554.57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99.88</w:t>
      </w:r>
      <w:r>
        <w:rPr>
          <w:rFonts w:hint="default" w:ascii="Times New Roman" w:hAnsi="Times New Roman" w:eastAsia="仿宋_GB2312" w:cs="Times New Roman"/>
          <w:sz w:val="32"/>
          <w:szCs w:val="32"/>
          <w:highlight w:val="none"/>
          <w:lang w:val="en-US" w:eastAsia="zh-CN"/>
        </w:rPr>
        <w:t>%。</w:t>
      </w:r>
    </w:p>
    <w:p w14:paraId="3F061C9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652A03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w:t>
      </w:r>
      <w:r>
        <w:rPr>
          <w:rFonts w:hint="eastAsia" w:ascii="仿宋_GB2312" w:hAnsi="仿宋_GB2312" w:eastAsia="仿宋_GB2312" w:cs="仿宋_GB2312"/>
          <w:sz w:val="32"/>
          <w:szCs w:val="32"/>
          <w:highlight w:val="none"/>
          <w:lang w:eastAsia="zh-CN"/>
        </w:rPr>
        <w:t>《中华人民共和国耕地占用税法实施办法》</w:t>
      </w:r>
      <w:r>
        <w:rPr>
          <w:rFonts w:hint="default" w:ascii="Times New Roman" w:hAnsi="Times New Roman" w:eastAsia="仿宋_GB2312" w:cs="Times New Roman"/>
          <w:sz w:val="32"/>
          <w:szCs w:val="32"/>
          <w:highlight w:val="none"/>
          <w:lang w:eastAsia="zh-CN"/>
        </w:rPr>
        <w:t>与财务制度，确保了资金的合规性与安全性。在资金使用过程中，我们建立了完善的财务管理体系，对资金的流动进行了全程监控与记录。</w:t>
      </w:r>
    </w:p>
    <w:p w14:paraId="15E6AF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C2C6B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60155BE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5B7BD07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6E80D8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2DCEFE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1F759A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31446B9">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50595D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58CAD3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760726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0420B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1BC0886">
      <w:pPr>
        <w:pStyle w:val="12"/>
        <w:numPr>
          <w:ilvl w:val="0"/>
          <w:numId w:val="0"/>
        </w:numPr>
        <w:spacing w:line="560" w:lineRule="exact"/>
        <w:ind w:firstLine="643" w:firstLineChars="200"/>
        <w:rPr>
          <w:rFonts w:hint="default" w:ascii="Times New Roman" w:hAnsi="Times New Roman" w:eastAsia="楷体_GB2312" w:cs="Times New Roman"/>
          <w:b/>
          <w:bCs/>
          <w:sz w:val="32"/>
          <w:szCs w:val="32"/>
        </w:rPr>
      </w:pPr>
      <w:r>
        <w:rPr>
          <w:rFonts w:hint="eastAsia" w:ascii="Times New Roman" w:hAnsi="Times New Roman" w:eastAsia="楷体_GB2312" w:cs="Times New Roman"/>
          <w:b/>
          <w:bCs/>
          <w:kern w:val="2"/>
          <w:sz w:val="32"/>
          <w:szCs w:val="32"/>
          <w:lang w:val="en-US" w:eastAsia="zh-CN" w:bidi="ar-SA"/>
        </w:rPr>
        <w:t>（三）</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7995C81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w:t>
      </w:r>
      <w:r>
        <w:rPr>
          <w:rFonts w:hint="default" w:ascii="Times New Roman" w:hAnsi="Times New Roman" w:eastAsia="仿宋_GB2312" w:cs="Times New Roman"/>
          <w:sz w:val="32"/>
          <w:szCs w:val="32"/>
          <w:highlight w:val="none"/>
          <w:lang w:val="en-US" w:eastAsia="zh-CN"/>
        </w:rPr>
        <w:t>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w:t>
      </w:r>
      <w:r>
        <w:rPr>
          <w:rFonts w:hint="default" w:ascii="Times New Roman" w:hAnsi="Times New Roman" w:eastAsia="仿宋_GB2312" w:cs="Times New Roman"/>
          <w:sz w:val="32"/>
          <w:szCs w:val="32"/>
          <w:lang w:val="en-US" w:eastAsia="zh-CN"/>
        </w:rPr>
        <w:t>标完成情况如下：</w:t>
      </w:r>
    </w:p>
    <w:p w14:paraId="4E4F967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2A79B8F3">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eastAsia" w:ascii="仿宋_GB2312" w:hAnsi="仿宋_GB2312" w:eastAsia="仿宋_GB2312" w:cs="仿宋_GB2312"/>
          <w:color w:val="auto"/>
          <w:sz w:val="32"/>
          <w:szCs w:val="32"/>
          <w:lang w:val="en-US" w:eastAsia="zh-CN"/>
        </w:rPr>
        <w:t>涉及土地面积</w:t>
      </w:r>
      <w:r>
        <w:rPr>
          <w:rFonts w:hint="default" w:ascii="Times New Roman" w:hAnsi="Times New Roman" w:eastAsia="仿宋_GB2312" w:cs="Times New Roman"/>
          <w:sz w:val="32"/>
          <w:szCs w:val="32"/>
          <w:highlight w:val="none"/>
        </w:rPr>
        <w:t>，指标值：</w:t>
      </w:r>
      <w:r>
        <w:rPr>
          <w:rFonts w:hint="eastAsia" w:ascii="仿宋_GB2312" w:hAnsi="仿宋_GB2312" w:eastAsia="仿宋_GB2312" w:cs="仿宋_GB2312"/>
          <w:color w:val="auto"/>
          <w:sz w:val="32"/>
          <w:szCs w:val="32"/>
          <w:lang w:val="en-US" w:eastAsia="zh-CN"/>
        </w:rPr>
        <w:t>&gt;=102.69公顷</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ascii="仿宋_GB2312" w:hAnsi="仿宋_GB2312" w:eastAsia="仿宋_GB2312" w:cs="仿宋_GB2312"/>
          <w:color w:val="auto"/>
          <w:sz w:val="32"/>
          <w:szCs w:val="32"/>
          <w:lang w:val="en-US" w:eastAsia="zh-CN"/>
        </w:rPr>
        <w:t>102.69公顷</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8827733">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ascii="仿宋_GB2312" w:hAnsi="仿宋_GB2312" w:eastAsia="仿宋_GB2312" w:cs="仿宋_GB2312"/>
          <w:color w:val="auto"/>
          <w:sz w:val="32"/>
          <w:szCs w:val="32"/>
          <w:lang w:val="en-US" w:eastAsia="zh-CN"/>
        </w:rPr>
        <w:t>涉及批次转用项目个数</w:t>
      </w:r>
      <w:r>
        <w:rPr>
          <w:rFonts w:hint="default" w:ascii="Times New Roman" w:hAnsi="Times New Roman" w:eastAsia="仿宋_GB2312" w:cs="Times New Roman"/>
          <w:sz w:val="32"/>
          <w:szCs w:val="32"/>
          <w:highlight w:val="none"/>
        </w:rPr>
        <w:t>，指标值：</w:t>
      </w:r>
      <w:r>
        <w:rPr>
          <w:rFonts w:hint="eastAsia" w:ascii="仿宋_GB2312" w:hAnsi="仿宋_GB2312" w:eastAsia="仿宋_GB2312" w:cs="仿宋_GB2312"/>
          <w:color w:val="auto"/>
          <w:sz w:val="32"/>
          <w:szCs w:val="32"/>
          <w:lang w:val="en-US" w:eastAsia="zh-CN"/>
        </w:rPr>
        <w:t>&gt;=16个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ascii="仿宋_GB2312" w:hAnsi="仿宋_GB2312" w:eastAsia="仿宋_GB2312" w:cs="仿宋_GB2312"/>
          <w:color w:val="auto"/>
          <w:sz w:val="32"/>
          <w:szCs w:val="32"/>
          <w:lang w:val="en-US" w:eastAsia="zh-CN"/>
        </w:rPr>
        <w:t>16个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0DA5394">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401F7972">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eastAsia" w:ascii="仿宋_GB2312" w:hAnsi="仿宋_GB2312" w:eastAsia="仿宋_GB2312" w:cs="仿宋_GB2312"/>
          <w:color w:val="auto"/>
          <w:sz w:val="32"/>
          <w:szCs w:val="32"/>
          <w:lang w:val="en-US" w:eastAsia="zh-CN"/>
        </w:rPr>
        <w:t>耕地占用税缴纳及时率</w:t>
      </w:r>
      <w:r>
        <w:rPr>
          <w:rFonts w:hint="default" w:ascii="Times New Roman" w:hAnsi="Times New Roman" w:eastAsia="仿宋_GB2312" w:cs="Times New Roman"/>
          <w:sz w:val="32"/>
          <w:szCs w:val="32"/>
          <w:highlight w:val="none"/>
        </w:rPr>
        <w:t>，指标值：</w:t>
      </w:r>
      <w:r>
        <w:rPr>
          <w:rFonts w:hint="eastAsia" w:ascii="仿宋_GB2312" w:hAnsi="仿宋_GB2312" w:eastAsia="仿宋_GB2312" w:cs="仿宋_GB2312"/>
          <w:color w:val="auto"/>
          <w:sz w:val="32"/>
          <w:szCs w:val="32"/>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ascii="仿宋_GB2312" w:hAnsi="仿宋_GB2312" w:eastAsia="仿宋_GB2312" w:cs="仿宋_GB2312"/>
          <w:color w:val="auto"/>
          <w:sz w:val="32"/>
          <w:szCs w:val="32"/>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E26117C">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487A42A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eastAsia" w:ascii="仿宋_GB2312" w:hAnsi="仿宋_GB2312" w:eastAsia="仿宋_GB2312" w:cs="仿宋_GB2312"/>
          <w:color w:val="auto"/>
          <w:sz w:val="32"/>
          <w:szCs w:val="32"/>
          <w:lang w:val="en-US" w:eastAsia="zh-CN"/>
        </w:rPr>
        <w:t>耕地占用税缴纳时限</w:t>
      </w:r>
      <w:r>
        <w:rPr>
          <w:rFonts w:hint="default" w:ascii="Times New Roman" w:hAnsi="Times New Roman" w:eastAsia="仿宋_GB2312" w:cs="Times New Roman"/>
          <w:sz w:val="32"/>
          <w:szCs w:val="32"/>
          <w:highlight w:val="none"/>
        </w:rPr>
        <w:t>，指标值：</w:t>
      </w:r>
      <w:r>
        <w:rPr>
          <w:rFonts w:hint="eastAsia" w:ascii="仿宋_GB2312" w:hAnsi="仿宋_GB2312" w:eastAsia="仿宋_GB2312" w:cs="仿宋_GB2312"/>
          <w:color w:val="auto"/>
          <w:sz w:val="32"/>
          <w:szCs w:val="32"/>
          <w:lang w:val="en-US" w:eastAsia="zh-CN"/>
        </w:rPr>
        <w:t>＜=30日</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ascii="仿宋_GB2312" w:hAnsi="仿宋_GB2312" w:eastAsia="仿宋_GB2312" w:cs="仿宋_GB2312"/>
          <w:color w:val="auto"/>
          <w:sz w:val="32"/>
          <w:szCs w:val="32"/>
          <w:lang w:val="en-US" w:eastAsia="zh-CN"/>
        </w:rPr>
        <w:t>16日</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498DF3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4CF6F1C3">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项目预算控制率</w:t>
      </w:r>
      <w:r>
        <w:rPr>
          <w:rFonts w:hint="default" w:ascii="Times New Roman" w:hAnsi="Times New Roman" w:eastAsia="仿宋_GB2312" w:cs="Times New Roman"/>
          <w:sz w:val="32"/>
          <w:szCs w:val="32"/>
          <w:highlight w:val="none"/>
        </w:rPr>
        <w:t>，指标值：</w:t>
      </w:r>
      <w:r>
        <w:rPr>
          <w:rFonts w:hint="eastAsia" w:ascii="仿宋_GB2312" w:hAnsi="仿宋_GB2312" w:eastAsia="仿宋_GB2312" w:cs="仿宋_GB2312"/>
          <w:color w:val="auto"/>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99.88</w:t>
      </w:r>
      <w:r>
        <w:rPr>
          <w:rFonts w:hint="default" w:ascii="Times New Roman" w:hAnsi="Times New Roman" w:eastAsia="仿宋_GB2312" w:cs="Times New Roman"/>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F28E8D1">
      <w:pPr>
        <w:pStyle w:val="12"/>
        <w:numPr>
          <w:ilvl w:val="0"/>
          <w:numId w:val="0"/>
        </w:numPr>
        <w:spacing w:line="560" w:lineRule="exact"/>
        <w:ind w:firstLine="643" w:firstLineChars="200"/>
        <w:rPr>
          <w:rFonts w:hint="default" w:ascii="Times New Roman" w:hAnsi="Times New Roman" w:eastAsia="楷体_GB2312" w:cs="Times New Roman"/>
          <w:b/>
          <w:bCs/>
          <w:sz w:val="32"/>
          <w:szCs w:val="32"/>
          <w:highlight w:val="none"/>
          <w:lang w:val="en-US" w:eastAsia="zh-CN"/>
        </w:rPr>
      </w:pPr>
      <w:r>
        <w:rPr>
          <w:rFonts w:hint="eastAsia" w:ascii="Times New Roman" w:hAnsi="Times New Roman" w:eastAsia="楷体_GB2312" w:cs="Times New Roman"/>
          <w:b/>
          <w:bCs/>
          <w:kern w:val="2"/>
          <w:sz w:val="32"/>
          <w:szCs w:val="32"/>
          <w:lang w:val="en-US" w:eastAsia="zh-CN" w:bidi="ar-SA"/>
        </w:rPr>
        <w:t>（四）</w:t>
      </w:r>
      <w:r>
        <w:rPr>
          <w:rFonts w:hint="default" w:ascii="Times New Roman" w:hAnsi="Times New Roman" w:eastAsia="楷体_GB2312" w:cs="Times New Roman"/>
          <w:b/>
          <w:bCs/>
          <w:sz w:val="32"/>
          <w:szCs w:val="32"/>
          <w:highlight w:val="none"/>
          <w:lang w:val="en-US" w:eastAsia="zh-CN"/>
        </w:rPr>
        <w:t>项目效益情况</w:t>
      </w:r>
    </w:p>
    <w:p w14:paraId="04B77E9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w:t>
      </w:r>
      <w:r>
        <w:rPr>
          <w:rFonts w:hint="eastAsia" w:eastAsia="仿宋_GB2312" w:cs="Times New Roman"/>
          <w:sz w:val="32"/>
          <w:szCs w:val="32"/>
          <w:highlight w:val="none"/>
          <w:lang w:val="en-US" w:eastAsia="zh-CN"/>
        </w:rPr>
        <w:t>实施</w:t>
      </w:r>
      <w:r>
        <w:rPr>
          <w:rFonts w:hint="default" w:ascii="Times New Roman" w:hAnsi="Times New Roman" w:eastAsia="仿宋_GB2312" w:cs="Times New Roman"/>
          <w:sz w:val="32"/>
          <w:szCs w:val="32"/>
          <w:highlight w:val="none"/>
          <w:lang w:val="en-US" w:eastAsia="zh-CN"/>
        </w:rPr>
        <w:t>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4BB559C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0849D52F">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7D2450B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合理有效保护土地资源</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有效保护</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有效保护</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E6B186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560D71B2">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相关部门满意度</w:t>
      </w:r>
      <w:r>
        <w:rPr>
          <w:rFonts w:hint="default" w:ascii="Times New Roman" w:hAnsi="Times New Roman" w:eastAsia="仿宋_GB2312" w:cs="Times New Roman"/>
          <w:sz w:val="32"/>
          <w:szCs w:val="32"/>
          <w:highlight w:val="none"/>
        </w:rPr>
        <w:t>，指标值：</w:t>
      </w:r>
      <w:r>
        <w:rPr>
          <w:rFonts w:hint="eastAsia" w:ascii="仿宋_GB2312" w:hAnsi="仿宋_GB2312" w:eastAsia="仿宋_GB2312" w:cs="仿宋_GB2312"/>
          <w:color w:val="auto"/>
          <w:sz w:val="32"/>
          <w:szCs w:val="32"/>
          <w:highlight w:val="none"/>
          <w:lang w:val="en-US" w:eastAsia="zh-CN"/>
        </w:rPr>
        <w:t>&gt;=92%</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92%</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BBBCA19">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6FF37B30">
      <w:pPr>
        <w:pStyle w:val="19"/>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奇财农[2024]19号耕地占用税项目年初预算</w:t>
      </w:r>
      <w:r>
        <w:rPr>
          <w:rFonts w:hint="eastAsia" w:ascii="Times New Roman" w:hAnsi="Times New Roman" w:eastAsia="仿宋_GB2312" w:cs="Times New Roman"/>
          <w:kern w:val="2"/>
          <w:sz w:val="32"/>
          <w:szCs w:val="32"/>
          <w:highlight w:val="none"/>
          <w:lang w:val="en-US" w:eastAsia="zh-CN" w:bidi="ar-SA"/>
        </w:rPr>
        <w:t>0</w:t>
      </w:r>
      <w:r>
        <w:rPr>
          <w:rFonts w:hint="default" w:ascii="Times New Roman" w:hAnsi="Times New Roman"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年中追加资金555.26万元，</w:t>
      </w:r>
      <w:r>
        <w:rPr>
          <w:rFonts w:hint="default" w:ascii="Times New Roman" w:hAnsi="Times New Roman" w:eastAsia="仿宋_GB2312" w:cs="Times New Roman"/>
          <w:kern w:val="2"/>
          <w:sz w:val="32"/>
          <w:szCs w:val="32"/>
          <w:highlight w:val="none"/>
          <w:lang w:val="en-US" w:eastAsia="zh-CN" w:bidi="ar-SA"/>
        </w:rPr>
        <w:t>全年预算</w:t>
      </w:r>
      <w:r>
        <w:rPr>
          <w:rFonts w:hint="eastAsia" w:ascii="Times New Roman" w:hAnsi="Times New Roman" w:eastAsia="仿宋_GB2312" w:cs="Times New Roman"/>
          <w:kern w:val="2"/>
          <w:sz w:val="32"/>
          <w:szCs w:val="32"/>
          <w:highlight w:val="none"/>
          <w:lang w:val="en-US" w:eastAsia="zh-CN" w:bidi="ar-SA"/>
        </w:rPr>
        <w:t>555.26</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554.57</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99.88</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0.12</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偏差</w:t>
      </w:r>
      <w:r>
        <w:rPr>
          <w:rFonts w:hint="default" w:ascii="Times New Roman" w:hAnsi="Times New Roman" w:eastAsia="仿宋_GB2312" w:cs="Times New Roman"/>
          <w:kern w:val="2"/>
          <w:sz w:val="32"/>
          <w:szCs w:val="32"/>
          <w:highlight w:val="none"/>
          <w:lang w:val="en-US" w:eastAsia="zh-CN" w:bidi="ar-SA"/>
        </w:rPr>
        <w:t>原因</w:t>
      </w:r>
      <w:r>
        <w:rPr>
          <w:rFonts w:hint="eastAsia" w:ascii="Times New Roman" w:hAnsi="Times New Roman" w:eastAsia="仿宋_GB2312" w:cs="Times New Roman"/>
          <w:kern w:val="2"/>
          <w:sz w:val="32"/>
          <w:szCs w:val="32"/>
          <w:highlight w:val="none"/>
          <w:lang w:val="en-US" w:eastAsia="zh-CN" w:bidi="ar-SA"/>
        </w:rPr>
        <w:t>：税务局按照特定时间点计算滞纳金，我单位提前进行缴纳</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导致滞纳金剩余，现已退回国库；</w:t>
      </w:r>
      <w:r>
        <w:rPr>
          <w:rFonts w:hint="default" w:ascii="Times New Roman" w:hAnsi="Times New Roman" w:eastAsia="仿宋_GB2312" w:cs="Times New Roman"/>
          <w:kern w:val="2"/>
          <w:sz w:val="32"/>
          <w:szCs w:val="32"/>
          <w:highlight w:val="none"/>
          <w:lang w:val="en-US" w:eastAsia="zh-Hans" w:bidi="ar-SA"/>
        </w:rPr>
        <w:t>改进</w:t>
      </w:r>
      <w:r>
        <w:rPr>
          <w:rFonts w:hint="default" w:ascii="Times New Roman" w:hAnsi="Times New Roman" w:eastAsia="仿宋_GB2312" w:cs="Times New Roman"/>
          <w:kern w:val="2"/>
          <w:sz w:val="32"/>
          <w:szCs w:val="32"/>
          <w:highlight w:val="none"/>
          <w:lang w:val="en-US" w:eastAsia="zh-CN" w:bidi="ar-SA"/>
        </w:rPr>
        <w:t>措施</w:t>
      </w:r>
      <w:r>
        <w:rPr>
          <w:rFonts w:hint="eastAsia" w:ascii="Times New Roman" w:hAnsi="Times New Roman" w:eastAsia="仿宋_GB2312" w:cs="Times New Roman"/>
          <w:kern w:val="2"/>
          <w:sz w:val="32"/>
          <w:szCs w:val="32"/>
          <w:highlight w:val="none"/>
          <w:lang w:val="en-US" w:eastAsia="zh-CN" w:bidi="ar-SA"/>
        </w:rPr>
        <w:t>：按时缴纳耕地占用税，避免产生滞纳金</w:t>
      </w:r>
      <w:r>
        <w:rPr>
          <w:rFonts w:hint="default" w:ascii="Times New Roman" w:hAnsi="Times New Roman" w:eastAsia="仿宋_GB2312" w:cs="Times New Roman"/>
          <w:kern w:val="2"/>
          <w:sz w:val="32"/>
          <w:szCs w:val="32"/>
          <w:highlight w:val="none"/>
          <w:lang w:val="en-US" w:eastAsia="zh-CN" w:bidi="ar-SA"/>
        </w:rPr>
        <w:t>。</w:t>
      </w:r>
    </w:p>
    <w:p w14:paraId="7431B356">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78F8ACB8">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63D68BB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1、年末做好下一年工作计划以及项目资金的预算，年初及时报送预算与绩效，加强年末与年初预算项目的管理，提高项目资金预算的准确性。</w:t>
      </w:r>
    </w:p>
    <w:p w14:paraId="185F02C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2、明确工作目标，确认工作绩效任务清单，制定清晰可行的项目落地计划，根据实际情况及时进行拨付。</w:t>
      </w:r>
    </w:p>
    <w:p w14:paraId="5DF3005D">
      <w:pPr>
        <w:pStyle w:val="10"/>
        <w:spacing w:before="0" w:after="0" w:line="560" w:lineRule="exact"/>
        <w:ind w:firstLine="640" w:firstLineChars="200"/>
        <w:jc w:val="left"/>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3、主动与税务局进行交流与沟通，说明项目实际情况，商量项目落地的必要性与可行性，及时缴纳耕地占用税</w:t>
      </w:r>
      <w:r>
        <w:rPr>
          <w:rFonts w:hint="eastAsia" w:ascii="Times New Roman" w:hAnsi="Times New Roman" w:eastAsia="仿宋_GB2312" w:cs="Times New Roman"/>
          <w:b w:val="0"/>
          <w:bCs w:val="0"/>
          <w:kern w:val="2"/>
          <w:sz w:val="32"/>
          <w:szCs w:val="32"/>
          <w:lang w:val="en-US" w:eastAsia="zh-CN" w:bidi="ar-SA"/>
        </w:rPr>
        <w:t>。</w:t>
      </w:r>
    </w:p>
    <w:p w14:paraId="4AB0C2A0">
      <w:pPr>
        <w:keepNext/>
        <w:keepLines/>
        <w:numPr>
          <w:ilvl w:val="0"/>
          <w:numId w:val="0"/>
        </w:numPr>
        <w:spacing w:line="560" w:lineRule="exact"/>
        <w:ind w:firstLine="643" w:firstLineChars="200"/>
        <w:rPr>
          <w:rFonts w:hint="default" w:ascii="Times New Roman" w:hAnsi="Times New Roman" w:eastAsia="楷体_GB2312" w:cs="Times New Roman"/>
          <w:b/>
          <w:bCs/>
          <w:sz w:val="32"/>
          <w:szCs w:val="32"/>
        </w:rPr>
      </w:pPr>
      <w:r>
        <w:rPr>
          <w:rFonts w:hint="eastAsia" w:ascii="Times New Roman" w:hAnsi="Times New Roman" w:eastAsia="楷体_GB2312" w:cs="Times New Roman"/>
          <w:b/>
          <w:bCs/>
          <w:kern w:val="2"/>
          <w:sz w:val="32"/>
          <w:szCs w:val="32"/>
          <w:lang w:val="en-US" w:eastAsia="zh-CN" w:bidi="ar-SA"/>
        </w:rPr>
        <w:t>（二）</w:t>
      </w:r>
      <w:r>
        <w:rPr>
          <w:rFonts w:hint="default" w:ascii="Times New Roman" w:hAnsi="Times New Roman" w:eastAsia="楷体_GB2312" w:cs="Times New Roman"/>
          <w:b/>
          <w:bCs/>
          <w:sz w:val="32"/>
          <w:szCs w:val="32"/>
        </w:rPr>
        <w:t>存在的问题及原因分析</w:t>
      </w:r>
    </w:p>
    <w:p w14:paraId="2B94C2B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281D8D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约束力不够，受政策非连续性与预算执行等不协调的因素影响，预算项目在执行过程中缺乏有限的监督机制，预算执行审核缺乏常态性，由于部门专业监督人员缺乏，很难做到对财政预算资金进行全覆盖跟踪监督，同时，审核监督独立性不够充分也限制了监督职责的发挥。项目流程过于繁琐，过多则流于形式，项目人员配置偏少，造成工作强度偏大。</w:t>
      </w:r>
    </w:p>
    <w:p w14:paraId="620742F0">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54C26D2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2DDB05E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在做出决策之前，我们需要明确项目的目标和需求，明确整个项目的方向和目标，以及项目所需要的资源、人力和时间等方面的需求；评估可行性和风险，需要对整个项目进行评估，考虑项目的可行性和所面临的各种风险；制定详细的计划，明确项目所需要的各种资源和具体执行计划等</w:t>
      </w:r>
      <w:r>
        <w:rPr>
          <w:rFonts w:hint="eastAsia" w:ascii="Times New Roman" w:hAnsi="Times New Roman" w:eastAsia="仿宋_GB2312" w:cs="Times New Roman"/>
          <w:sz w:val="32"/>
          <w:szCs w:val="32"/>
          <w:highlight w:val="none"/>
          <w:lang w:val="en-US" w:eastAsia="zh-CN"/>
        </w:rPr>
        <w:t>；要充分考虑项目程序的规范性、过程是否符合有关要求，用以反映和考核项目立项的规范情况；考虑绩效目标合理性，项目所设定的绩效目标是否依据充分，是否符合客观实际，用以反映和考核项目绩效目标与项目实施的相符情况；资金投入方面，考虑预算编制是否经过科学论证，由明确标准，资金额度与年度目标是否相适应，用于反映和考核项目预算编制的科学性、合理性情况；项目预算资金分配是否有依据等。</w:t>
      </w:r>
    </w:p>
    <w:p w14:paraId="6ECEC637">
      <w:pPr>
        <w:shd w:val="clear"/>
        <w:spacing w:line="600" w:lineRule="exact"/>
        <w:ind w:firstLine="640" w:firstLineChars="200"/>
        <w:outlineLvl w:val="0"/>
        <w:rPr>
          <w:rFonts w:hint="default" w:ascii="Times New Roman" w:hAnsi="Times New Roman" w:cs="Times New Roman"/>
          <w:sz w:val="22"/>
          <w:szCs w:val="28"/>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结合本单位的职能职责，科学合理的编制本单位资金预算。广泛征求项目受益群众意见建议，确保预算科学合理。进一步细化预算工作，提高预算的科学性、合理性、严谨性。加强编制依据和测算深度，确保实际执行与项目预算绩效不存在偏差。制定合理的预算计划，预算计划需要根据具体情况制定，不能过于激进或保守。在制定预算计划时，应该同时考虑经济目标和实际情况，综合决定。实施有效的预算管控，预算计划需要得到有效的管控，确保预算的按照计划进行,以达到经济目标和绩效目标。在预算管控中，应该对经济活动的各个环节进行监控，及时发现可能存在的风险，采取有效措施加以控制。</w:t>
      </w:r>
    </w:p>
    <w:p w14:paraId="4A1EB7C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认真做好项目资金管理工作。进一步加强单位内部机构各科室的项目管理意识，严格按照项目的相关制度和要求进行资金管理，提高项目资金运用的科学性、严谨性和可控性。加强财务管理，严格财务审核。加强单位财务管理，健全单位财务管理制度体系，规范单位财务行为。在费用报账支付时，按照预算规定的费用项目和用途进行资金使用审核、列报支付、财务核算，杜绝超支现象的发生。项目所有开支均应该按照我单位财务管理制度执行，资金的使用必须严格把关，整个项目的运行完全按照我单温内部管理制度、县委县政府及财政的有关规定执行。单位内部应不定期进行抽查，严格人员作风，不能存在违规违法的问题。各个项目资金使用应与具体项目实施内容相符。</w:t>
      </w:r>
    </w:p>
    <w:p w14:paraId="1F0E9EC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5.健全项目管理制度，制定项目用款计划、预期绩效目标，并对项目绩效实施监控，有效防止专项资金挤占、挪用现象发生。加强项目管理，保证项目资金使用管理的规范性、安全性和有效性。上级对补助项目资金统一由一班人马组织有关部门，每年集中对项目资金落实情况进行一次综合性监督检查，减少基层接待，确保资金安全，提高行政效率和资金使用绩效，以达到提高信息管理系统的共享性，节约信息资源，降低行政运行成本，便于数据统计汇总、分析，提高行政效率。项目由县财政局和自然资源部门共同组织实施，可以有效规范项目的实施和监督管理。项目流程不应该过于繁琐，避免过多则流于形式。什么工作内容都要走流程，就会走向流程管理的反面，物极必反，于项目日常工作造成不必要的实践、经理的耗费，大大降低工作效率，得不偿失，建议根据工作量、项目类型安排多人负责，保证项目的监管更加到位，资金使用更加及时有效。</w:t>
      </w:r>
    </w:p>
    <w:p w14:paraId="7375D049">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29CC77BB">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0F41D732">
      <w:pPr>
        <w:pStyle w:val="13"/>
        <w:spacing w:after="0" w:line="560" w:lineRule="exact"/>
        <w:ind w:left="0" w:leftChars="0" w:firstLine="640"/>
        <w:rPr>
          <w:rFonts w:hint="default" w:ascii="Times New Roman" w:hAnsi="Times New Roman" w:eastAsia="仿宋_GB2312" w:cs="Times New Roman"/>
          <w:sz w:val="32"/>
          <w:szCs w:val="32"/>
        </w:rPr>
      </w:pPr>
    </w:p>
    <w:p w14:paraId="3E0CBB61">
      <w:pPr>
        <w:pStyle w:val="13"/>
        <w:spacing w:after="0" w:line="560" w:lineRule="exact"/>
        <w:ind w:left="0" w:leftChars="0" w:firstLine="640"/>
        <w:rPr>
          <w:rFonts w:hint="default" w:ascii="Times New Roman" w:hAnsi="Times New Roman" w:eastAsia="仿宋_GB2312" w:cs="Times New Roman"/>
          <w:sz w:val="32"/>
          <w:szCs w:val="32"/>
        </w:rPr>
      </w:pPr>
    </w:p>
    <w:p w14:paraId="345715D6">
      <w:pPr>
        <w:pStyle w:val="13"/>
        <w:spacing w:after="0" w:line="560" w:lineRule="exact"/>
        <w:ind w:left="0" w:leftChars="0" w:firstLine="0" w:firstLineChars="0"/>
        <w:rPr>
          <w:rFonts w:hint="default" w:ascii="Times New Roman" w:hAnsi="Times New Roman" w:eastAsia="仿宋_GB2312" w:cs="Times New Roman"/>
          <w:sz w:val="32"/>
          <w:szCs w:val="32"/>
        </w:rPr>
      </w:pPr>
    </w:p>
    <w:p w14:paraId="5FAC19A8">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7BF7A7E8">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45B49916">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奇财农[2024]19号耕地占用税</w:t>
      </w:r>
      <w:r>
        <w:rPr>
          <w:rFonts w:hint="eastAsia" w:ascii="仿宋_GB2312" w:hAnsi="仿宋_GB2312" w:eastAsia="仿宋_GB2312" w:cs="仿宋_GB2312"/>
          <w:b/>
          <w:bCs/>
          <w:sz w:val="28"/>
          <w:szCs w:val="40"/>
          <w:highlight w:val="none"/>
        </w:rPr>
        <w:t>绩效评价指</w:t>
      </w:r>
      <w:r>
        <w:rPr>
          <w:rFonts w:hint="eastAsia" w:ascii="仿宋_GB2312" w:hAnsi="仿宋_GB2312" w:eastAsia="仿宋_GB2312" w:cs="仿宋_GB2312"/>
          <w:b/>
          <w:bCs/>
          <w:sz w:val="28"/>
          <w:szCs w:val="40"/>
        </w:rPr>
        <w:t>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59"/>
        <w:gridCol w:w="6"/>
      </w:tblGrid>
      <w:tr w14:paraId="331AD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10ED09F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29FAD73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0F0F3DC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643EE06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1E944AF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3BEFACA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gridSpan w:val="2"/>
            <w:shd w:val="clear" w:color="auto" w:fill="FFFFFF"/>
            <w:vAlign w:val="center"/>
          </w:tcPr>
          <w:p w14:paraId="58CC73C2">
            <w:pPr>
              <w:widowControl/>
              <w:spacing w:line="0" w:lineRule="atLeast"/>
              <w:jc w:val="center"/>
              <w:rPr>
                <w:rFonts w:hint="default" w:ascii="Times New Roman" w:hAnsi="Times New Roman" w:eastAsia="仿宋_GB2312" w:cs="Times New Roman"/>
                <w:b/>
                <w:bCs/>
                <w:color w:val="000000"/>
                <w:kern w:val="0"/>
                <w:sz w:val="18"/>
                <w:szCs w:val="18"/>
              </w:rPr>
            </w:pPr>
            <w:bookmarkStart w:id="3" w:name="_GoBack"/>
            <w:r>
              <w:rPr>
                <w:rFonts w:hint="default" w:ascii="Times New Roman" w:hAnsi="Times New Roman" w:eastAsia="仿宋_GB2312" w:cs="Times New Roman"/>
                <w:b/>
                <w:bCs/>
                <w:color w:val="000000"/>
                <w:kern w:val="0"/>
                <w:sz w:val="18"/>
                <w:szCs w:val="18"/>
              </w:rPr>
              <w:t>得分</w:t>
            </w:r>
            <w:bookmarkEnd w:id="3"/>
          </w:p>
        </w:tc>
      </w:tr>
      <w:tr w14:paraId="28D39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2ECDD21E">
            <w:pPr>
              <w:widowControl/>
              <w:spacing w:line="0" w:lineRule="atLeast"/>
              <w:jc w:val="center"/>
              <w:rPr>
                <w:rFonts w:hint="default" w:ascii="Times New Roman" w:hAnsi="Times New Roman" w:eastAsia="仿宋_GB2312" w:cs="Times New Roman"/>
                <w:color w:val="000000"/>
                <w:kern w:val="0"/>
                <w:sz w:val="18"/>
                <w:szCs w:val="18"/>
              </w:rPr>
            </w:pPr>
          </w:p>
          <w:p w14:paraId="40F24AEA">
            <w:pPr>
              <w:widowControl/>
              <w:spacing w:line="0" w:lineRule="atLeast"/>
              <w:jc w:val="center"/>
              <w:rPr>
                <w:rFonts w:hint="default" w:ascii="Times New Roman" w:hAnsi="Times New Roman" w:eastAsia="仿宋_GB2312" w:cs="Times New Roman"/>
                <w:color w:val="000000"/>
                <w:kern w:val="0"/>
                <w:sz w:val="18"/>
                <w:szCs w:val="18"/>
              </w:rPr>
            </w:pPr>
          </w:p>
          <w:p w14:paraId="3B787E66">
            <w:pPr>
              <w:widowControl/>
              <w:spacing w:line="0" w:lineRule="atLeast"/>
              <w:jc w:val="center"/>
              <w:rPr>
                <w:rFonts w:hint="default" w:ascii="Times New Roman" w:hAnsi="Times New Roman" w:eastAsia="仿宋_GB2312" w:cs="Times New Roman"/>
                <w:color w:val="000000"/>
                <w:kern w:val="0"/>
                <w:sz w:val="18"/>
                <w:szCs w:val="18"/>
              </w:rPr>
            </w:pPr>
          </w:p>
          <w:p w14:paraId="579A525D">
            <w:pPr>
              <w:widowControl/>
              <w:spacing w:line="0" w:lineRule="atLeast"/>
              <w:jc w:val="center"/>
              <w:rPr>
                <w:rFonts w:hint="default" w:ascii="Times New Roman" w:hAnsi="Times New Roman" w:eastAsia="仿宋_GB2312" w:cs="Times New Roman"/>
                <w:color w:val="000000"/>
                <w:kern w:val="0"/>
                <w:sz w:val="18"/>
                <w:szCs w:val="18"/>
              </w:rPr>
            </w:pPr>
          </w:p>
          <w:p w14:paraId="2B1B54B2">
            <w:pPr>
              <w:widowControl/>
              <w:spacing w:line="0" w:lineRule="atLeast"/>
              <w:jc w:val="center"/>
              <w:rPr>
                <w:rFonts w:hint="default" w:ascii="Times New Roman" w:hAnsi="Times New Roman" w:eastAsia="仿宋_GB2312" w:cs="Times New Roman"/>
                <w:color w:val="000000"/>
                <w:kern w:val="0"/>
                <w:sz w:val="18"/>
                <w:szCs w:val="18"/>
              </w:rPr>
            </w:pPr>
          </w:p>
          <w:p w14:paraId="45D4E8BF">
            <w:pPr>
              <w:widowControl/>
              <w:spacing w:line="0" w:lineRule="atLeast"/>
              <w:jc w:val="center"/>
              <w:rPr>
                <w:rFonts w:hint="default" w:ascii="Times New Roman" w:hAnsi="Times New Roman" w:eastAsia="仿宋_GB2312" w:cs="Times New Roman"/>
                <w:color w:val="000000"/>
                <w:kern w:val="0"/>
                <w:sz w:val="18"/>
                <w:szCs w:val="18"/>
              </w:rPr>
            </w:pPr>
          </w:p>
          <w:p w14:paraId="0A698BE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3A38E41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51F55A7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5DA16D5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174A22A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1E3CA1B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493DC25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auto" w:fill="FFFFFF"/>
            <w:vAlign w:val="center"/>
          </w:tcPr>
          <w:p w14:paraId="352D2F1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14:paraId="039295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62D06204">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1F50765">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C58EA1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4B77984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535E656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13D4EB35">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301D8B3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auto" w:fill="FFFFFF"/>
            <w:vAlign w:val="center"/>
          </w:tcPr>
          <w:p w14:paraId="0E732CFD">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14:paraId="240576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E57EBCB">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58A2964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78498EA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06ED47F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66053A0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D36F29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3DA643D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10ABFCF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000000" w:fill="FFFFFF"/>
            <w:vAlign w:val="center"/>
          </w:tcPr>
          <w:p w14:paraId="5454E27C">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14:paraId="234B3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2C293865">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414243C">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3202B1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6C1A892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62E8739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114413C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3A83F9C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gridSpan w:val="2"/>
            <w:shd w:val="clear" w:color="000000" w:fill="FFFFFF"/>
            <w:vAlign w:val="center"/>
          </w:tcPr>
          <w:p w14:paraId="140DA7D7">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14:paraId="0164C3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4E3C6956">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0B9698D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3D21CA51">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4335212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06C797B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5E90D8E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097DF6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6C8AC16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auto" w:fill="FFFFFF"/>
            <w:vAlign w:val="center"/>
          </w:tcPr>
          <w:p w14:paraId="2BC455C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7C96B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6EBBA51D">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3FC4849">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9C2E09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79A47A5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66293C9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7C53744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09958C2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auto" w:fill="FFFFFF"/>
            <w:vAlign w:val="center"/>
          </w:tcPr>
          <w:p w14:paraId="08A59BC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BFC11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3732760F">
            <w:pPr>
              <w:spacing w:line="0" w:lineRule="atLeast"/>
              <w:jc w:val="center"/>
              <w:rPr>
                <w:rFonts w:hint="default" w:ascii="Times New Roman" w:hAnsi="Times New Roman" w:eastAsia="仿宋_GB2312" w:cs="Times New Roman"/>
                <w:color w:val="000000"/>
                <w:kern w:val="0"/>
                <w:sz w:val="18"/>
                <w:szCs w:val="18"/>
              </w:rPr>
            </w:pPr>
          </w:p>
          <w:p w14:paraId="33F65EFA">
            <w:pPr>
              <w:spacing w:line="0" w:lineRule="atLeast"/>
              <w:jc w:val="center"/>
              <w:rPr>
                <w:rFonts w:hint="default" w:ascii="Times New Roman" w:hAnsi="Times New Roman" w:eastAsia="仿宋_GB2312" w:cs="Times New Roman"/>
                <w:color w:val="000000"/>
                <w:kern w:val="0"/>
                <w:sz w:val="18"/>
                <w:szCs w:val="18"/>
              </w:rPr>
            </w:pPr>
          </w:p>
          <w:p w14:paraId="68C7E91C">
            <w:pPr>
              <w:spacing w:line="0" w:lineRule="atLeast"/>
              <w:jc w:val="center"/>
              <w:rPr>
                <w:rFonts w:hint="default" w:ascii="Times New Roman" w:hAnsi="Times New Roman" w:eastAsia="仿宋_GB2312" w:cs="Times New Roman"/>
                <w:color w:val="000000"/>
                <w:kern w:val="0"/>
                <w:sz w:val="18"/>
                <w:szCs w:val="18"/>
              </w:rPr>
            </w:pPr>
          </w:p>
          <w:p w14:paraId="404B91D2">
            <w:pPr>
              <w:spacing w:line="0" w:lineRule="atLeast"/>
              <w:jc w:val="center"/>
              <w:rPr>
                <w:rFonts w:hint="default" w:ascii="Times New Roman" w:hAnsi="Times New Roman" w:eastAsia="仿宋_GB2312" w:cs="Times New Roman"/>
                <w:color w:val="000000"/>
                <w:kern w:val="0"/>
                <w:sz w:val="18"/>
                <w:szCs w:val="18"/>
              </w:rPr>
            </w:pPr>
          </w:p>
          <w:p w14:paraId="3DCAA5CF">
            <w:pPr>
              <w:spacing w:line="0" w:lineRule="atLeast"/>
              <w:jc w:val="center"/>
              <w:rPr>
                <w:rFonts w:hint="default" w:ascii="Times New Roman" w:hAnsi="Times New Roman" w:eastAsia="仿宋_GB2312" w:cs="Times New Roman"/>
                <w:color w:val="000000"/>
                <w:kern w:val="0"/>
                <w:sz w:val="18"/>
                <w:szCs w:val="18"/>
              </w:rPr>
            </w:pPr>
          </w:p>
          <w:p w14:paraId="09BAE9BE">
            <w:pPr>
              <w:spacing w:line="0" w:lineRule="atLeast"/>
              <w:jc w:val="center"/>
              <w:rPr>
                <w:rFonts w:hint="default" w:ascii="Times New Roman" w:hAnsi="Times New Roman" w:eastAsia="仿宋_GB2312" w:cs="Times New Roman"/>
                <w:color w:val="000000"/>
                <w:kern w:val="0"/>
                <w:sz w:val="18"/>
                <w:szCs w:val="18"/>
              </w:rPr>
            </w:pPr>
          </w:p>
          <w:p w14:paraId="04A8A7A0">
            <w:pPr>
              <w:spacing w:line="0" w:lineRule="atLeast"/>
              <w:jc w:val="center"/>
              <w:rPr>
                <w:rFonts w:hint="default" w:ascii="Times New Roman" w:hAnsi="Times New Roman" w:eastAsia="仿宋_GB2312" w:cs="Times New Roman"/>
                <w:color w:val="000000"/>
                <w:kern w:val="0"/>
                <w:sz w:val="18"/>
                <w:szCs w:val="18"/>
              </w:rPr>
            </w:pPr>
          </w:p>
          <w:p w14:paraId="375A3D4A">
            <w:pPr>
              <w:spacing w:line="0" w:lineRule="atLeast"/>
              <w:jc w:val="center"/>
              <w:rPr>
                <w:rFonts w:hint="default" w:ascii="Times New Roman" w:hAnsi="Times New Roman" w:eastAsia="仿宋_GB2312" w:cs="Times New Roman"/>
                <w:color w:val="000000"/>
                <w:kern w:val="0"/>
                <w:sz w:val="18"/>
                <w:szCs w:val="18"/>
              </w:rPr>
            </w:pPr>
          </w:p>
          <w:p w14:paraId="7E4FC2C2">
            <w:pPr>
              <w:spacing w:line="0" w:lineRule="atLeast"/>
              <w:jc w:val="center"/>
              <w:rPr>
                <w:rFonts w:hint="default" w:ascii="Times New Roman" w:hAnsi="Times New Roman" w:eastAsia="仿宋_GB2312" w:cs="Times New Roman"/>
                <w:color w:val="000000"/>
                <w:kern w:val="0"/>
                <w:sz w:val="18"/>
                <w:szCs w:val="18"/>
              </w:rPr>
            </w:pPr>
          </w:p>
          <w:p w14:paraId="122858CD">
            <w:pPr>
              <w:spacing w:line="0" w:lineRule="atLeast"/>
              <w:jc w:val="center"/>
              <w:rPr>
                <w:rFonts w:hint="default" w:ascii="Times New Roman" w:hAnsi="Times New Roman" w:eastAsia="仿宋_GB2312" w:cs="Times New Roman"/>
                <w:color w:val="000000"/>
                <w:kern w:val="0"/>
                <w:sz w:val="18"/>
                <w:szCs w:val="18"/>
              </w:rPr>
            </w:pPr>
          </w:p>
          <w:p w14:paraId="2A7BAE52">
            <w:pPr>
              <w:spacing w:line="0" w:lineRule="atLeast"/>
              <w:jc w:val="center"/>
              <w:rPr>
                <w:rFonts w:hint="default" w:ascii="Times New Roman" w:hAnsi="Times New Roman" w:eastAsia="仿宋_GB2312" w:cs="Times New Roman"/>
                <w:color w:val="000000"/>
                <w:kern w:val="0"/>
                <w:sz w:val="18"/>
                <w:szCs w:val="18"/>
              </w:rPr>
            </w:pPr>
          </w:p>
          <w:p w14:paraId="359526E5">
            <w:pPr>
              <w:spacing w:line="0" w:lineRule="atLeast"/>
              <w:jc w:val="center"/>
              <w:rPr>
                <w:rFonts w:hint="default" w:ascii="Times New Roman" w:hAnsi="Times New Roman" w:eastAsia="仿宋_GB2312" w:cs="Times New Roman"/>
                <w:color w:val="000000"/>
                <w:kern w:val="0"/>
                <w:sz w:val="18"/>
                <w:szCs w:val="18"/>
              </w:rPr>
            </w:pPr>
          </w:p>
          <w:p w14:paraId="233B92A9">
            <w:pPr>
              <w:spacing w:line="0" w:lineRule="atLeast"/>
              <w:jc w:val="center"/>
              <w:rPr>
                <w:rFonts w:hint="default" w:ascii="Times New Roman" w:hAnsi="Times New Roman" w:eastAsia="仿宋_GB2312" w:cs="Times New Roman"/>
                <w:color w:val="000000"/>
                <w:kern w:val="0"/>
                <w:sz w:val="18"/>
                <w:szCs w:val="18"/>
              </w:rPr>
            </w:pPr>
          </w:p>
          <w:p w14:paraId="5C4F90DD">
            <w:pPr>
              <w:spacing w:line="0" w:lineRule="atLeast"/>
              <w:jc w:val="center"/>
              <w:rPr>
                <w:rFonts w:hint="default" w:ascii="Times New Roman" w:hAnsi="Times New Roman" w:eastAsia="仿宋_GB2312" w:cs="Times New Roman"/>
                <w:color w:val="000000"/>
                <w:kern w:val="0"/>
                <w:sz w:val="18"/>
                <w:szCs w:val="18"/>
              </w:rPr>
            </w:pPr>
          </w:p>
          <w:p w14:paraId="2C6D5A5A">
            <w:pPr>
              <w:spacing w:line="0" w:lineRule="atLeast"/>
              <w:jc w:val="center"/>
              <w:rPr>
                <w:rFonts w:hint="default" w:ascii="Times New Roman" w:hAnsi="Times New Roman" w:eastAsia="仿宋_GB2312" w:cs="Times New Roman"/>
                <w:color w:val="000000"/>
                <w:kern w:val="0"/>
                <w:sz w:val="18"/>
                <w:szCs w:val="18"/>
              </w:rPr>
            </w:pPr>
          </w:p>
          <w:p w14:paraId="4B749CF0">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45CF516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0258497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53DDE88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5B09987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62257AE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475CD7F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077E9CE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10FB984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05D3E1C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11DC01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2B4E2584">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22021E68">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9BD3D8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45DCDAF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07ED913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5FB74E7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auto" w:fill="FFFFFF"/>
            <w:vAlign w:val="center"/>
          </w:tcPr>
          <w:p w14:paraId="07AA167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4E2BC8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4941C84">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55287DF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759595B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5131CE3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4F6135A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29007FC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3D676F6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7AD45DB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28A46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C52FA56">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55A20A6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2DAA958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3C5B15B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435EDC8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1527A80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4BF54B6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1080F9B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1AE7134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2FB21D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1F0E31D4">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B342744">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2D35B5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740D1BF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7C17F03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0F6D413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274250D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gridSpan w:val="2"/>
            <w:shd w:val="clear" w:color="000000" w:fill="FFFFFF"/>
            <w:vAlign w:val="center"/>
          </w:tcPr>
          <w:p w14:paraId="7A549EA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57D422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2DDA33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5816A81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127D517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1B196EF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38E5F10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59E9099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702AF59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6AF198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08C554CD">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BA3640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0B02833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7C12F1A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2E2794A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7460823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4FE6294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7F8D811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362E2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7C40CFA6">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DFCD3F2">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193A939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6269C8B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559731E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0607E88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721A104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3492C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D8D21D7">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67B0CC4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6E915FC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0E382BC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39ACAEE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10FAFDF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5A0124C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4D7EA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135855A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488B21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675E846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37DB1F07">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5299655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756C78D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auto" w:fill="FFFFFF"/>
            <w:vAlign w:val="center"/>
          </w:tcPr>
          <w:p w14:paraId="20BB9DD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2552F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490A3792">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3E1B61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231103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62436DF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4A88B62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3CFBF54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gridSpan w:val="2"/>
            <w:shd w:val="clear" w:color="000000" w:fill="FFFFFF"/>
            <w:vAlign w:val="center"/>
          </w:tcPr>
          <w:p w14:paraId="1AB3BCF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37A621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48E2C0FD">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070254B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59" w:type="dxa"/>
            <w:shd w:val="clear" w:color="000000" w:fill="FFFFFF"/>
            <w:vAlign w:val="center"/>
          </w:tcPr>
          <w:p w14:paraId="2726F9B5">
            <w:pPr>
              <w:widowControl/>
              <w:spacing w:line="0" w:lineRule="atLeast"/>
              <w:jc w:val="center"/>
              <w:rPr>
                <w:rFonts w:hint="default" w:ascii="Times New Roman" w:hAnsi="Times New Roman" w:eastAsia="仿宋_GB2312" w:cs="Times New Roman"/>
                <w:b/>
                <w:bCs/>
                <w:color w:val="000000"/>
                <w:kern w:val="0"/>
                <w:sz w:val="18"/>
                <w:szCs w:val="18"/>
                <w:highlight w:val="yellow"/>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0" w:type="auto"/>
            <w:shd w:val="clear" w:color="000000" w:fill="FFFFFF"/>
            <w:vAlign w:val="center"/>
          </w:tcPr>
          <w:p w14:paraId="1A5933E3">
            <w:pPr>
              <w:widowControl/>
              <w:spacing w:line="0" w:lineRule="atLeast"/>
              <w:jc w:val="center"/>
            </w:pPr>
          </w:p>
        </w:tc>
      </w:tr>
    </w:tbl>
    <w:p w14:paraId="51D28939">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6B28BCD4">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5BF8BD7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2315"/>
        <w:gridCol w:w="942"/>
        <w:gridCol w:w="1008"/>
        <w:gridCol w:w="702"/>
        <w:gridCol w:w="900"/>
        <w:gridCol w:w="930"/>
        <w:gridCol w:w="660"/>
        <w:gridCol w:w="948"/>
        <w:gridCol w:w="657"/>
        <w:gridCol w:w="645"/>
        <w:gridCol w:w="946"/>
      </w:tblGrid>
      <w:tr w14:paraId="31267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F6FFA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4A4942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奇财农[2024]19号耕地占用税</w:t>
            </w:r>
          </w:p>
        </w:tc>
      </w:tr>
      <w:tr w14:paraId="6FEC6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8B4FC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62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B17A7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奇台县自然资源局</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71426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38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1C67C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奇台县自然资源局</w:t>
            </w:r>
          </w:p>
        </w:tc>
      </w:tr>
      <w:tr w14:paraId="1C1F2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96AEB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3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B427B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E660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EE22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4EFCE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6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C7039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D791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3AE9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4B92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69761">
            <w:pPr>
              <w:jc w:val="center"/>
              <w:rPr>
                <w:rFonts w:hint="eastAsia" w:ascii="仿宋_GB2312" w:hAnsi="仿宋_GB2312" w:eastAsia="仿宋_GB2312" w:cs="仿宋_GB2312"/>
                <w:i w:val="0"/>
                <w:iCs w:val="0"/>
                <w:color w:val="000000"/>
                <w:sz w:val="18"/>
                <w:szCs w:val="18"/>
                <w:u w:val="none"/>
              </w:rPr>
            </w:pPr>
          </w:p>
        </w:tc>
        <w:tc>
          <w:tcPr>
            <w:tcW w:w="3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60F5F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8313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490.23</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B77FE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555.26</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47AA6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554.57</w:t>
            </w:r>
          </w:p>
        </w:tc>
        <w:tc>
          <w:tcPr>
            <w:tcW w:w="16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44343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C9BB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99.88%</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BD93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14:paraId="465F0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206D5">
            <w:pPr>
              <w:jc w:val="center"/>
              <w:rPr>
                <w:rFonts w:hint="eastAsia" w:ascii="仿宋_GB2312" w:hAnsi="仿宋_GB2312" w:eastAsia="仿宋_GB2312" w:cs="仿宋_GB2312"/>
                <w:i w:val="0"/>
                <w:iCs w:val="0"/>
                <w:color w:val="000000"/>
                <w:sz w:val="18"/>
                <w:szCs w:val="18"/>
                <w:u w:val="none"/>
              </w:rPr>
            </w:pPr>
          </w:p>
        </w:tc>
        <w:tc>
          <w:tcPr>
            <w:tcW w:w="36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A23B3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B1D4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490.23</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96B31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555.26</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71576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554.57</w:t>
            </w:r>
          </w:p>
        </w:tc>
        <w:tc>
          <w:tcPr>
            <w:tcW w:w="16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1C94C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F5BCE6">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986F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0E414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A3D71">
            <w:pPr>
              <w:jc w:val="center"/>
              <w:rPr>
                <w:rFonts w:hint="eastAsia" w:ascii="仿宋_GB2312" w:hAnsi="仿宋_GB2312" w:eastAsia="仿宋_GB2312" w:cs="仿宋_GB2312"/>
                <w:i w:val="0"/>
                <w:iCs w:val="0"/>
                <w:color w:val="000000"/>
                <w:sz w:val="18"/>
                <w:szCs w:val="18"/>
                <w:u w:val="none"/>
              </w:rPr>
            </w:pPr>
          </w:p>
        </w:tc>
        <w:tc>
          <w:tcPr>
            <w:tcW w:w="3627" w:type="dxa"/>
            <w:gridSpan w:val="2"/>
            <w:tcBorders>
              <w:top w:val="single" w:color="000000" w:sz="4" w:space="0"/>
              <w:left w:val="single" w:color="000000" w:sz="4" w:space="0"/>
              <w:bottom w:val="nil"/>
              <w:right w:val="single" w:color="000000" w:sz="4" w:space="0"/>
            </w:tcBorders>
            <w:shd w:val="clear" w:color="auto" w:fill="auto"/>
            <w:vAlign w:val="center"/>
          </w:tcPr>
          <w:p w14:paraId="23A82A2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942" w:type="dxa"/>
            <w:tcBorders>
              <w:top w:val="single" w:color="000000" w:sz="4" w:space="0"/>
              <w:left w:val="single" w:color="000000" w:sz="4" w:space="0"/>
              <w:bottom w:val="nil"/>
              <w:right w:val="single" w:color="000000" w:sz="4" w:space="0"/>
            </w:tcBorders>
            <w:shd w:val="clear" w:color="auto" w:fill="auto"/>
            <w:vAlign w:val="center"/>
          </w:tcPr>
          <w:p w14:paraId="79C32F65">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710" w:type="dxa"/>
            <w:gridSpan w:val="2"/>
            <w:tcBorders>
              <w:top w:val="single" w:color="000000" w:sz="4" w:space="0"/>
              <w:left w:val="single" w:color="000000" w:sz="4" w:space="0"/>
              <w:bottom w:val="nil"/>
              <w:right w:val="single" w:color="000000" w:sz="4" w:space="0"/>
            </w:tcBorders>
            <w:shd w:val="clear" w:color="auto" w:fill="auto"/>
            <w:vAlign w:val="center"/>
          </w:tcPr>
          <w:p w14:paraId="1F05D43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830" w:type="dxa"/>
            <w:gridSpan w:val="2"/>
            <w:tcBorders>
              <w:top w:val="single" w:color="000000" w:sz="4" w:space="0"/>
              <w:left w:val="single" w:color="000000" w:sz="4" w:space="0"/>
              <w:bottom w:val="nil"/>
              <w:right w:val="single" w:color="000000" w:sz="4" w:space="0"/>
            </w:tcBorders>
            <w:shd w:val="clear" w:color="auto" w:fill="auto"/>
            <w:vAlign w:val="center"/>
          </w:tcPr>
          <w:p w14:paraId="050C3198">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6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F409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3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5229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EA0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1533C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6748C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94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095563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38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713B0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5E507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7F18E">
            <w:pPr>
              <w:jc w:val="center"/>
              <w:rPr>
                <w:rFonts w:hint="eastAsia" w:ascii="仿宋_GB2312" w:hAnsi="仿宋_GB2312" w:eastAsia="仿宋_GB2312" w:cs="仿宋_GB2312"/>
                <w:i w:val="0"/>
                <w:iCs w:val="0"/>
                <w:color w:val="000000"/>
                <w:sz w:val="18"/>
                <w:szCs w:val="18"/>
                <w:u w:val="none"/>
              </w:rPr>
            </w:pPr>
          </w:p>
        </w:tc>
        <w:tc>
          <w:tcPr>
            <w:tcW w:w="94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C9BFA4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通过《中华人民共和国耕地占用税法》、《中华人民共和国耕地占用税法实施办法》、《关于做好耕地占用税部门协作和信息交换工作的通知》（新财税法〔2023〕2号）法规及文件，依法缴纳耕地占用税，有效控制了非农业建设对耕地的占用，保护了农用耕地，促进了土地管理，有助于增加国家的财政收入，用于农业发展和土地资源的保护，为社会经济发展创造了良好的环境。</w:t>
            </w:r>
          </w:p>
        </w:tc>
        <w:tc>
          <w:tcPr>
            <w:tcW w:w="38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C81E7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eastAsia="zh-CN"/>
              </w:rPr>
              <w:t>截至</w:t>
            </w:r>
            <w:r>
              <w:rPr>
                <w:rFonts w:hint="eastAsia" w:ascii="仿宋_GB2312" w:hAnsi="仿宋_GB2312" w:eastAsia="仿宋_GB2312" w:cs="仿宋_GB2312"/>
                <w:i w:val="0"/>
                <w:iCs w:val="0"/>
                <w:color w:val="000000"/>
                <w:sz w:val="18"/>
                <w:szCs w:val="18"/>
                <w:u w:val="none"/>
                <w:lang w:val="en-US" w:eastAsia="zh-CN"/>
              </w:rPr>
              <w:t>2024年12月31日，该项目拨付耕地占用税555.26万元，涉及土地面积102.69公顷，涉及批次转用项目16个，通过该项目的实施，合理有效的保护了土地资源，提升了相关部门的满意度。</w:t>
            </w:r>
          </w:p>
        </w:tc>
      </w:tr>
      <w:tr w14:paraId="6B93C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right w:val="single" w:color="000000" w:sz="4" w:space="0"/>
            </w:tcBorders>
            <w:shd w:val="clear" w:color="auto" w:fill="auto"/>
            <w:vAlign w:val="center"/>
          </w:tcPr>
          <w:p w14:paraId="37AE37AD">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3D39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4C77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2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536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ADE1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0B58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C95F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813C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2661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E80A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722D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4B2E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5EDE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BF3D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37C90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vAlign w:val="center"/>
          </w:tcPr>
          <w:p w14:paraId="7CC6B94F">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noWrap/>
            <w:vAlign w:val="center"/>
          </w:tcPr>
          <w:p w14:paraId="756E0CC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1B491D6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2315" w:type="dxa"/>
            <w:tcBorders>
              <w:top w:val="single" w:color="000000" w:sz="4" w:space="0"/>
              <w:left w:val="nil"/>
              <w:bottom w:val="single" w:color="000000" w:sz="4" w:space="0"/>
              <w:right w:val="single" w:color="000000" w:sz="4" w:space="0"/>
            </w:tcBorders>
            <w:shd w:val="clear" w:color="auto" w:fill="auto"/>
            <w:vAlign w:val="center"/>
          </w:tcPr>
          <w:p w14:paraId="4D08C12F">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涉及土地面积</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D9EF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&gt;=102.69公顷</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BD68">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3367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651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D2D5">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按照完成比例赋分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F7AD8">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工作资料</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30C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=102.69公顷</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7854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184A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32369">
            <w:pPr>
              <w:jc w:val="center"/>
              <w:rPr>
                <w:rFonts w:hint="eastAsia" w:ascii="仿宋_GB2312" w:hAnsi="仿宋_GB2312" w:eastAsia="仿宋_GB2312" w:cs="仿宋_GB2312"/>
                <w:i w:val="0"/>
                <w:iCs w:val="0"/>
                <w:color w:val="000000"/>
                <w:sz w:val="18"/>
                <w:szCs w:val="18"/>
                <w:u w:val="none"/>
              </w:rPr>
            </w:pPr>
          </w:p>
        </w:tc>
      </w:tr>
      <w:tr w14:paraId="7ED9B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vAlign w:val="center"/>
          </w:tcPr>
          <w:p w14:paraId="236F5C6D">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14:paraId="185A3E4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0174AD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2315" w:type="dxa"/>
            <w:tcBorders>
              <w:top w:val="single" w:color="000000" w:sz="4" w:space="0"/>
              <w:left w:val="nil"/>
              <w:bottom w:val="single" w:color="000000" w:sz="4" w:space="0"/>
              <w:right w:val="single" w:color="000000" w:sz="4" w:space="0"/>
            </w:tcBorders>
            <w:shd w:val="clear" w:color="auto" w:fill="auto"/>
            <w:vAlign w:val="center"/>
          </w:tcPr>
          <w:p w14:paraId="3FD18786">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涉及批次转用项目个数</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9750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&gt;=16个</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ED76D">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D1EF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5B2A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6490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按照完成比例赋分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6001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AC1E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=16个</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AE82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6108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04A89">
            <w:pPr>
              <w:jc w:val="center"/>
              <w:rPr>
                <w:rFonts w:hint="eastAsia" w:ascii="仿宋_GB2312" w:hAnsi="仿宋_GB2312" w:eastAsia="仿宋_GB2312" w:cs="仿宋_GB2312"/>
                <w:i w:val="0"/>
                <w:iCs w:val="0"/>
                <w:color w:val="000000"/>
                <w:sz w:val="18"/>
                <w:szCs w:val="18"/>
                <w:u w:val="none"/>
              </w:rPr>
            </w:pPr>
          </w:p>
        </w:tc>
      </w:tr>
      <w:tr w14:paraId="245FA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vAlign w:val="center"/>
          </w:tcPr>
          <w:p w14:paraId="45422CF5">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14:paraId="5DDADCA4">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DE52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2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75B2D">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耕地占用税缴纳及时率</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05D4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A9CDE">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E92B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D41D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E4E1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按照完成比例赋分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EF0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4D73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82F5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CBE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5898C">
            <w:pPr>
              <w:jc w:val="center"/>
              <w:rPr>
                <w:rFonts w:hint="eastAsia" w:ascii="仿宋_GB2312" w:hAnsi="仿宋_GB2312" w:eastAsia="仿宋_GB2312" w:cs="仿宋_GB2312"/>
                <w:i w:val="0"/>
                <w:iCs w:val="0"/>
                <w:color w:val="000000"/>
                <w:sz w:val="18"/>
                <w:szCs w:val="18"/>
                <w:u w:val="none"/>
              </w:rPr>
            </w:pPr>
          </w:p>
        </w:tc>
      </w:tr>
      <w:tr w14:paraId="1FC02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17" w:type="dxa"/>
            <w:vMerge w:val="continue"/>
            <w:tcBorders>
              <w:left w:val="single" w:color="000000" w:sz="4" w:space="0"/>
              <w:right w:val="single" w:color="000000" w:sz="4" w:space="0"/>
            </w:tcBorders>
            <w:shd w:val="clear" w:color="auto" w:fill="auto"/>
            <w:noWrap/>
            <w:vAlign w:val="center"/>
          </w:tcPr>
          <w:p w14:paraId="65C39383">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noWrap/>
            <w:vAlign w:val="center"/>
          </w:tcPr>
          <w:p w14:paraId="0DC18F6C">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1FDF47A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2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CF90E">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耕地占用税缴纳时限</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5A26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＜=30日</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8456E">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行业标准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31B06">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0DD6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2420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按照完成比例赋分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A616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D569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=16日</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F1CA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EEB6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FE9F0">
            <w:pPr>
              <w:jc w:val="center"/>
              <w:rPr>
                <w:rFonts w:hint="eastAsia" w:ascii="仿宋_GB2312" w:hAnsi="仿宋_GB2312" w:eastAsia="仿宋_GB2312" w:cs="仿宋_GB2312"/>
                <w:b/>
                <w:bCs/>
                <w:i w:val="0"/>
                <w:iCs w:val="0"/>
                <w:color w:val="000000"/>
                <w:sz w:val="18"/>
                <w:szCs w:val="18"/>
                <w:u w:val="none"/>
              </w:rPr>
            </w:pPr>
          </w:p>
        </w:tc>
      </w:tr>
      <w:tr w14:paraId="2EB47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noWrap/>
            <w:vAlign w:val="center"/>
          </w:tcPr>
          <w:p w14:paraId="2435B258">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56C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4E53A18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2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0529E">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项目预算控制率</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97F5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008" w:type="dxa"/>
            <w:tcBorders>
              <w:top w:val="single" w:color="000000" w:sz="4" w:space="0"/>
              <w:left w:val="single" w:color="000000" w:sz="4" w:space="0"/>
              <w:bottom w:val="nil"/>
              <w:right w:val="single" w:color="000000" w:sz="4" w:space="0"/>
            </w:tcBorders>
            <w:shd w:val="clear" w:color="auto" w:fill="auto"/>
            <w:vAlign w:val="center"/>
          </w:tcPr>
          <w:p w14:paraId="6D0B7590">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43A1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D6B1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930" w:type="dxa"/>
            <w:tcBorders>
              <w:top w:val="single" w:color="000000" w:sz="4" w:space="0"/>
              <w:left w:val="single" w:color="000000" w:sz="4" w:space="0"/>
              <w:bottom w:val="nil"/>
              <w:right w:val="single" w:color="000000" w:sz="4" w:space="0"/>
            </w:tcBorders>
            <w:shd w:val="clear" w:color="auto" w:fill="auto"/>
            <w:vAlign w:val="center"/>
          </w:tcPr>
          <w:p w14:paraId="76D9675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按照完成比例赋分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673D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F7A0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8C11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EDA6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3AEE2">
            <w:pPr>
              <w:jc w:val="center"/>
              <w:rPr>
                <w:rFonts w:hint="eastAsia" w:ascii="仿宋_GB2312" w:hAnsi="仿宋_GB2312" w:eastAsia="仿宋_GB2312" w:cs="仿宋_GB2312"/>
                <w:i w:val="0"/>
                <w:iCs w:val="0"/>
                <w:color w:val="000000"/>
                <w:sz w:val="18"/>
                <w:szCs w:val="18"/>
                <w:u w:val="none"/>
              </w:rPr>
            </w:pPr>
          </w:p>
        </w:tc>
      </w:tr>
      <w:tr w14:paraId="2566C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noWrap/>
            <w:vAlign w:val="center"/>
          </w:tcPr>
          <w:p w14:paraId="1D550F90">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right w:val="single" w:color="000000" w:sz="4" w:space="0"/>
            </w:tcBorders>
            <w:shd w:val="clear" w:color="auto" w:fill="auto"/>
            <w:vAlign w:val="center"/>
          </w:tcPr>
          <w:p w14:paraId="5325109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B099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2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D751B">
            <w:pPr>
              <w:jc w:val="both"/>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合理有效保护土地资源</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F174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有效保护</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B1598">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954A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D1BC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BE785">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按评判等级赋分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30BF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A1E0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有效保护</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B33A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83FF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0E8D5">
            <w:pPr>
              <w:jc w:val="center"/>
              <w:rPr>
                <w:rFonts w:hint="eastAsia" w:ascii="仿宋_GB2312" w:hAnsi="仿宋_GB2312" w:eastAsia="仿宋_GB2312" w:cs="仿宋_GB2312"/>
                <w:i w:val="0"/>
                <w:iCs w:val="0"/>
                <w:color w:val="000000"/>
                <w:sz w:val="18"/>
                <w:szCs w:val="18"/>
                <w:u w:val="none"/>
              </w:rPr>
            </w:pPr>
          </w:p>
        </w:tc>
      </w:tr>
      <w:tr w14:paraId="1CB17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left w:val="single" w:color="000000" w:sz="4" w:space="0"/>
              <w:bottom w:val="single" w:color="000000" w:sz="4" w:space="0"/>
              <w:right w:val="single" w:color="000000" w:sz="4" w:space="0"/>
            </w:tcBorders>
            <w:shd w:val="clear" w:color="auto" w:fill="auto"/>
            <w:noWrap/>
            <w:vAlign w:val="center"/>
          </w:tcPr>
          <w:p w14:paraId="1D0A0866">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71D2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791F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2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6C2C6">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相关部门满意度</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5F6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&gt;=92%</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B24A8">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A2FA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E4F3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C177">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满意度赋分</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0F66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F0A6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97DA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8271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C3C2">
            <w:pPr>
              <w:jc w:val="center"/>
              <w:rPr>
                <w:rFonts w:hint="eastAsia" w:ascii="仿宋_GB2312" w:hAnsi="仿宋_GB2312" w:eastAsia="仿宋_GB2312" w:cs="仿宋_GB2312"/>
                <w:i w:val="0"/>
                <w:iCs w:val="0"/>
                <w:color w:val="000000"/>
                <w:sz w:val="18"/>
                <w:szCs w:val="18"/>
                <w:u w:val="none"/>
              </w:rPr>
            </w:pPr>
          </w:p>
        </w:tc>
      </w:tr>
      <w:tr w14:paraId="1651F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836" w:type="dxa"/>
            <w:gridSpan w:val="4"/>
            <w:tcBorders>
              <w:top w:val="single" w:color="000000" w:sz="4" w:space="0"/>
              <w:left w:val="single" w:color="000000" w:sz="4" w:space="0"/>
              <w:bottom w:val="single" w:color="000000" w:sz="4" w:space="0"/>
              <w:right w:val="nil"/>
            </w:tcBorders>
            <w:shd w:val="clear" w:color="auto" w:fill="auto"/>
            <w:vAlign w:val="center"/>
          </w:tcPr>
          <w:p w14:paraId="66DBB4B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A55CC">
            <w:pPr>
              <w:jc w:val="center"/>
              <w:rPr>
                <w:rFonts w:hint="eastAsia" w:ascii="仿宋_GB2312" w:hAnsi="仿宋_GB2312" w:eastAsia="仿宋_GB2312" w:cs="仿宋_GB2312"/>
                <w:i w:val="0"/>
                <w:iCs w:val="0"/>
                <w:color w:val="000000"/>
                <w:sz w:val="18"/>
                <w:szCs w:val="18"/>
                <w:u w:val="none"/>
              </w:rPr>
            </w:pPr>
          </w:p>
        </w:tc>
        <w:tc>
          <w:tcPr>
            <w:tcW w:w="1008" w:type="dxa"/>
            <w:tcBorders>
              <w:top w:val="single" w:color="000000" w:sz="4" w:space="0"/>
              <w:left w:val="nil"/>
              <w:bottom w:val="single" w:color="000000" w:sz="4" w:space="0"/>
              <w:right w:val="single" w:color="000000" w:sz="4" w:space="0"/>
            </w:tcBorders>
            <w:shd w:val="clear" w:color="auto" w:fill="auto"/>
            <w:vAlign w:val="center"/>
          </w:tcPr>
          <w:p w14:paraId="35C7CE99">
            <w:pPr>
              <w:rPr>
                <w:rFonts w:hint="eastAsia" w:ascii="仿宋_GB2312" w:hAnsi="仿宋_GB2312" w:eastAsia="仿宋_GB2312" w:cs="仿宋_GB2312"/>
                <w:b/>
                <w:bCs/>
                <w:i w:val="0"/>
                <w:iCs w:val="0"/>
                <w:color w:val="000000"/>
                <w:sz w:val="18"/>
                <w:szCs w:val="18"/>
                <w:u w:val="none"/>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A611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C5E1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D5B0C">
            <w:pPr>
              <w:jc w:val="center"/>
              <w:rPr>
                <w:rFonts w:hint="eastAsia" w:ascii="仿宋_GB2312" w:hAnsi="仿宋_GB2312" w:eastAsia="仿宋_GB2312" w:cs="仿宋_GB2312"/>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97D2">
            <w:pPr>
              <w:rPr>
                <w:rFonts w:hint="eastAsia" w:ascii="仿宋_GB2312" w:hAnsi="仿宋_GB2312" w:eastAsia="仿宋_GB2312" w:cs="仿宋_GB2312"/>
                <w:i w:val="0"/>
                <w:iCs w:val="0"/>
                <w:color w:val="000000"/>
                <w:sz w:val="18"/>
                <w:szCs w:val="18"/>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2529E">
            <w:pPr>
              <w:jc w:val="center"/>
              <w:rPr>
                <w:rFonts w:hint="eastAsia" w:ascii="仿宋_GB2312" w:hAnsi="仿宋_GB2312" w:eastAsia="仿宋_GB2312" w:cs="仿宋_GB2312"/>
                <w:i w:val="0"/>
                <w:iCs w:val="0"/>
                <w:color w:val="000000"/>
                <w:sz w:val="18"/>
                <w:szCs w:val="18"/>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FDED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9282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1AD0A">
            <w:pPr>
              <w:rPr>
                <w:rFonts w:hint="eastAsia" w:ascii="仿宋_GB2312" w:hAnsi="仿宋_GB2312" w:eastAsia="仿宋_GB2312" w:cs="仿宋_GB2312"/>
                <w:i w:val="0"/>
                <w:iCs w:val="0"/>
                <w:color w:val="000000"/>
                <w:sz w:val="18"/>
                <w:szCs w:val="18"/>
                <w:u w:val="none"/>
              </w:rPr>
            </w:pPr>
          </w:p>
        </w:tc>
      </w:tr>
    </w:tbl>
    <w:p w14:paraId="1374731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p w14:paraId="3A55B81E">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556E8D3">
        <w:pPr>
          <w:pStyle w:val="7"/>
          <w:jc w:val="center"/>
        </w:pPr>
        <w:r>
          <w:fldChar w:fldCharType="begin"/>
        </w:r>
        <w:r>
          <w:instrText xml:space="preserve">PAGE   \* MERGEFORMAT</w:instrText>
        </w:r>
        <w:r>
          <w:fldChar w:fldCharType="separate"/>
        </w:r>
        <w:r>
          <w:rPr>
            <w:lang w:val="zh-CN"/>
          </w:rPr>
          <w:t>13</w:t>
        </w:r>
        <w:r>
          <w:fldChar w:fldCharType="end"/>
        </w:r>
      </w:p>
    </w:sdtContent>
  </w:sdt>
  <w:p w14:paraId="5C60EB36">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1A5591"/>
    <w:rsid w:val="07397B77"/>
    <w:rsid w:val="0AD007F3"/>
    <w:rsid w:val="0D082A6E"/>
    <w:rsid w:val="0E3C619F"/>
    <w:rsid w:val="0F6273CA"/>
    <w:rsid w:val="100F38EC"/>
    <w:rsid w:val="11170296"/>
    <w:rsid w:val="12C66037"/>
    <w:rsid w:val="12CD1ABC"/>
    <w:rsid w:val="132206E7"/>
    <w:rsid w:val="13471461"/>
    <w:rsid w:val="13B90F01"/>
    <w:rsid w:val="155E4C4D"/>
    <w:rsid w:val="181066D2"/>
    <w:rsid w:val="1C671E73"/>
    <w:rsid w:val="1D322C47"/>
    <w:rsid w:val="1F8132A4"/>
    <w:rsid w:val="22290DFD"/>
    <w:rsid w:val="231D3551"/>
    <w:rsid w:val="23616034"/>
    <w:rsid w:val="23696C97"/>
    <w:rsid w:val="24480FA2"/>
    <w:rsid w:val="25227A45"/>
    <w:rsid w:val="26AC3A6A"/>
    <w:rsid w:val="28163AB2"/>
    <w:rsid w:val="2897123C"/>
    <w:rsid w:val="291F7F2B"/>
    <w:rsid w:val="29B4184A"/>
    <w:rsid w:val="2B9D7E25"/>
    <w:rsid w:val="2C7C7A3B"/>
    <w:rsid w:val="2EDB0D98"/>
    <w:rsid w:val="2F364819"/>
    <w:rsid w:val="2FD63906"/>
    <w:rsid w:val="331F7181"/>
    <w:rsid w:val="33350CD4"/>
    <w:rsid w:val="37215DAE"/>
    <w:rsid w:val="38CA40DD"/>
    <w:rsid w:val="395F2B56"/>
    <w:rsid w:val="3B482032"/>
    <w:rsid w:val="3BBA0580"/>
    <w:rsid w:val="3BECE841"/>
    <w:rsid w:val="3CDE204C"/>
    <w:rsid w:val="3D363C36"/>
    <w:rsid w:val="3E9C3F6D"/>
    <w:rsid w:val="3FF7797D"/>
    <w:rsid w:val="42F16CBA"/>
    <w:rsid w:val="46690BD8"/>
    <w:rsid w:val="49355702"/>
    <w:rsid w:val="49DF22C7"/>
    <w:rsid w:val="49F70BF1"/>
    <w:rsid w:val="4B4340EE"/>
    <w:rsid w:val="4F7D33DF"/>
    <w:rsid w:val="503D507A"/>
    <w:rsid w:val="51FA74D0"/>
    <w:rsid w:val="52AA4A52"/>
    <w:rsid w:val="539D3AD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B3158B9"/>
    <w:rsid w:val="6B9B0026"/>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68F2BBA"/>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2764</Words>
  <Characters>2906</Characters>
  <Lines>58</Lines>
  <Paragraphs>16</Paragraphs>
  <TotalTime>53</TotalTime>
  <ScaleCrop>false</ScaleCrop>
  <LinksUpToDate>false</LinksUpToDate>
  <CharactersWithSpaces>2906</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2025-05-13T02:53:06Z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4DA77B26B9E4473AA91EA4C42AB38857_13</vt:lpwstr>
  </property>
  <property fmtid="{D5CDD505-2E9C-101B-9397-08002B2CF9AE}" pid="4" name="KSOTemplateDocerSaveRecord">
    <vt:lpwstr>eyJoZGlkIjoiZGU2OWVkNjVhNTc2NTNjNjZhOGJlZWQ2NTc3Njc5NGQiLCJ1c2VySWQiOiIzODQzMzMyOTcifQ==</vt:lpwstr>
  </property>
</Properties>
</file>