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30C8B">
      <w:pPr>
        <w:spacing w:after="0" w:line="240" w:lineRule="auto"/>
        <w:rPr>
          <w:rFonts w:hint="eastAsia" w:ascii="宋体" w:eastAsia="宋体"/>
          <w:sz w:val="32"/>
          <w:szCs w:val="32"/>
        </w:rPr>
      </w:pPr>
    </w:p>
    <w:p w14:paraId="62F4E2B2">
      <w:pPr>
        <w:spacing w:after="0" w:line="240" w:lineRule="auto"/>
        <w:rPr>
          <w:rFonts w:hint="eastAsia" w:ascii="宋体" w:eastAsia="宋体"/>
          <w:sz w:val="44"/>
          <w:szCs w:val="44"/>
        </w:rPr>
      </w:pPr>
    </w:p>
    <w:p w14:paraId="67A9BB53">
      <w:pPr>
        <w:spacing w:after="0" w:line="240" w:lineRule="auto"/>
        <w:rPr>
          <w:rFonts w:hint="eastAsia" w:ascii="宋体" w:eastAsia="宋体"/>
          <w:sz w:val="44"/>
          <w:szCs w:val="44"/>
        </w:rPr>
      </w:pPr>
    </w:p>
    <w:p w14:paraId="7584583C">
      <w:pPr>
        <w:spacing w:after="0" w:line="240" w:lineRule="auto"/>
        <w:rPr>
          <w:rFonts w:hint="eastAsia" w:ascii="宋体" w:eastAsia="宋体"/>
          <w:sz w:val="44"/>
          <w:szCs w:val="44"/>
        </w:rPr>
      </w:pPr>
    </w:p>
    <w:p w14:paraId="7139E40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奇台县自然资源局</w:t>
      </w:r>
    </w:p>
    <w:p w14:paraId="54ED4EC9">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2EF44D10">
      <w:pPr>
        <w:rPr>
          <w:rFonts w:hint="eastAsia"/>
          <w:lang w:eastAsia="zh-CN"/>
        </w:rPr>
      </w:pPr>
      <w:r>
        <w:rPr>
          <w:sz w:val="0"/>
          <w:szCs w:val="0"/>
          <w:lang w:eastAsia="zh-CN"/>
        </w:rPr>
        <w:br w:type="page"/>
      </w:r>
    </w:p>
    <w:p w14:paraId="6D3D22B2">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D68F63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EBB21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BF1E35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9AAAAD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367C83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F792AA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666B4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D290A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A91CB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64613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96073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428C00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A5AF3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E4EA3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D7AC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1F6F8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AABE3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F30FD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65818F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66802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F328B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121A77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323A13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68EC419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A9C7D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08CE3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7F622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893A1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29E76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42AAF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48A0B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EDF31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37A06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B4E21D0">
      <w:pPr>
        <w:rPr>
          <w:rFonts w:hint="eastAsia"/>
          <w:lang w:eastAsia="zh-CN"/>
        </w:rPr>
      </w:pPr>
      <w:r>
        <w:rPr>
          <w:sz w:val="0"/>
          <w:szCs w:val="0"/>
          <w:lang w:eastAsia="zh-CN"/>
        </w:rPr>
        <w:br w:type="page"/>
      </w:r>
    </w:p>
    <w:p w14:paraId="4F73DF4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B48D7B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40800E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（1）履行全民所有土地、矿产、森林、草原、湿地、水等自然资源资产所有者职责和所有国土空间用途管制职责</w:t>
      </w:r>
      <w:r>
        <w:rPr>
          <w:rFonts w:hint="eastAsia" w:ascii="仿宋_GB2312" w:eastAsia="仿宋_GB2312"/>
          <w:sz w:val="32"/>
          <w:szCs w:val="32"/>
          <w:lang w:eastAsia="zh-CN"/>
        </w:rPr>
        <w:t>；</w:t>
      </w:r>
    </w:p>
    <w:p w14:paraId="00618E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（2）贯彻执行自然资源、国土空间规划、城乡规划和测绘地理信息等法律法规。负责自然资源调查监测评价；</w:t>
      </w:r>
    </w:p>
    <w:p w14:paraId="33B441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负责自然资源统一确权登记工作；负责自然资源资产有偿使用工作；负责自然资源的合理开发利用，负责全县自然资源市场监管；负责建立空间规划体系并组织实施，负责全县土地等国土空间用途转用工作及土地征收征用管理；</w:t>
      </w:r>
    </w:p>
    <w:p w14:paraId="5D1BCE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负责组织编制全县城镇体系规划、总体规划、控制性详细规划、修建性详细规划、分区规划以及各类专项规划；指导编制各乡（镇）总体规划、村庄建设规划；负责权限内规划许可工作；指导城镇地下空间开发利用的规划管理工作；负责城乡规划审核、实施、修改工作；负责组织各类规划实施情况的检查和各类建设项目的规划监督管理；</w:t>
      </w:r>
    </w:p>
    <w:p w14:paraId="5C62DF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负责全县城乡规划的行政执法管理；负责统筹国土空间生态修复，负责全县国土空间综合整治、土地整理复垦、矿山地质环境恢复治理等工作；贯彻落实最严格的耕地保护制度；负责矿产资源管理工作，负责县矿产资源储量管理及压覆矿产资源审查；负责地质资料汇交、保管和利用；负责管理全县地质勘查工作；负责全县地质灾害预防和治理，监督管理地下水过量开采引发的地面沉降等地质问题；负责全县古生物化石的监督管理；</w:t>
      </w:r>
    </w:p>
    <w:p w14:paraId="67B12E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（6）负责落实综合防灾减灾规划相关要求，负责行业安全生产相关工作，组织编制全县地质灾害防治规划、执行防护标准并组织实施；</w:t>
      </w:r>
    </w:p>
    <w:p w14:paraId="24897C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负责测绘地理信息管理工作。推动自然资源领域科技发展。制定并实施全县自然资源领域科技创新发展和人才培养规划和计划。推进自然资源信息化和信息资料的公共服务。监督检查各乡（镇）执行和遵守自然资源法律法规的情况，依法调查处理县国土空间规划和自然资源违法案件。</w:t>
      </w:r>
    </w:p>
    <w:p w14:paraId="4967D08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EB725B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奇台县自然资源局2024年度，实有人数87人，其中：在职人员63人，减少2人；离休人员0人，较上年无变化；退休人员24人，减少20人。</w:t>
      </w:r>
    </w:p>
    <w:p w14:paraId="432F3F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奇台县自然资源局无下属预算单位，下设6个</w:t>
      </w:r>
      <w:r>
        <w:rPr>
          <w:rFonts w:hint="eastAsia" w:ascii="仿宋_GB2312" w:eastAsia="仿宋_GB2312"/>
          <w:sz w:val="32"/>
          <w:szCs w:val="32"/>
          <w:lang w:eastAsia="zh-CN"/>
        </w:rPr>
        <w:t>科室</w:t>
      </w:r>
      <w:r>
        <w:rPr>
          <w:rFonts w:ascii="仿宋_GB2312" w:eastAsia="仿宋_GB2312"/>
          <w:sz w:val="32"/>
          <w:szCs w:val="32"/>
          <w:lang w:eastAsia="zh-CN"/>
        </w:rPr>
        <w:t>，分别是：办公室、矿产资源管理股、确权与地理信息测绘股、开发利用股、耕地保护与用途管制股、国土空间和城乡规划管理股。</w:t>
      </w:r>
    </w:p>
    <w:p w14:paraId="0699EBDE">
      <w:pPr>
        <w:rPr>
          <w:rFonts w:hint="eastAsia"/>
          <w:lang w:eastAsia="zh-CN"/>
        </w:rPr>
      </w:pPr>
      <w:r>
        <w:rPr>
          <w:sz w:val="0"/>
          <w:szCs w:val="0"/>
          <w:lang w:eastAsia="zh-CN"/>
        </w:rPr>
        <w:br w:type="page"/>
      </w:r>
    </w:p>
    <w:p w14:paraId="59FA5BE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4A530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0300E0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2024年度收入总计8,289.91万元，其中：本年收入合计8,289.91万元，使用非财政拨款结余（含专用结余）0.00万元，年初结转和结余0.00万元。</w:t>
      </w:r>
    </w:p>
    <w:p w14:paraId="4E95FC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2024年度支出总计8,289.91万元，其中：本年支出合计8,289.91万元，结余分配0.00万元，年末结转和结余0.00万元。</w:t>
      </w:r>
    </w:p>
    <w:p w14:paraId="6AFC07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收入支出总体与上年相比，增加5,195.11万元，增长167.87%，主要原因是：本年</w:t>
      </w:r>
      <w:r>
        <w:rPr>
          <w:rFonts w:hint="eastAsia" w:ascii="仿宋_GB2312" w:eastAsia="仿宋_GB2312"/>
          <w:sz w:val="32"/>
          <w:szCs w:val="32"/>
          <w:lang w:val="en-US" w:eastAsia="zh-CN"/>
        </w:rPr>
        <w:t>单位增加</w:t>
      </w:r>
      <w:r>
        <w:rPr>
          <w:rFonts w:ascii="仿宋_GB2312" w:eastAsia="仿宋_GB2312"/>
          <w:sz w:val="32"/>
          <w:szCs w:val="32"/>
          <w:lang w:eastAsia="zh-CN"/>
        </w:rPr>
        <w:t>建设用地报批项目</w:t>
      </w:r>
      <w:r>
        <w:rPr>
          <w:rFonts w:hint="eastAsia" w:ascii="仿宋_GB2312" w:eastAsia="仿宋_GB2312"/>
          <w:sz w:val="32"/>
          <w:szCs w:val="32"/>
          <w:lang w:eastAsia="zh-CN"/>
        </w:rPr>
        <w:t>、</w:t>
      </w:r>
      <w:r>
        <w:rPr>
          <w:rFonts w:ascii="仿宋_GB2312" w:eastAsia="仿宋_GB2312"/>
          <w:sz w:val="32"/>
          <w:szCs w:val="32"/>
          <w:lang w:eastAsia="zh-CN"/>
        </w:rPr>
        <w:t>土地开发利用项目</w:t>
      </w:r>
      <w:r>
        <w:rPr>
          <w:rFonts w:hint="eastAsia" w:ascii="仿宋_GB2312" w:eastAsia="仿宋_GB2312"/>
          <w:sz w:val="32"/>
          <w:szCs w:val="32"/>
          <w:lang w:val="en-US" w:eastAsia="zh-CN"/>
        </w:rPr>
        <w:t>及</w:t>
      </w:r>
      <w:r>
        <w:rPr>
          <w:rFonts w:hint="eastAsia" w:ascii="仿宋_GB2312" w:eastAsia="仿宋_GB2312"/>
          <w:sz w:val="32"/>
          <w:szCs w:val="32"/>
          <w:lang w:eastAsia="zh-CN"/>
        </w:rPr>
        <w:t>西北湾镇西北湾村征地补偿费及宗地城市绿化和拟修建幼儿园占用部分国有建设用地使用权补偿费用</w:t>
      </w:r>
      <w:r>
        <w:rPr>
          <w:rFonts w:hint="eastAsia" w:ascii="仿宋_GB2312" w:eastAsia="仿宋_GB2312"/>
          <w:sz w:val="32"/>
          <w:szCs w:val="32"/>
          <w:lang w:val="en-US" w:eastAsia="zh-CN"/>
        </w:rPr>
        <w:t>等</w:t>
      </w:r>
      <w:r>
        <w:rPr>
          <w:rFonts w:ascii="仿宋_GB2312" w:eastAsia="仿宋_GB2312"/>
          <w:sz w:val="32"/>
          <w:szCs w:val="32"/>
          <w:lang w:eastAsia="zh-CN"/>
        </w:rPr>
        <w:t>。</w:t>
      </w:r>
    </w:p>
    <w:p w14:paraId="61B14F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A53CB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本年收入8,289.91万元，其中：财政拨款收入7,827.42万元,占94.42%；上级补助收入0.00万元,占0.00%；事业收入0.00万元，占0.00%；经营收入0.00万元,占0.00%；附属单位上缴收入0.00万元，占0.00%；其他收入462.49万元，占5.58%。</w:t>
      </w:r>
    </w:p>
    <w:p w14:paraId="2BBA905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F40D6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本年支出8,289.91万元，其中：基本支出1,253.14万元，占15.12%；项目支出7,036.76万元，占84.88%；上缴上级支出0.00万元，占0.00%；经营支出0.00万元，占0.00%；对附属单位补助支出0.00万元，占0.00%。</w:t>
      </w:r>
    </w:p>
    <w:p w14:paraId="656B94E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B3D59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7,827.42万元，其中：年初财政拨款结转和结余0.00万元，本年财政拨款收入7,827.42万元。财政拨款支出总计7,827.42万元，其中：年末财政拨款结转和结余0.00万元，本年财政拨款支出7,827.42万元。</w:t>
      </w:r>
    </w:p>
    <w:p w14:paraId="2BA665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财政拨款收入支出总体与上年相比，增加5,048.61万元，增长181.68%，主要原因是：本年</w:t>
      </w:r>
      <w:r>
        <w:rPr>
          <w:rFonts w:hint="eastAsia" w:ascii="仿宋_GB2312" w:eastAsia="仿宋_GB2312"/>
          <w:sz w:val="32"/>
          <w:szCs w:val="32"/>
          <w:lang w:val="en-US" w:eastAsia="zh-CN"/>
        </w:rPr>
        <w:t>单位增加</w:t>
      </w:r>
      <w:r>
        <w:rPr>
          <w:rFonts w:ascii="仿宋_GB2312" w:eastAsia="仿宋_GB2312"/>
          <w:sz w:val="32"/>
          <w:szCs w:val="32"/>
          <w:lang w:eastAsia="zh-CN"/>
        </w:rPr>
        <w:t>建设用地报批项目</w:t>
      </w:r>
      <w:r>
        <w:rPr>
          <w:rFonts w:hint="eastAsia" w:ascii="仿宋_GB2312" w:eastAsia="仿宋_GB2312"/>
          <w:sz w:val="32"/>
          <w:szCs w:val="32"/>
          <w:lang w:eastAsia="zh-CN"/>
        </w:rPr>
        <w:t>、</w:t>
      </w:r>
      <w:r>
        <w:rPr>
          <w:rFonts w:ascii="仿宋_GB2312" w:eastAsia="仿宋_GB2312"/>
          <w:sz w:val="32"/>
          <w:szCs w:val="32"/>
          <w:lang w:eastAsia="zh-CN"/>
        </w:rPr>
        <w:t>土地开发利用项目</w:t>
      </w:r>
      <w:r>
        <w:rPr>
          <w:rFonts w:hint="eastAsia" w:ascii="仿宋_GB2312" w:eastAsia="仿宋_GB2312"/>
          <w:sz w:val="32"/>
          <w:szCs w:val="32"/>
          <w:lang w:val="en-US" w:eastAsia="zh-CN"/>
        </w:rPr>
        <w:t>及</w:t>
      </w:r>
      <w:r>
        <w:rPr>
          <w:rFonts w:hint="eastAsia" w:ascii="仿宋_GB2312" w:eastAsia="仿宋_GB2312"/>
          <w:sz w:val="32"/>
          <w:szCs w:val="32"/>
          <w:lang w:eastAsia="zh-CN"/>
        </w:rPr>
        <w:t>西北湾镇西北湾村征地补偿费及宗地城市绿化和拟修建幼儿园占用部分国有建设用地使用权补偿费用</w:t>
      </w:r>
      <w:r>
        <w:rPr>
          <w:rFonts w:hint="eastAsia" w:ascii="仿宋_GB2312" w:eastAsia="仿宋_GB2312"/>
          <w:sz w:val="32"/>
          <w:szCs w:val="32"/>
          <w:lang w:val="en-US" w:eastAsia="zh-CN"/>
        </w:rPr>
        <w:t>等</w:t>
      </w:r>
      <w:r>
        <w:rPr>
          <w:rFonts w:ascii="仿宋_GB2312" w:eastAsia="仿宋_GB2312"/>
          <w:sz w:val="32"/>
          <w:szCs w:val="32"/>
          <w:lang w:eastAsia="zh-CN"/>
        </w:rPr>
        <w:t>。与年初预算相比，年初预算数1,276.93万元，决算数7,827.42万元，预决算差异率512.99%，主要原因是：</w:t>
      </w:r>
      <w:r>
        <w:rPr>
          <w:rFonts w:hint="eastAsia" w:ascii="仿宋_GB2312" w:eastAsia="仿宋_GB2312"/>
          <w:sz w:val="32"/>
          <w:szCs w:val="32"/>
          <w:lang w:val="en-US" w:eastAsia="zh-CN"/>
        </w:rPr>
        <w:t>年中追加</w:t>
      </w:r>
      <w:r>
        <w:rPr>
          <w:rFonts w:ascii="仿宋_GB2312" w:eastAsia="仿宋_GB2312"/>
          <w:sz w:val="32"/>
          <w:szCs w:val="32"/>
          <w:lang w:eastAsia="zh-CN"/>
        </w:rPr>
        <w:t>建设用地报批项目</w:t>
      </w:r>
      <w:r>
        <w:rPr>
          <w:rFonts w:hint="eastAsia" w:ascii="仿宋_GB2312" w:eastAsia="仿宋_GB2312"/>
          <w:sz w:val="32"/>
          <w:szCs w:val="32"/>
          <w:lang w:eastAsia="zh-CN"/>
        </w:rPr>
        <w:t>、</w:t>
      </w:r>
      <w:r>
        <w:rPr>
          <w:rFonts w:ascii="仿宋_GB2312" w:eastAsia="仿宋_GB2312"/>
          <w:sz w:val="32"/>
          <w:szCs w:val="32"/>
          <w:lang w:eastAsia="zh-CN"/>
        </w:rPr>
        <w:t>土地开发利用项目</w:t>
      </w:r>
      <w:r>
        <w:rPr>
          <w:rFonts w:hint="eastAsia" w:ascii="仿宋_GB2312" w:eastAsia="仿宋_GB2312"/>
          <w:sz w:val="32"/>
          <w:szCs w:val="32"/>
          <w:lang w:val="en-US" w:eastAsia="zh-CN"/>
        </w:rPr>
        <w:t>及</w:t>
      </w:r>
      <w:r>
        <w:rPr>
          <w:rFonts w:hint="eastAsia" w:ascii="仿宋_GB2312" w:eastAsia="仿宋_GB2312"/>
          <w:sz w:val="32"/>
          <w:szCs w:val="32"/>
          <w:lang w:eastAsia="zh-CN"/>
        </w:rPr>
        <w:t>西北湾镇西北湾村征地补偿费及宗地城市绿化和拟修建幼儿园占用部分国有建设用地使用权补偿费用</w:t>
      </w:r>
      <w:r>
        <w:rPr>
          <w:rFonts w:hint="eastAsia" w:ascii="仿宋_GB2312" w:eastAsia="仿宋_GB2312"/>
          <w:sz w:val="32"/>
          <w:szCs w:val="32"/>
          <w:lang w:val="en-US" w:eastAsia="zh-CN"/>
        </w:rPr>
        <w:t>等</w:t>
      </w:r>
      <w:r>
        <w:rPr>
          <w:rFonts w:ascii="仿宋_GB2312" w:eastAsia="仿宋_GB2312"/>
          <w:sz w:val="32"/>
          <w:szCs w:val="32"/>
          <w:lang w:eastAsia="zh-CN"/>
        </w:rPr>
        <w:t>。</w:t>
      </w:r>
    </w:p>
    <w:p w14:paraId="2996211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F813BE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1BE351F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2024年度一般公共预算财政拨款支出7,085.41万元，占本年支出合计的85.47%。与上年相比，增加4,306.60万元，增长154.98%，主要原因是：本年</w:t>
      </w:r>
      <w:r>
        <w:rPr>
          <w:rFonts w:hint="eastAsia" w:ascii="仿宋_GB2312" w:eastAsia="仿宋_GB2312"/>
          <w:sz w:val="32"/>
          <w:szCs w:val="32"/>
          <w:lang w:val="en-US" w:eastAsia="zh-CN"/>
        </w:rPr>
        <w:t>单位增加</w:t>
      </w:r>
      <w:r>
        <w:rPr>
          <w:rFonts w:ascii="仿宋_GB2312" w:eastAsia="仿宋_GB2312"/>
          <w:sz w:val="32"/>
          <w:szCs w:val="32"/>
          <w:lang w:eastAsia="zh-CN"/>
        </w:rPr>
        <w:t>建设用地报批项目</w:t>
      </w:r>
      <w:r>
        <w:rPr>
          <w:rFonts w:hint="eastAsia" w:ascii="仿宋_GB2312" w:eastAsia="仿宋_GB2312"/>
          <w:sz w:val="32"/>
          <w:szCs w:val="32"/>
          <w:lang w:eastAsia="zh-CN"/>
        </w:rPr>
        <w:t>、</w:t>
      </w:r>
      <w:r>
        <w:rPr>
          <w:rFonts w:ascii="仿宋_GB2312" w:eastAsia="仿宋_GB2312"/>
          <w:sz w:val="32"/>
          <w:szCs w:val="32"/>
          <w:lang w:eastAsia="zh-CN"/>
        </w:rPr>
        <w:t>土地开发利用项目</w:t>
      </w:r>
      <w:r>
        <w:rPr>
          <w:rFonts w:hint="eastAsia" w:ascii="仿宋_GB2312" w:eastAsia="仿宋_GB2312"/>
          <w:sz w:val="32"/>
          <w:szCs w:val="32"/>
          <w:lang w:val="en-US" w:eastAsia="zh-CN"/>
        </w:rPr>
        <w:t>及</w:t>
      </w:r>
      <w:r>
        <w:rPr>
          <w:rFonts w:hint="eastAsia" w:ascii="仿宋_GB2312" w:eastAsia="仿宋_GB2312"/>
          <w:sz w:val="32"/>
          <w:szCs w:val="32"/>
          <w:lang w:eastAsia="zh-CN"/>
        </w:rPr>
        <w:t>西北湾镇西北湾村征地补偿费及宗地城市绿化和拟修建幼儿园占用部分国有建设用地使用权补偿费用</w:t>
      </w:r>
      <w:r>
        <w:rPr>
          <w:rFonts w:hint="eastAsia" w:ascii="仿宋_GB2312" w:eastAsia="仿宋_GB2312"/>
          <w:sz w:val="32"/>
          <w:szCs w:val="32"/>
          <w:lang w:val="en-US" w:eastAsia="zh-CN"/>
        </w:rPr>
        <w:t>等</w:t>
      </w:r>
      <w:r>
        <w:rPr>
          <w:rFonts w:ascii="仿宋_GB2312" w:eastAsia="仿宋_GB2312"/>
          <w:sz w:val="32"/>
          <w:szCs w:val="32"/>
          <w:lang w:eastAsia="zh-CN"/>
        </w:rPr>
        <w:t>。与年初预算相比，年初预算数1,246.93万元，决算数7,085.41万元，预决算差异率468.23%，主要原因是：</w:t>
      </w:r>
      <w:r>
        <w:rPr>
          <w:rFonts w:hint="eastAsia" w:ascii="仿宋_GB2312" w:eastAsia="仿宋_GB2312"/>
          <w:sz w:val="32"/>
          <w:szCs w:val="32"/>
          <w:lang w:val="en-US" w:eastAsia="zh-CN"/>
        </w:rPr>
        <w:t>年中追加</w:t>
      </w:r>
      <w:r>
        <w:rPr>
          <w:rFonts w:ascii="仿宋_GB2312" w:eastAsia="仿宋_GB2312"/>
          <w:sz w:val="32"/>
          <w:szCs w:val="32"/>
          <w:lang w:eastAsia="zh-CN"/>
        </w:rPr>
        <w:t>建设用地报批项目</w:t>
      </w:r>
      <w:r>
        <w:rPr>
          <w:rFonts w:hint="eastAsia" w:ascii="仿宋_GB2312" w:eastAsia="仿宋_GB2312"/>
          <w:sz w:val="32"/>
          <w:szCs w:val="32"/>
          <w:lang w:eastAsia="zh-CN"/>
        </w:rPr>
        <w:t>、</w:t>
      </w:r>
      <w:r>
        <w:rPr>
          <w:rFonts w:ascii="仿宋_GB2312" w:eastAsia="仿宋_GB2312"/>
          <w:sz w:val="32"/>
          <w:szCs w:val="32"/>
          <w:lang w:eastAsia="zh-CN"/>
        </w:rPr>
        <w:t>土地开发利用项目</w:t>
      </w:r>
      <w:r>
        <w:rPr>
          <w:rFonts w:hint="eastAsia" w:ascii="仿宋_GB2312" w:eastAsia="仿宋_GB2312"/>
          <w:sz w:val="32"/>
          <w:szCs w:val="32"/>
          <w:lang w:val="en-US" w:eastAsia="zh-CN"/>
        </w:rPr>
        <w:t>及</w:t>
      </w:r>
      <w:r>
        <w:rPr>
          <w:rFonts w:hint="eastAsia" w:ascii="仿宋_GB2312" w:eastAsia="仿宋_GB2312"/>
          <w:sz w:val="32"/>
          <w:szCs w:val="32"/>
          <w:lang w:eastAsia="zh-CN"/>
        </w:rPr>
        <w:t>西北湾镇西北湾村征地补偿费及宗地城市绿化和拟修建幼儿园占用部分国有建设用地使用权补偿费用</w:t>
      </w:r>
      <w:r>
        <w:rPr>
          <w:rFonts w:hint="eastAsia" w:ascii="仿宋_GB2312" w:eastAsia="仿宋_GB2312"/>
          <w:sz w:val="32"/>
          <w:szCs w:val="32"/>
          <w:lang w:val="en-US" w:eastAsia="zh-CN"/>
        </w:rPr>
        <w:t>等</w:t>
      </w:r>
      <w:r>
        <w:rPr>
          <w:rFonts w:ascii="仿宋_GB2312" w:eastAsia="仿宋_GB2312"/>
          <w:sz w:val="32"/>
          <w:szCs w:val="32"/>
          <w:lang w:eastAsia="zh-CN"/>
        </w:rPr>
        <w:t>。</w:t>
      </w:r>
    </w:p>
    <w:p w14:paraId="7ACBB31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3A15A3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一般公共服务支出（类）10.00万元，占0.14%。</w:t>
      </w:r>
    </w:p>
    <w:p w14:paraId="100E849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社会保障和就业支出（类）202.41万元，占2.86%。</w:t>
      </w:r>
    </w:p>
    <w:p w14:paraId="1801468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卫生健康支出（类）62.31万元，占0.88%。</w:t>
      </w:r>
    </w:p>
    <w:p w14:paraId="03FBB9A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城乡社区支出（类）4,227.92万元，占59.67%。</w:t>
      </w:r>
    </w:p>
    <w:p w14:paraId="6B0E2B3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资源勘探工业信息等支出（类）0.06万元，占0.00%。</w:t>
      </w:r>
    </w:p>
    <w:p w14:paraId="199D886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自然资源海洋气象等支出（类）2,481.55万元，占35.02%。</w:t>
      </w:r>
    </w:p>
    <w:p w14:paraId="4B865E3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住房保障支出（类）86.17万元，占1.22%。</w:t>
      </w:r>
    </w:p>
    <w:p w14:paraId="7CDA11F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其他支出（类）15.00万元，占0.21%。</w:t>
      </w:r>
    </w:p>
    <w:p w14:paraId="54EF24D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565214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1、一般公共服务支出（类）发展与改革事务（款）其他发展与改革事务支出（项）：支出决算数为10.00万元，比上年决算增加10.00万元，增长100.00%，主要原因是：</w:t>
      </w:r>
      <w:r>
        <w:rPr>
          <w:rFonts w:hint="eastAsia" w:ascii="仿宋_GB2312" w:eastAsia="仿宋_GB2312"/>
          <w:sz w:val="32"/>
          <w:szCs w:val="32"/>
          <w:lang w:eastAsia="zh-CN"/>
        </w:rPr>
        <w:t>本年增加奇台县半截沟镇排危除险7个防灾减灾项目经费</w:t>
      </w:r>
      <w:r>
        <w:rPr>
          <w:rFonts w:ascii="仿宋_GB2312" w:eastAsia="仿宋_GB2312"/>
          <w:sz w:val="32"/>
          <w:szCs w:val="32"/>
          <w:lang w:eastAsia="zh-CN"/>
        </w:rPr>
        <w:t>。</w:t>
      </w:r>
    </w:p>
    <w:p w14:paraId="43BB4E9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2、社会保障和就业支出（类）行政事业单位养老支出（款）行政单位离退休（项）：支出决算数为20.47万元，比上年决算增加0.70万元，增长3.54%，主要原因是：</w:t>
      </w:r>
      <w:r>
        <w:rPr>
          <w:rFonts w:hint="eastAsia" w:ascii="仿宋_GB2312" w:eastAsia="仿宋_GB2312"/>
          <w:sz w:val="32"/>
          <w:szCs w:val="32"/>
          <w:lang w:eastAsia="zh-CN"/>
        </w:rPr>
        <w:t>本年补发单位退休人员以前年度取暖费及交通费</w:t>
      </w:r>
      <w:r>
        <w:rPr>
          <w:rFonts w:ascii="仿宋_GB2312" w:eastAsia="仿宋_GB2312"/>
          <w:sz w:val="32"/>
          <w:szCs w:val="32"/>
          <w:lang w:eastAsia="zh-CN"/>
        </w:rPr>
        <w:t>。</w:t>
      </w:r>
    </w:p>
    <w:p w14:paraId="03C35CA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3、社会保障和就业支出（类）行政事业单位养老支出（款）机关事业单位基本养老保险缴费支出（项）：支出决算数为109.61万元，比上年决算增加25.18万元，增长29.82%，主要原因是：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ascii="仿宋_GB2312" w:eastAsia="仿宋_GB2312"/>
          <w:sz w:val="32"/>
          <w:szCs w:val="32"/>
          <w:lang w:eastAsia="zh-CN"/>
        </w:rPr>
        <w:t>。</w:t>
      </w:r>
    </w:p>
    <w:p w14:paraId="78C69CC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4、社会保障和就业支出（类）行政事业单位养老支出（款）机关事业单位职业年金缴费支出（项）：支出决算数为72.32万元，比上年决算增加36.90万元，增长104.18%，主要原因是：</w:t>
      </w:r>
      <w:bookmarkStart w:id="1" w:name="_Hlk208412698"/>
      <w:r>
        <w:rPr>
          <w:rFonts w:hint="eastAsia" w:ascii="仿宋_GB2312" w:eastAsia="仿宋_GB2312"/>
          <w:sz w:val="32"/>
          <w:szCs w:val="32"/>
          <w:lang w:eastAsia="zh-CN"/>
        </w:rPr>
        <w:t>本年增加人员</w:t>
      </w:r>
      <w:bookmarkStart w:id="2" w:name="_Hlk209006861"/>
      <w:r>
        <w:rPr>
          <w:rFonts w:hint="eastAsia" w:ascii="仿宋_GB2312" w:eastAsia="仿宋_GB2312"/>
          <w:sz w:val="32"/>
          <w:szCs w:val="32"/>
          <w:lang w:eastAsia="zh-CN"/>
        </w:rPr>
        <w:t>一次性职业年金缴费</w:t>
      </w:r>
      <w:bookmarkEnd w:id="1"/>
      <w:bookmarkEnd w:id="2"/>
      <w:r>
        <w:rPr>
          <w:rFonts w:ascii="仿宋_GB2312" w:eastAsia="仿宋_GB2312"/>
          <w:sz w:val="32"/>
          <w:szCs w:val="32"/>
          <w:lang w:eastAsia="zh-CN"/>
        </w:rPr>
        <w:t>。</w:t>
      </w:r>
    </w:p>
    <w:p w14:paraId="76787E6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5、社会保障和就业支出（类）抚恤（款）死亡抚恤（项）：支出决算数为0.00万元，比上年决算减少29.26万元，下降100.00%，主要原因是：</w:t>
      </w:r>
      <w:r>
        <w:rPr>
          <w:rFonts w:hint="eastAsia" w:ascii="仿宋_GB2312" w:eastAsia="仿宋_GB2312"/>
          <w:sz w:val="32"/>
          <w:szCs w:val="32"/>
          <w:lang w:eastAsia="zh-CN"/>
        </w:rPr>
        <w:t>单位上年有退休人员去世，发放人员死亡抚恤金，本年单位无退休人员去世，</w:t>
      </w:r>
      <w:r>
        <w:rPr>
          <w:rFonts w:hint="eastAsia" w:ascii="仿宋_GB2312" w:eastAsia="仿宋_GB2312"/>
          <w:sz w:val="32"/>
          <w:szCs w:val="32"/>
          <w:lang w:val="en-US" w:eastAsia="zh-CN"/>
        </w:rPr>
        <w:t>因此减少此项经费</w:t>
      </w:r>
      <w:r>
        <w:rPr>
          <w:rFonts w:hint="eastAsia" w:ascii="仿宋_GB2312" w:eastAsia="仿宋_GB2312"/>
          <w:sz w:val="32"/>
          <w:szCs w:val="32"/>
          <w:lang w:eastAsia="zh-CN"/>
        </w:rPr>
        <w:t>。</w:t>
      </w:r>
    </w:p>
    <w:p w14:paraId="079599E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6、卫生健康支出（类）行政事业单位医疗（款）行政单位医疗（项）：支出决算数为20.18万元，比上年决算减少23.17万元，下降53.45%，主要原因是：</w:t>
      </w:r>
      <w:r>
        <w:rPr>
          <w:rFonts w:hint="eastAsia" w:ascii="仿宋_GB2312" w:eastAsia="仿宋_GB2312"/>
          <w:sz w:val="32"/>
          <w:szCs w:val="32"/>
          <w:lang w:eastAsia="zh-CN"/>
        </w:rPr>
        <w:t>本年单位调出2名行政人员，行政人员职工基本医疗保险缴费减少</w:t>
      </w:r>
      <w:r>
        <w:rPr>
          <w:rFonts w:ascii="仿宋_GB2312" w:eastAsia="仿宋_GB2312"/>
          <w:sz w:val="32"/>
          <w:szCs w:val="32"/>
          <w:lang w:eastAsia="zh-CN"/>
        </w:rPr>
        <w:t>。</w:t>
      </w:r>
    </w:p>
    <w:p w14:paraId="113EB34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7、卫生健康支出（类）行政事业单位医疗（款）事业单位医疗（项）：支出决算数为36.16万元，比上年决算增加36.16万元，增长100.00%，主要原因是：</w:t>
      </w:r>
      <w:r>
        <w:rPr>
          <w:rFonts w:hint="eastAsia" w:ascii="仿宋_GB2312" w:eastAsia="仿宋_GB2312"/>
          <w:sz w:val="32"/>
          <w:szCs w:val="32"/>
          <w:lang w:eastAsia="zh-CN"/>
        </w:rPr>
        <w:t>本年单位医疗保险缴费基数调增，事业人员职工基本医疗保险缴费增加</w:t>
      </w:r>
      <w:r>
        <w:rPr>
          <w:rFonts w:ascii="仿宋_GB2312" w:eastAsia="仿宋_GB2312"/>
          <w:sz w:val="32"/>
          <w:szCs w:val="32"/>
          <w:lang w:eastAsia="zh-CN"/>
        </w:rPr>
        <w:t>。</w:t>
      </w:r>
    </w:p>
    <w:p w14:paraId="2D6F60C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8、卫生健康支出（类）行政事业单位医疗（款）公务员医疗补助（项）：支出决算数为5.57万元，比上年决算增加0.52万元，增长10.30%，主要原因是：本年依据上年工资</w:t>
      </w:r>
      <w:r>
        <w:rPr>
          <w:rFonts w:hint="eastAsia" w:ascii="仿宋_GB2312" w:eastAsia="仿宋_GB2312"/>
          <w:sz w:val="32"/>
          <w:szCs w:val="32"/>
          <w:lang w:eastAsia="zh-CN"/>
        </w:rPr>
        <w:t>调增</w:t>
      </w:r>
      <w:r>
        <w:rPr>
          <w:rFonts w:ascii="仿宋_GB2312" w:eastAsia="仿宋_GB2312"/>
          <w:sz w:val="32"/>
          <w:szCs w:val="32"/>
          <w:lang w:eastAsia="zh-CN"/>
        </w:rPr>
        <w:t>医疗补助</w:t>
      </w:r>
      <w:r>
        <w:rPr>
          <w:rFonts w:hint="eastAsia" w:ascii="仿宋_GB2312" w:eastAsia="仿宋_GB2312"/>
          <w:sz w:val="32"/>
          <w:szCs w:val="32"/>
          <w:lang w:eastAsia="zh-CN"/>
        </w:rPr>
        <w:t>缴费基数</w:t>
      </w:r>
      <w:r>
        <w:rPr>
          <w:rFonts w:ascii="仿宋_GB2312" w:eastAsia="仿宋_GB2312"/>
          <w:sz w:val="32"/>
          <w:szCs w:val="32"/>
          <w:lang w:eastAsia="zh-CN"/>
        </w:rPr>
        <w:t>，</w:t>
      </w:r>
      <w:r>
        <w:rPr>
          <w:rFonts w:hint="eastAsia" w:ascii="仿宋_GB2312" w:eastAsia="仿宋_GB2312"/>
          <w:sz w:val="32"/>
          <w:szCs w:val="32"/>
          <w:lang w:eastAsia="zh-CN"/>
        </w:rPr>
        <w:t>单位</w:t>
      </w:r>
      <w:r>
        <w:rPr>
          <w:rFonts w:ascii="仿宋_GB2312" w:eastAsia="仿宋_GB2312"/>
          <w:sz w:val="32"/>
          <w:szCs w:val="32"/>
          <w:lang w:eastAsia="zh-CN"/>
        </w:rPr>
        <w:t>公务员医疗补助</w:t>
      </w:r>
      <w:r>
        <w:rPr>
          <w:rFonts w:hint="eastAsia" w:ascii="仿宋_GB2312" w:eastAsia="仿宋_GB2312"/>
          <w:sz w:val="32"/>
          <w:szCs w:val="32"/>
          <w:lang w:eastAsia="zh-CN"/>
        </w:rPr>
        <w:t>缴费增加。</w:t>
      </w:r>
    </w:p>
    <w:p w14:paraId="24E0E44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9、卫生健康支出（类）行政事业单位医疗（款）其他行政事业单位医疗支出（项）：支出决算数为0.41万元，比上年决算减少0.22万元，下降34.92%，主要原因是：</w:t>
      </w:r>
      <w:r>
        <w:rPr>
          <w:rFonts w:hint="eastAsia" w:ascii="仿宋_GB2312" w:eastAsia="仿宋_GB2312"/>
          <w:sz w:val="32"/>
          <w:szCs w:val="32"/>
          <w:lang w:eastAsia="zh-CN"/>
        </w:rPr>
        <w:t>单位人员减少，</w:t>
      </w:r>
      <w:bookmarkStart w:id="3" w:name="_Hlk209002264"/>
      <w:r>
        <w:rPr>
          <w:rFonts w:hint="eastAsia" w:ascii="仿宋_GB2312" w:eastAsia="仿宋_GB2312"/>
          <w:sz w:val="32"/>
          <w:szCs w:val="32"/>
          <w:lang w:eastAsia="zh-CN"/>
        </w:rPr>
        <w:t>人员</w:t>
      </w:r>
      <w:bookmarkStart w:id="4" w:name="_Hlk207798382"/>
      <w:r>
        <w:rPr>
          <w:rFonts w:hint="eastAsia" w:ascii="仿宋_GB2312" w:eastAsia="仿宋_GB2312"/>
          <w:sz w:val="32"/>
          <w:szCs w:val="32"/>
          <w:lang w:eastAsia="zh-CN"/>
        </w:rPr>
        <w:t>大额医疗补助缴费</w:t>
      </w:r>
      <w:bookmarkEnd w:id="3"/>
      <w:bookmarkEnd w:id="4"/>
      <w:r>
        <w:rPr>
          <w:rFonts w:hint="eastAsia" w:ascii="仿宋_GB2312" w:eastAsia="仿宋_GB2312"/>
          <w:sz w:val="32"/>
          <w:szCs w:val="32"/>
          <w:lang w:eastAsia="zh-CN"/>
        </w:rPr>
        <w:t>减少</w:t>
      </w:r>
      <w:r>
        <w:rPr>
          <w:rFonts w:ascii="仿宋_GB2312" w:eastAsia="仿宋_GB2312"/>
          <w:sz w:val="32"/>
          <w:szCs w:val="32"/>
          <w:lang w:eastAsia="zh-CN"/>
        </w:rPr>
        <w:t>。</w:t>
      </w:r>
    </w:p>
    <w:p w14:paraId="62A12DE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10、城乡社区支出（类）城乡社区公共设施（款）小城镇基础设施建设（项）：支出决算数为4,227.92万元，比上年决算增加4,204.55万元，增长17,991.23%，主要原因是：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土地开发利用项目</w:t>
      </w:r>
      <w:r>
        <w:rPr>
          <w:rFonts w:hint="eastAsia" w:ascii="仿宋_GB2312" w:eastAsia="仿宋_GB2312"/>
          <w:sz w:val="32"/>
          <w:szCs w:val="32"/>
          <w:lang w:eastAsia="zh-CN"/>
        </w:rPr>
        <w:t>资金（</w:t>
      </w:r>
      <w:r>
        <w:rPr>
          <w:rFonts w:ascii="仿宋_GB2312" w:eastAsia="仿宋_GB2312"/>
          <w:sz w:val="32"/>
          <w:szCs w:val="32"/>
          <w:lang w:eastAsia="zh-CN"/>
        </w:rPr>
        <w:t>土地出让事宜</w:t>
      </w:r>
      <w:r>
        <w:rPr>
          <w:rFonts w:hint="eastAsia" w:ascii="仿宋_GB2312" w:eastAsia="仿宋_GB2312"/>
          <w:sz w:val="32"/>
          <w:szCs w:val="32"/>
          <w:lang w:eastAsia="zh-CN"/>
        </w:rPr>
        <w:t>）</w:t>
      </w:r>
      <w:r>
        <w:rPr>
          <w:rFonts w:ascii="仿宋_GB2312" w:eastAsia="仿宋_GB2312"/>
          <w:sz w:val="32"/>
          <w:szCs w:val="32"/>
          <w:lang w:eastAsia="zh-CN"/>
        </w:rPr>
        <w:t>。</w:t>
      </w:r>
    </w:p>
    <w:p w14:paraId="5C6C1C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11、农林水支出（类）农业农村（款）农业生产发展（项）：支出决算数为0.00万元，比上年决算减少171.66万元，下降100.00%，主要原因是：</w:t>
      </w:r>
      <w:r>
        <w:rPr>
          <w:rFonts w:hint="eastAsia" w:ascii="仿宋_GB2312" w:eastAsia="仿宋_GB2312"/>
          <w:sz w:val="32"/>
          <w:szCs w:val="32"/>
          <w:lang w:eastAsia="zh-CN"/>
        </w:rPr>
        <w:t>本年减少农村地籍调查及计提建设用地使用权确权登记</w:t>
      </w:r>
      <w:r>
        <w:rPr>
          <w:rFonts w:hint="eastAsia" w:ascii="仿宋_GB2312" w:eastAsia="仿宋_GB2312"/>
          <w:sz w:val="32"/>
          <w:szCs w:val="32"/>
          <w:lang w:val="en-US" w:eastAsia="zh-CN"/>
        </w:rPr>
        <w:t>项目经费</w:t>
      </w:r>
      <w:r>
        <w:rPr>
          <w:rFonts w:ascii="仿宋_GB2312" w:eastAsia="仿宋_GB2312"/>
          <w:sz w:val="32"/>
          <w:szCs w:val="32"/>
          <w:lang w:eastAsia="zh-CN"/>
        </w:rPr>
        <w:t>。</w:t>
      </w:r>
    </w:p>
    <w:p w14:paraId="3AA0F6B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12、农林水支出（类）农业农村（款）其他农业农村支出（项）：支出决算数为0.00万元，比上年决算减少102.47万元，下降100.00%，主要原因是：</w:t>
      </w:r>
      <w:r>
        <w:rPr>
          <w:rFonts w:hint="eastAsia" w:ascii="仿宋_GB2312" w:eastAsia="仿宋_GB2312"/>
          <w:sz w:val="32"/>
          <w:szCs w:val="32"/>
          <w:lang w:eastAsia="zh-CN"/>
        </w:rPr>
        <w:t>单位本年减少乔仁乡征地补偿费。</w:t>
      </w:r>
    </w:p>
    <w:p w14:paraId="4C25BE6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13、资源勘探工业信息等支出（类）支持中小企业发展和管理支出（款）其他支持中小企业发展和管理支出（项）：支出决算数为0.06万元，比上年决算减少633.95万元，下降99.99%，主要原因是：</w:t>
      </w:r>
      <w:r>
        <w:rPr>
          <w:rFonts w:hint="eastAsia" w:ascii="仿宋_GB2312" w:eastAsia="仿宋_GB2312"/>
          <w:sz w:val="32"/>
          <w:szCs w:val="32"/>
          <w:lang w:eastAsia="zh-CN"/>
        </w:rPr>
        <w:t>本年减少综合整治、矿山地质环境恢复治理资金。</w:t>
      </w:r>
    </w:p>
    <w:p w14:paraId="5F06027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14、自然资源海洋气象等支出（类）自然资源事务（款）行政运行（项）：支出决算数为383.98万元，比上年决算增加49.44万元，增长14.78%，主要原因是：</w:t>
      </w:r>
      <w:bookmarkStart w:id="5" w:name="_Hlk209001061"/>
      <w:bookmarkStart w:id="6" w:name="_Hlk209016193"/>
      <w:r>
        <w:rPr>
          <w:rFonts w:hint="eastAsia" w:ascii="仿宋_GB2312" w:eastAsia="仿宋_GB2312"/>
          <w:sz w:val="32"/>
          <w:szCs w:val="32"/>
          <w:lang w:eastAsia="zh-CN"/>
        </w:rPr>
        <w:t>薪资调增，</w:t>
      </w:r>
      <w:bookmarkStart w:id="7" w:name="_Hlk209002448"/>
      <w:r>
        <w:rPr>
          <w:rFonts w:hint="eastAsia" w:ascii="仿宋_GB2312" w:eastAsia="仿宋_GB2312"/>
          <w:sz w:val="32"/>
          <w:szCs w:val="32"/>
          <w:lang w:eastAsia="zh-CN"/>
        </w:rPr>
        <w:t>人员</w:t>
      </w:r>
      <w:bookmarkStart w:id="8" w:name="_Hlk209001149"/>
      <w:bookmarkStart w:id="9" w:name="_Hlk209007270"/>
      <w:r>
        <w:rPr>
          <w:rFonts w:hint="eastAsia" w:ascii="仿宋_GB2312" w:eastAsia="仿宋_GB2312"/>
          <w:sz w:val="32"/>
          <w:szCs w:val="32"/>
          <w:lang w:eastAsia="zh-CN"/>
        </w:rPr>
        <w:t>工资、津补贴等人员经费</w:t>
      </w:r>
      <w:bookmarkEnd w:id="5"/>
      <w:r>
        <w:rPr>
          <w:rFonts w:hint="eastAsia" w:ascii="仿宋_GB2312" w:eastAsia="仿宋_GB2312"/>
          <w:sz w:val="32"/>
          <w:szCs w:val="32"/>
          <w:lang w:eastAsia="zh-CN"/>
        </w:rPr>
        <w:t>较上年</w:t>
      </w:r>
      <w:bookmarkEnd w:id="8"/>
      <w:r>
        <w:rPr>
          <w:rFonts w:hint="eastAsia" w:ascii="仿宋_GB2312" w:eastAsia="仿宋_GB2312"/>
          <w:sz w:val="32"/>
          <w:szCs w:val="32"/>
          <w:lang w:eastAsia="zh-CN"/>
        </w:rPr>
        <w:t>增加</w:t>
      </w:r>
      <w:bookmarkEnd w:id="6"/>
      <w:bookmarkEnd w:id="7"/>
      <w:bookmarkEnd w:id="9"/>
      <w:r>
        <w:rPr>
          <w:rFonts w:ascii="仿宋_GB2312" w:eastAsia="仿宋_GB2312"/>
          <w:sz w:val="32"/>
          <w:szCs w:val="32"/>
          <w:lang w:eastAsia="zh-CN"/>
        </w:rPr>
        <w:t>。</w:t>
      </w:r>
    </w:p>
    <w:p w14:paraId="04990D3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15、自然资源海洋气象等支出（类）自然资源事务（款）自然资源规划及管理（项）：支出决算数为0.00万元，比上年决算减少300.00万元，下降100.00%，主要原因是：</w:t>
      </w:r>
      <w:r>
        <w:rPr>
          <w:rFonts w:hint="eastAsia" w:ascii="仿宋_GB2312" w:eastAsia="仿宋_GB2312"/>
          <w:sz w:val="32"/>
          <w:szCs w:val="32"/>
          <w:lang w:eastAsia="zh-CN"/>
        </w:rPr>
        <w:t>本年单位减少国土空间规划编制费</w:t>
      </w:r>
      <w:r>
        <w:rPr>
          <w:rFonts w:ascii="仿宋_GB2312" w:eastAsia="仿宋_GB2312"/>
          <w:sz w:val="32"/>
          <w:szCs w:val="32"/>
          <w:lang w:eastAsia="zh-CN"/>
        </w:rPr>
        <w:t>。</w:t>
      </w:r>
    </w:p>
    <w:p w14:paraId="7E9C87C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16、自然资源海洋气象等支出（类）自然资源事务（款）自然资源利用与保护（项）：支出决算数为1,472.40万元，比上年决算增加1,426.85万元，增长3,132.49%，主要原因是：</w:t>
      </w:r>
      <w:r>
        <w:rPr>
          <w:rFonts w:hint="eastAsia" w:ascii="仿宋_GB2312" w:eastAsia="仿宋_GB2312"/>
          <w:sz w:val="32"/>
          <w:szCs w:val="32"/>
          <w:lang w:eastAsia="zh-CN"/>
        </w:rPr>
        <w:t>本年增加西北湾镇西北湾村征地补偿费及宗地城市绿化和拟修建幼儿园占用部分国有建设用地使用权补偿费用等</w:t>
      </w:r>
      <w:r>
        <w:rPr>
          <w:rFonts w:ascii="仿宋_GB2312" w:eastAsia="仿宋_GB2312"/>
          <w:sz w:val="32"/>
          <w:szCs w:val="32"/>
          <w:lang w:eastAsia="zh-CN"/>
        </w:rPr>
        <w:t>。</w:t>
      </w:r>
    </w:p>
    <w:p w14:paraId="5611380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17、自然资源海洋气象等支出（类）自然资源事务（款）自然资源调查与确权登记（项）：支出决算数为0.00万元，比上年决算减少74.65万元，下降100.00%，主要原因是：</w:t>
      </w:r>
      <w:r>
        <w:rPr>
          <w:rFonts w:hint="eastAsia" w:ascii="仿宋_GB2312" w:eastAsia="仿宋_GB2312"/>
          <w:sz w:val="32"/>
          <w:szCs w:val="32"/>
          <w:lang w:eastAsia="zh-CN"/>
        </w:rPr>
        <w:t>本年减少集体土地所有权确权更新交汇资金</w:t>
      </w:r>
      <w:r>
        <w:rPr>
          <w:rFonts w:ascii="仿宋_GB2312" w:eastAsia="仿宋_GB2312"/>
          <w:sz w:val="32"/>
          <w:szCs w:val="32"/>
          <w:lang w:eastAsia="zh-CN"/>
        </w:rPr>
        <w:t>。</w:t>
      </w:r>
    </w:p>
    <w:p w14:paraId="6DA0406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18、自然资源海洋气象等支出（类）自然资源事务（款）事业运行（项）：支出决算数为518.28万元，比上年决算增加11.05万元，增长2.18%，主要原因是：</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w:t>
      </w:r>
    </w:p>
    <w:p w14:paraId="37D4C9E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19、自然资源海洋气象等支出（类）自然资源事务（款）其他自然资源事务支出（项）：支出决算数为106.89万元，比上年决算减少168.93万元，下降61.25%，主要原因是：</w:t>
      </w:r>
      <w:r>
        <w:rPr>
          <w:rFonts w:hint="eastAsia" w:ascii="仿宋_GB2312" w:eastAsia="仿宋_GB2312"/>
          <w:sz w:val="32"/>
          <w:szCs w:val="32"/>
          <w:lang w:eastAsia="zh-CN"/>
        </w:rPr>
        <w:t>本年减少奇台硅化木-恐龙国家地质公园地质遗迹保护经费</w:t>
      </w:r>
      <w:r>
        <w:rPr>
          <w:rFonts w:ascii="仿宋_GB2312" w:eastAsia="仿宋_GB2312"/>
          <w:sz w:val="32"/>
          <w:szCs w:val="32"/>
          <w:lang w:eastAsia="zh-CN"/>
        </w:rPr>
        <w:t>。</w:t>
      </w:r>
    </w:p>
    <w:p w14:paraId="7951716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20、住房保障支出（类）住房改革支出（款）住房公积金（项）：支出决算数为86.17万元，比上年决算增加7.07万元，增长8.94%，主要原因是：</w:t>
      </w:r>
      <w:r>
        <w:rPr>
          <w:rFonts w:hint="eastAsia" w:ascii="仿宋_GB2312" w:eastAsia="仿宋_GB2312"/>
          <w:sz w:val="32"/>
          <w:szCs w:val="32"/>
          <w:lang w:eastAsia="zh-CN"/>
        </w:rPr>
        <w:t>公积金缴费基数调增，人员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4478BD9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21、其他支出（类）其他支出（款）其他支出（项）：支出决算数为15.00万元，比上年决算增加2.49万元，增长19.90%，主要原因是：本年</w:t>
      </w:r>
      <w:r>
        <w:rPr>
          <w:rFonts w:hint="eastAsia" w:ascii="仿宋_GB2312" w:eastAsia="仿宋_GB2312"/>
          <w:sz w:val="32"/>
          <w:szCs w:val="32"/>
          <w:lang w:eastAsia="zh-CN"/>
        </w:rPr>
        <w:t>单位</w:t>
      </w:r>
      <w:r>
        <w:rPr>
          <w:rFonts w:ascii="仿宋_GB2312" w:eastAsia="仿宋_GB2312"/>
          <w:sz w:val="32"/>
          <w:szCs w:val="32"/>
          <w:lang w:eastAsia="zh-CN"/>
        </w:rPr>
        <w:t>增加牛王宫工作队</w:t>
      </w:r>
      <w:r>
        <w:rPr>
          <w:rFonts w:hint="eastAsia" w:ascii="仿宋_GB2312" w:eastAsia="仿宋_GB2312"/>
          <w:sz w:val="32"/>
          <w:szCs w:val="32"/>
          <w:lang w:eastAsia="zh-CN"/>
        </w:rPr>
        <w:t>补助经费</w:t>
      </w:r>
      <w:r>
        <w:rPr>
          <w:rFonts w:ascii="仿宋_GB2312" w:eastAsia="仿宋_GB2312"/>
          <w:sz w:val="32"/>
          <w:szCs w:val="32"/>
          <w:lang w:eastAsia="zh-CN"/>
        </w:rPr>
        <w:t>。</w:t>
      </w:r>
    </w:p>
    <w:p w14:paraId="670DE1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A8F27A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1,253.14万元，其中：人员经费1,196.47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00F156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公用经费56.68万元，包括：办公费、印刷费、水费、电费、邮电费、差旅费、维修（护）费、委托业务费、工会经费、公务用车运行维护费和其他交通费用。</w:t>
      </w:r>
    </w:p>
    <w:p w14:paraId="45880A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F145ED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2024年度政府性基金预算财政拨款收入总计742.01万元，其中：年初结转和结余0.00万元，本年收入742.01万元。政府性基金预算财政拨款支出总计742.01万元，其中：年末结转和结余0.00万元，本年支出742.01万元。</w:t>
      </w:r>
    </w:p>
    <w:p w14:paraId="1B86BA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政府性基金预算财政拨款收入支出总体与上年相比，增加742.01万元，增长100%，主要原因是：</w:t>
      </w:r>
      <w:r>
        <w:rPr>
          <w:rFonts w:hint="eastAsia" w:ascii="仿宋_GB2312" w:eastAsia="仿宋_GB2312"/>
          <w:sz w:val="32"/>
          <w:szCs w:val="32"/>
          <w:lang w:eastAsia="zh-CN"/>
        </w:rPr>
        <w:t>本年增加奇台县8处历史遗留砂坑恢复治理项目经费及不动产登记及服务器系统维护等项目经费</w:t>
      </w:r>
      <w:r>
        <w:rPr>
          <w:rFonts w:ascii="仿宋_GB2312" w:eastAsia="仿宋_GB2312"/>
          <w:sz w:val="32"/>
          <w:szCs w:val="32"/>
          <w:lang w:eastAsia="zh-CN"/>
        </w:rPr>
        <w:t>。与年初预算相比，年初预算数30.00万元，决算数742.01万元，预决算差异率2,373.37%，主要原因是：年中追加</w:t>
      </w:r>
      <w:r>
        <w:rPr>
          <w:rFonts w:hint="eastAsia" w:ascii="仿宋_GB2312" w:eastAsia="仿宋_GB2312"/>
          <w:sz w:val="32"/>
          <w:szCs w:val="32"/>
          <w:lang w:eastAsia="zh-CN"/>
        </w:rPr>
        <w:t>奇台县8处历史遗留砂坑恢复治理项目经费及不动产登记及服务器系统维护等项目经费</w:t>
      </w:r>
      <w:r>
        <w:rPr>
          <w:rFonts w:ascii="仿宋_GB2312" w:eastAsia="仿宋_GB2312"/>
          <w:sz w:val="32"/>
          <w:szCs w:val="32"/>
          <w:lang w:eastAsia="zh-CN"/>
        </w:rPr>
        <w:t>。</w:t>
      </w:r>
    </w:p>
    <w:p w14:paraId="1ABF68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政府性基金预算财政拨款支出742.01万元。</w:t>
      </w:r>
    </w:p>
    <w:p w14:paraId="3C11324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1、城乡社区支出（类）国有土地使用权出让收入安排的支出（款）农业生产发展支出（项）：支出决算数为739.87万元，比上年决算增加739.87万元，增长100.00%，主要原因是：</w:t>
      </w:r>
      <w:r>
        <w:rPr>
          <w:rFonts w:hint="eastAsia" w:ascii="仿宋_GB2312" w:eastAsia="仿宋_GB2312"/>
          <w:sz w:val="32"/>
          <w:szCs w:val="32"/>
          <w:lang w:eastAsia="zh-CN"/>
        </w:rPr>
        <w:t>本年增加奇台县8处历史遗留砂坑恢复治理项目经费及连生才案件罚款等项目经费。</w:t>
      </w:r>
    </w:p>
    <w:p w14:paraId="7AC1D11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2、城乡社区支出（类）国有土地使用权出让收入安排的支出（款）其他国有土地使用权出让收入安排的支出（项）：支出决算数为2.14万元，比上年决算增加2.14万元，增长100.00%，主要原因是：</w:t>
      </w:r>
      <w:r>
        <w:rPr>
          <w:rFonts w:hint="eastAsia" w:ascii="仿宋_GB2312" w:eastAsia="仿宋_GB2312"/>
          <w:sz w:val="32"/>
          <w:szCs w:val="32"/>
          <w:lang w:eastAsia="zh-CN"/>
        </w:rPr>
        <w:t>本年增加不动产登记及服务器系统维护项目经费</w:t>
      </w:r>
      <w:r>
        <w:rPr>
          <w:rFonts w:ascii="仿宋_GB2312" w:eastAsia="仿宋_GB2312"/>
          <w:sz w:val="32"/>
          <w:szCs w:val="32"/>
          <w:lang w:eastAsia="zh-CN"/>
        </w:rPr>
        <w:t>。</w:t>
      </w:r>
    </w:p>
    <w:p w14:paraId="788015C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4D088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F04FD3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D7208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2024年度财政拨款“三公”经费支出5.00万元，与上年相比无变化，主要原因是：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10" w:name="_Hlk207143847"/>
      <w:r>
        <w:rPr>
          <w:rFonts w:hint="eastAsia" w:ascii="仿宋_GB2312" w:eastAsia="仿宋_GB2312"/>
          <w:sz w:val="32"/>
          <w:szCs w:val="32"/>
          <w:lang w:eastAsia="zh-CN"/>
        </w:rPr>
        <w:t>我单位上年度与本年度均无此项经费</w:t>
      </w:r>
      <w:bookmarkEnd w:id="10"/>
      <w:r>
        <w:rPr>
          <w:rFonts w:ascii="仿宋_GB2312" w:eastAsia="仿宋_GB2312"/>
          <w:sz w:val="32"/>
          <w:szCs w:val="32"/>
          <w:lang w:eastAsia="zh-CN"/>
        </w:rPr>
        <w:t>；公务用车购置及运行维护费支出5.00万元，占100.00%，与上年相比无变化，主要原因是：</w:t>
      </w:r>
      <w:r>
        <w:rPr>
          <w:rFonts w:hint="eastAsia" w:ascii="仿宋_GB2312" w:eastAsia="仿宋_GB2312"/>
          <w:sz w:val="32"/>
          <w:szCs w:val="32"/>
          <w:lang w:eastAsia="zh-CN"/>
        </w:rPr>
        <w:t>本年单位公务用车运行维护费与上年对比无差异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AB496E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0D0F34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11"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11"/>
      <w:r>
        <w:rPr>
          <w:rFonts w:ascii="仿宋_GB2312" w:eastAsia="仿宋_GB2312"/>
          <w:sz w:val="32"/>
          <w:szCs w:val="32"/>
          <w:lang w:eastAsia="zh-CN"/>
        </w:rPr>
        <w:t>。单位全年安排的因公出国（境）团组0个，因公出国（境）0人次。</w:t>
      </w:r>
    </w:p>
    <w:p w14:paraId="1B5DFF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公务用车购置及运行维护费5.00万元，其中：公务用车购置费0.00万元，公务用车运行维护费5.00万元。公务用车运行维护费开支内容包括</w:t>
      </w:r>
      <w:bookmarkStart w:id="12" w:name="_Hlk207793066"/>
      <w:r>
        <w:rPr>
          <w:rFonts w:hint="eastAsia" w:ascii="仿宋_GB2312" w:eastAsia="仿宋_GB2312"/>
          <w:sz w:val="32"/>
          <w:szCs w:val="32"/>
          <w:lang w:eastAsia="zh-CN"/>
        </w:rPr>
        <w:t>公务用车维修维护费、燃油费、保险费、过路费等</w:t>
      </w:r>
      <w:bookmarkEnd w:id="12"/>
      <w:r>
        <w:rPr>
          <w:rFonts w:ascii="仿宋_GB2312" w:eastAsia="仿宋_GB2312"/>
          <w:sz w:val="32"/>
          <w:szCs w:val="32"/>
          <w:lang w:eastAsia="zh-CN"/>
        </w:rPr>
        <w:t>。公务用车购置数0辆，公务用车保有量9辆。国有资产占用情况中固定资产车辆9辆，与公务用车保有量差异原因是：</w:t>
      </w:r>
      <w:bookmarkStart w:id="13" w:name="_Hlk207143898"/>
      <w:r>
        <w:rPr>
          <w:rFonts w:hint="eastAsia" w:ascii="仿宋_GB2312" w:eastAsia="仿宋_GB2312"/>
          <w:sz w:val="32"/>
          <w:szCs w:val="32"/>
          <w:lang w:eastAsia="zh-CN"/>
        </w:rPr>
        <w:t>本单位固定资产车辆与公务用车保有量一致无差异</w:t>
      </w:r>
      <w:bookmarkEnd w:id="13"/>
      <w:r>
        <w:rPr>
          <w:rFonts w:ascii="仿宋_GB2312" w:eastAsia="仿宋_GB2312"/>
          <w:sz w:val="32"/>
          <w:szCs w:val="32"/>
          <w:lang w:eastAsia="zh-CN"/>
        </w:rPr>
        <w:t>。</w:t>
      </w:r>
    </w:p>
    <w:p w14:paraId="000C57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14" w:name="_Hlk207140433"/>
      <w:r>
        <w:rPr>
          <w:rFonts w:hint="eastAsia" w:ascii="仿宋_GB2312" w:eastAsia="仿宋_GB2312"/>
          <w:sz w:val="32"/>
          <w:szCs w:val="32"/>
          <w:lang w:eastAsia="zh-CN"/>
        </w:rPr>
        <w:t>单</w:t>
      </w:r>
      <w:bookmarkStart w:id="15"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4"/>
      <w:bookmarkEnd w:id="15"/>
      <w:r>
        <w:rPr>
          <w:rFonts w:ascii="仿宋_GB2312" w:eastAsia="仿宋_GB2312"/>
          <w:sz w:val="32"/>
          <w:szCs w:val="32"/>
          <w:lang w:eastAsia="zh-CN"/>
        </w:rPr>
        <w:t>。单位全年安排的国内公务接待0批次，0人次。</w:t>
      </w:r>
    </w:p>
    <w:p w14:paraId="747556F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与全年预算相比，财政拨款“三公”经费支出全年预算数5.00万元，决算数5.00万元，预决算差异率0.00%，主要原因是：</w:t>
      </w:r>
      <w:bookmarkStart w:id="16" w:name="_Hlk207142995"/>
      <w:r>
        <w:rPr>
          <w:rFonts w:hint="eastAsia" w:ascii="仿宋_GB2312" w:eastAsia="仿宋_GB2312"/>
          <w:sz w:val="32"/>
          <w:szCs w:val="32"/>
          <w:lang w:eastAsia="zh-CN"/>
        </w:rPr>
        <w:t>严格按照预算执行，预决算对比无差异</w:t>
      </w:r>
      <w:bookmarkEnd w:id="1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；公务用车运行维护费全年预算数5.00万元，决算数5.00万元，预决算差异率0.00%，主要原因是：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495D3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2EACB5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486C1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2024年度奇台县自然资源局单位（行政单位和参照公务员法管理事业单位）机关运行经费支出56.68万元，比上年增加30.38万元，增长115.51%，主要原因是：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办公费、水费、电费、委托业务费</w:t>
      </w:r>
      <w:r>
        <w:rPr>
          <w:rFonts w:hint="eastAsia" w:ascii="仿宋_GB2312" w:eastAsia="仿宋_GB2312"/>
          <w:sz w:val="32"/>
          <w:szCs w:val="32"/>
          <w:lang w:eastAsia="zh-CN"/>
        </w:rPr>
        <w:t>等</w:t>
      </w:r>
      <w:r>
        <w:rPr>
          <w:rFonts w:ascii="仿宋_GB2312" w:eastAsia="仿宋_GB2312"/>
          <w:sz w:val="32"/>
          <w:szCs w:val="32"/>
          <w:lang w:eastAsia="zh-CN"/>
        </w:rPr>
        <w:t>。</w:t>
      </w:r>
    </w:p>
    <w:p w14:paraId="50BD653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CDFF0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2024年度政府采购支出总额55.69万元，其中：政府采购货物支出8.61万元、政府采购工程支出0.00万元、政府采购服务支出47.08万元。</w:t>
      </w:r>
    </w:p>
    <w:p w14:paraId="061A475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授予中小企业合同金额54.50万元，占政府采购支出总额的97.86%，其中：授予小微企业合同金额54.50万元，占政府采购支出总额的97.86%。</w:t>
      </w:r>
    </w:p>
    <w:p w14:paraId="392F196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EEEBE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截至2024年12月31日，房屋2,321.58平方米，价值483.39万元。</w:t>
      </w:r>
      <w:r>
        <w:rPr>
          <w:rFonts w:ascii="仿宋_GB2312" w:eastAsia="仿宋_GB2312"/>
          <w:sz w:val="32"/>
          <w:szCs w:val="32"/>
          <w:lang w:eastAsia="zh-CN"/>
        </w:rPr>
        <w:t>车辆9辆，价值80.90万元，其中：副部（省）级及以上领导用车0辆、主要负责人用车0辆、机要通信用车0辆、应急保障用车0辆、执法执勤用车0辆、特种专业技术用车0辆、离退休干部服务用车0辆、其他用车9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0807F5D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46F908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8,289.91</w:t>
      </w:r>
      <w:r>
        <w:rPr>
          <w:rFonts w:ascii="仿宋_GB2312" w:eastAsia="仿宋_GB2312"/>
          <w:sz w:val="32"/>
          <w:szCs w:val="32"/>
          <w:lang w:eastAsia="zh-CN"/>
        </w:rPr>
        <w:t>万元，实际执行总额</w:t>
      </w:r>
      <w:r>
        <w:rPr>
          <w:rFonts w:hint="eastAsia" w:ascii="仿宋_GB2312" w:eastAsia="仿宋_GB2312"/>
          <w:sz w:val="32"/>
          <w:szCs w:val="32"/>
          <w:lang w:eastAsia="zh-CN"/>
        </w:rPr>
        <w:t>8,289.91</w:t>
      </w:r>
      <w:r>
        <w:rPr>
          <w:rFonts w:ascii="仿宋_GB2312" w:eastAsia="仿宋_GB2312"/>
          <w:sz w:val="32"/>
          <w:szCs w:val="32"/>
          <w:lang w:eastAsia="zh-CN"/>
        </w:rPr>
        <w:t>万元；预算绩效评价项目</w:t>
      </w:r>
      <w:r>
        <w:rPr>
          <w:rFonts w:hint="eastAsia" w:ascii="仿宋_GB2312" w:eastAsia="仿宋_GB2312"/>
          <w:sz w:val="32"/>
          <w:szCs w:val="32"/>
          <w:lang w:eastAsia="zh-CN"/>
        </w:rPr>
        <w:t>9</w:t>
      </w:r>
      <w:r>
        <w:rPr>
          <w:rFonts w:ascii="仿宋_GB2312" w:eastAsia="仿宋_GB2312"/>
          <w:sz w:val="32"/>
          <w:szCs w:val="32"/>
          <w:lang w:eastAsia="zh-CN"/>
        </w:rPr>
        <w:t>个，全年预算数</w:t>
      </w:r>
      <w:r>
        <w:rPr>
          <w:rFonts w:hint="eastAsia" w:ascii="仿宋_GB2312" w:eastAsia="仿宋_GB2312"/>
          <w:sz w:val="32"/>
          <w:szCs w:val="32"/>
          <w:lang w:eastAsia="zh-CN"/>
        </w:rPr>
        <w:t>6,749.22</w:t>
      </w:r>
      <w:r>
        <w:rPr>
          <w:rFonts w:ascii="仿宋_GB2312" w:eastAsia="仿宋_GB2312"/>
          <w:sz w:val="32"/>
          <w:szCs w:val="32"/>
          <w:lang w:eastAsia="zh-CN"/>
        </w:rPr>
        <w:t>万元，全年执行数</w:t>
      </w:r>
      <w:r>
        <w:rPr>
          <w:rFonts w:hint="eastAsia" w:ascii="仿宋_GB2312" w:eastAsia="仿宋_GB2312"/>
          <w:sz w:val="32"/>
          <w:szCs w:val="32"/>
          <w:lang w:eastAsia="zh-CN"/>
        </w:rPr>
        <w:t>6,338.85</w:t>
      </w:r>
      <w:r>
        <w:rPr>
          <w:rFonts w:ascii="仿宋_GB2312" w:eastAsia="仿宋_GB2312"/>
          <w:sz w:val="32"/>
          <w:szCs w:val="32"/>
          <w:lang w:eastAsia="zh-CN"/>
        </w:rPr>
        <w:t>万元。预算绩效管理取得的成效：一是年末做好下一年工作计划以及项目资金的预算，年初及时报送预算与绩效，加强年末与年初预算项目的管理，提高项目资金预算的准确性。二是明确工作目标，确认工作绩效任务清单，制定清晰可行的项目落地计划，根据实际情况及时进行拨付。发现的问题及原因：一是对项目支出绩效工作认识有待于提高，作绩效工作的工作人员对项目流程不够熟悉，项目相关资料收集不够及时。二是预算执行约束力不够，受政策非连续性与预算执行等不协调的因素影响，预算项目在执行过程中缺乏有限的监督机制，预算执行审核缺乏常态性，由于部门专业监督人员缺乏，很难做到对财政预算资金进行全覆盖跟踪监督。下一步改进措施：一是在做出决策之前，我们需要明确项目的目标和需求，明确整个项目的方向和目标，充分考虑项目程序的规范性、过程是否符合有关要求，用以反映和考核项目立项的规范情况；考虑绩效目标合理性，项目所设定的绩效目标是否依据充分，是否符合客观实际，用以反映和考核项目绩效目标与项目实施的相符情况</w:t>
      </w:r>
      <w:r>
        <w:rPr>
          <w:rFonts w:hint="eastAsia" w:ascii="仿宋_GB2312" w:eastAsia="仿宋_GB2312"/>
          <w:sz w:val="32"/>
          <w:szCs w:val="32"/>
          <w:lang w:eastAsia="zh-CN"/>
        </w:rPr>
        <w:t>。</w:t>
      </w:r>
      <w:r>
        <w:rPr>
          <w:rFonts w:ascii="仿宋_GB2312" w:eastAsia="仿宋_GB2312"/>
          <w:sz w:val="32"/>
          <w:szCs w:val="32"/>
          <w:lang w:eastAsia="zh-CN"/>
        </w:rPr>
        <w:t>二是结合本单位的职能职责，科学合理的编制本单位资金预算。广泛征求项目受益群众意见建议，确保预算科学合理。三是进一步细化预算工作，提高预算的科学性、合理性、严谨性。加强编制依据和测算深度，确保实际执行与项目预算绩效不存在偏差。项目由县财政局和自然资源部门共同组织实施，可以有效规范项目的实施和监督管理。项目流程不应该过于繁琐，避免过多则流于形式。具体附部门整体支出绩效自评表，项目支出绩效自评表和部门评价报告。</w:t>
      </w:r>
    </w:p>
    <w:p w14:paraId="2298CC1E">
      <w:pPr>
        <w:rPr>
          <w:rFonts w:hint="eastAsia" w:ascii="宋体" w:hAnsi="宋体" w:eastAsia="宋体" w:cs="宋体"/>
          <w:b/>
          <w:bCs/>
          <w:sz w:val="18"/>
          <w:szCs w:val="18"/>
        </w:rPr>
      </w:pPr>
      <w:bookmarkStart w:id="17" w:name="_Hlk201836110"/>
    </w:p>
    <w:p w14:paraId="5ADB5CD6">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2C85519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424A74D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197CB26">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7593A9D">
            <w:pPr>
              <w:jc w:val="center"/>
              <w:rPr>
                <w:rFonts w:hint="eastAsia" w:ascii="宋体" w:hAnsi="宋体" w:eastAsia="宋体" w:cs="宋体"/>
                <w:b/>
                <w:bCs/>
                <w:sz w:val="18"/>
                <w:szCs w:val="18"/>
              </w:rPr>
            </w:pPr>
            <w:r>
              <w:rPr>
                <w:rFonts w:hint="eastAsia" w:ascii="宋体" w:hAnsi="宋体" w:eastAsia="宋体" w:cs="宋体"/>
                <w:b/>
                <w:bCs/>
                <w:sz w:val="18"/>
                <w:szCs w:val="18"/>
              </w:rPr>
              <w:t>奇台县自然资源局</w:t>
            </w:r>
          </w:p>
        </w:tc>
        <w:tc>
          <w:tcPr>
            <w:tcW w:w="284" w:type="dxa"/>
            <w:tcBorders>
              <w:top w:val="nil"/>
              <w:left w:val="nil"/>
              <w:bottom w:val="nil"/>
              <w:right w:val="nil"/>
            </w:tcBorders>
            <w:noWrap/>
            <w:vAlign w:val="center"/>
          </w:tcPr>
          <w:p w14:paraId="052A494B">
            <w:pPr>
              <w:rPr>
                <w:rFonts w:hint="eastAsia" w:ascii="宋体" w:hAnsi="宋体" w:eastAsia="宋体" w:cs="宋体"/>
                <w:b/>
                <w:bCs/>
                <w:sz w:val="18"/>
                <w:szCs w:val="18"/>
              </w:rPr>
            </w:pPr>
          </w:p>
        </w:tc>
      </w:tr>
      <w:tr w14:paraId="361368F8">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D708D6E">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1EE9971">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9814DC7">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5091C14E">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02B1AA6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4E2D57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D23D18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229374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23A6A79">
            <w:pPr>
              <w:jc w:val="center"/>
              <w:rPr>
                <w:rFonts w:hint="eastAsia" w:ascii="宋体" w:hAnsi="宋体" w:eastAsia="宋体" w:cs="宋体"/>
                <w:b/>
                <w:bCs/>
                <w:sz w:val="18"/>
                <w:szCs w:val="18"/>
              </w:rPr>
            </w:pPr>
          </w:p>
        </w:tc>
      </w:tr>
      <w:tr w14:paraId="01B4300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1AEB0B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5BEF071">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91AF83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2AB135A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B6492D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C63663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C55AA9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5D7E55C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2AE3F03">
            <w:pPr>
              <w:jc w:val="center"/>
              <w:rPr>
                <w:rFonts w:hint="eastAsia" w:ascii="宋体" w:hAnsi="宋体" w:eastAsia="宋体" w:cs="宋体"/>
                <w:b/>
                <w:bCs/>
                <w:sz w:val="18"/>
                <w:szCs w:val="18"/>
              </w:rPr>
            </w:pPr>
          </w:p>
        </w:tc>
      </w:tr>
      <w:tr w14:paraId="266942C7">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8A26F0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A894EA3">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09A8287">
            <w:pPr>
              <w:jc w:val="center"/>
              <w:rPr>
                <w:rFonts w:hint="eastAsia" w:ascii="宋体" w:hAnsi="宋体" w:eastAsia="宋体" w:cs="宋体"/>
                <w:sz w:val="18"/>
                <w:szCs w:val="18"/>
              </w:rPr>
            </w:pPr>
            <w:r>
              <w:rPr>
                <w:rFonts w:hint="eastAsia" w:ascii="宋体" w:hAnsi="宋体" w:eastAsia="宋体" w:cs="宋体"/>
                <w:sz w:val="18"/>
                <w:szCs w:val="18"/>
              </w:rPr>
              <w:t>1,276.94</w:t>
            </w:r>
          </w:p>
        </w:tc>
        <w:tc>
          <w:tcPr>
            <w:tcW w:w="1242" w:type="dxa"/>
            <w:tcBorders>
              <w:top w:val="nil"/>
              <w:left w:val="nil"/>
              <w:bottom w:val="single" w:color="auto" w:sz="4" w:space="0"/>
              <w:right w:val="single" w:color="auto" w:sz="4" w:space="0"/>
            </w:tcBorders>
            <w:vAlign w:val="center"/>
          </w:tcPr>
          <w:p w14:paraId="528E618A">
            <w:pPr>
              <w:jc w:val="center"/>
              <w:rPr>
                <w:rFonts w:hint="eastAsia" w:ascii="宋体" w:hAnsi="宋体" w:eastAsia="宋体" w:cs="宋体"/>
                <w:sz w:val="18"/>
                <w:szCs w:val="18"/>
              </w:rPr>
            </w:pPr>
            <w:r>
              <w:rPr>
                <w:rFonts w:hint="eastAsia" w:ascii="宋体" w:hAnsi="宋体" w:eastAsia="宋体" w:cs="宋体"/>
                <w:sz w:val="18"/>
                <w:szCs w:val="18"/>
              </w:rPr>
              <w:t>7,827.42</w:t>
            </w:r>
          </w:p>
        </w:tc>
        <w:tc>
          <w:tcPr>
            <w:tcW w:w="1417" w:type="dxa"/>
            <w:tcBorders>
              <w:top w:val="nil"/>
              <w:left w:val="nil"/>
              <w:bottom w:val="single" w:color="auto" w:sz="4" w:space="0"/>
              <w:right w:val="single" w:color="auto" w:sz="4" w:space="0"/>
            </w:tcBorders>
            <w:vAlign w:val="center"/>
          </w:tcPr>
          <w:p w14:paraId="3B40C592">
            <w:pPr>
              <w:jc w:val="center"/>
              <w:rPr>
                <w:rFonts w:hint="eastAsia" w:ascii="宋体" w:hAnsi="宋体" w:eastAsia="宋体" w:cs="宋体"/>
                <w:sz w:val="18"/>
                <w:szCs w:val="18"/>
              </w:rPr>
            </w:pPr>
            <w:r>
              <w:rPr>
                <w:rFonts w:hint="eastAsia" w:ascii="宋体" w:hAnsi="宋体" w:eastAsia="宋体" w:cs="宋体"/>
                <w:sz w:val="18"/>
                <w:szCs w:val="18"/>
              </w:rPr>
              <w:t>7,827.42</w:t>
            </w:r>
          </w:p>
        </w:tc>
        <w:tc>
          <w:tcPr>
            <w:tcW w:w="1134" w:type="dxa"/>
            <w:tcBorders>
              <w:top w:val="nil"/>
              <w:left w:val="nil"/>
              <w:bottom w:val="single" w:color="auto" w:sz="4" w:space="0"/>
              <w:right w:val="single" w:color="auto" w:sz="4" w:space="0"/>
            </w:tcBorders>
            <w:vAlign w:val="center"/>
          </w:tcPr>
          <w:p w14:paraId="3EE85518">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215588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7F11E16">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81C07F0">
            <w:pPr>
              <w:jc w:val="center"/>
              <w:rPr>
                <w:rFonts w:hint="eastAsia" w:ascii="宋体" w:hAnsi="宋体" w:eastAsia="宋体" w:cs="宋体"/>
                <w:sz w:val="18"/>
                <w:szCs w:val="18"/>
              </w:rPr>
            </w:pPr>
          </w:p>
        </w:tc>
      </w:tr>
      <w:tr w14:paraId="2AC483A4">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F3395C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9069437">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C70EB68">
            <w:pPr>
              <w:jc w:val="center"/>
              <w:rPr>
                <w:rFonts w:hint="eastAsia" w:ascii="宋体" w:hAnsi="宋体" w:eastAsia="宋体" w:cs="宋体"/>
                <w:sz w:val="18"/>
                <w:szCs w:val="18"/>
              </w:rPr>
            </w:pPr>
            <w:r>
              <w:rPr>
                <w:rFonts w:hint="eastAsia" w:ascii="宋体" w:hAnsi="宋体" w:eastAsia="宋体" w:cs="宋体"/>
                <w:sz w:val="18"/>
                <w:szCs w:val="18"/>
              </w:rPr>
              <w:t>8.00</w:t>
            </w:r>
          </w:p>
        </w:tc>
        <w:tc>
          <w:tcPr>
            <w:tcW w:w="1242" w:type="dxa"/>
            <w:tcBorders>
              <w:top w:val="nil"/>
              <w:left w:val="nil"/>
              <w:bottom w:val="single" w:color="auto" w:sz="4" w:space="0"/>
              <w:right w:val="single" w:color="auto" w:sz="4" w:space="0"/>
            </w:tcBorders>
            <w:vAlign w:val="center"/>
          </w:tcPr>
          <w:p w14:paraId="5303BE0F">
            <w:pPr>
              <w:jc w:val="center"/>
              <w:rPr>
                <w:rFonts w:hint="eastAsia" w:ascii="宋体" w:hAnsi="宋体" w:eastAsia="宋体" w:cs="宋体"/>
                <w:sz w:val="18"/>
                <w:szCs w:val="18"/>
              </w:rPr>
            </w:pPr>
            <w:r>
              <w:rPr>
                <w:rFonts w:hint="eastAsia" w:ascii="宋体" w:hAnsi="宋体" w:eastAsia="宋体" w:cs="宋体"/>
                <w:sz w:val="18"/>
                <w:szCs w:val="18"/>
              </w:rPr>
              <w:t>462.49</w:t>
            </w:r>
          </w:p>
        </w:tc>
        <w:tc>
          <w:tcPr>
            <w:tcW w:w="1417" w:type="dxa"/>
            <w:tcBorders>
              <w:top w:val="nil"/>
              <w:left w:val="nil"/>
              <w:bottom w:val="single" w:color="auto" w:sz="4" w:space="0"/>
              <w:right w:val="single" w:color="auto" w:sz="4" w:space="0"/>
            </w:tcBorders>
            <w:vAlign w:val="center"/>
          </w:tcPr>
          <w:p w14:paraId="519F3804">
            <w:pPr>
              <w:jc w:val="center"/>
              <w:rPr>
                <w:rFonts w:hint="eastAsia" w:ascii="宋体" w:hAnsi="宋体" w:eastAsia="宋体" w:cs="宋体"/>
                <w:sz w:val="18"/>
                <w:szCs w:val="18"/>
              </w:rPr>
            </w:pPr>
            <w:r>
              <w:rPr>
                <w:rFonts w:hint="eastAsia" w:ascii="宋体" w:hAnsi="宋体" w:eastAsia="宋体" w:cs="宋体"/>
                <w:sz w:val="18"/>
                <w:szCs w:val="18"/>
              </w:rPr>
              <w:t>462.49</w:t>
            </w:r>
          </w:p>
        </w:tc>
        <w:tc>
          <w:tcPr>
            <w:tcW w:w="1134" w:type="dxa"/>
            <w:tcBorders>
              <w:top w:val="nil"/>
              <w:left w:val="nil"/>
              <w:bottom w:val="single" w:color="auto" w:sz="4" w:space="0"/>
              <w:right w:val="single" w:color="auto" w:sz="4" w:space="0"/>
            </w:tcBorders>
            <w:vAlign w:val="center"/>
          </w:tcPr>
          <w:p w14:paraId="6434C0E0">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6D83FE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1180AF5">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2693FE1">
            <w:pPr>
              <w:jc w:val="center"/>
              <w:rPr>
                <w:rFonts w:hint="eastAsia" w:ascii="宋体" w:hAnsi="宋体" w:eastAsia="宋体" w:cs="宋体"/>
                <w:sz w:val="18"/>
                <w:szCs w:val="18"/>
              </w:rPr>
            </w:pPr>
          </w:p>
        </w:tc>
      </w:tr>
      <w:tr w14:paraId="2D1079C7">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FFAE97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7DA7D19">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43FE1B3F">
            <w:pPr>
              <w:jc w:val="center"/>
              <w:rPr>
                <w:rFonts w:hint="eastAsia" w:ascii="宋体" w:hAnsi="宋体" w:eastAsia="宋体" w:cs="宋体"/>
                <w:sz w:val="18"/>
                <w:szCs w:val="18"/>
              </w:rPr>
            </w:pPr>
            <w:r>
              <w:rPr>
                <w:rFonts w:hint="eastAsia" w:ascii="宋体" w:hAnsi="宋体" w:eastAsia="宋体" w:cs="宋体"/>
                <w:sz w:val="18"/>
                <w:szCs w:val="18"/>
              </w:rPr>
              <w:t>1,284.94</w:t>
            </w:r>
          </w:p>
        </w:tc>
        <w:tc>
          <w:tcPr>
            <w:tcW w:w="1242" w:type="dxa"/>
            <w:tcBorders>
              <w:top w:val="nil"/>
              <w:left w:val="nil"/>
              <w:bottom w:val="single" w:color="auto" w:sz="4" w:space="0"/>
              <w:right w:val="single" w:color="auto" w:sz="4" w:space="0"/>
            </w:tcBorders>
            <w:vAlign w:val="center"/>
          </w:tcPr>
          <w:p w14:paraId="066820B3">
            <w:pPr>
              <w:jc w:val="center"/>
              <w:rPr>
                <w:rFonts w:hint="eastAsia" w:ascii="宋体" w:hAnsi="宋体" w:eastAsia="宋体" w:cs="宋体"/>
                <w:sz w:val="18"/>
                <w:szCs w:val="18"/>
              </w:rPr>
            </w:pPr>
            <w:r>
              <w:rPr>
                <w:rFonts w:hint="eastAsia" w:ascii="宋体" w:hAnsi="宋体" w:eastAsia="宋体" w:cs="宋体"/>
                <w:sz w:val="18"/>
                <w:szCs w:val="18"/>
              </w:rPr>
              <w:t>8,289.91</w:t>
            </w:r>
          </w:p>
        </w:tc>
        <w:tc>
          <w:tcPr>
            <w:tcW w:w="1417" w:type="dxa"/>
            <w:tcBorders>
              <w:top w:val="nil"/>
              <w:left w:val="nil"/>
              <w:bottom w:val="single" w:color="auto" w:sz="4" w:space="0"/>
              <w:right w:val="single" w:color="auto" w:sz="4" w:space="0"/>
            </w:tcBorders>
            <w:vAlign w:val="center"/>
          </w:tcPr>
          <w:p w14:paraId="63BB1A37">
            <w:pPr>
              <w:jc w:val="center"/>
              <w:rPr>
                <w:rFonts w:hint="eastAsia" w:ascii="宋体" w:hAnsi="宋体" w:eastAsia="宋体" w:cs="宋体"/>
                <w:sz w:val="18"/>
                <w:szCs w:val="18"/>
              </w:rPr>
            </w:pPr>
            <w:r>
              <w:rPr>
                <w:rFonts w:hint="eastAsia" w:ascii="宋体" w:hAnsi="宋体" w:eastAsia="宋体" w:cs="宋体"/>
                <w:sz w:val="18"/>
                <w:szCs w:val="18"/>
              </w:rPr>
              <w:t>8,289.91</w:t>
            </w:r>
          </w:p>
        </w:tc>
        <w:tc>
          <w:tcPr>
            <w:tcW w:w="1134" w:type="dxa"/>
            <w:tcBorders>
              <w:top w:val="nil"/>
              <w:left w:val="nil"/>
              <w:bottom w:val="single" w:color="auto" w:sz="4" w:space="0"/>
              <w:right w:val="single" w:color="auto" w:sz="4" w:space="0"/>
            </w:tcBorders>
            <w:vAlign w:val="center"/>
          </w:tcPr>
          <w:p w14:paraId="1BE989BF">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69562F17">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A5962DE">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232AC80">
            <w:pPr>
              <w:jc w:val="center"/>
              <w:rPr>
                <w:rFonts w:hint="eastAsia" w:ascii="宋体" w:hAnsi="宋体" w:eastAsia="宋体" w:cs="宋体"/>
                <w:sz w:val="18"/>
                <w:szCs w:val="18"/>
              </w:rPr>
            </w:pPr>
          </w:p>
        </w:tc>
      </w:tr>
      <w:tr w14:paraId="60A583E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C1C8183">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1CA15D9A">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5909CB5">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47D8BBB2">
            <w:pPr>
              <w:rPr>
                <w:rFonts w:hint="eastAsia" w:ascii="宋体" w:hAnsi="宋体" w:eastAsia="宋体" w:cs="宋体"/>
                <w:b/>
                <w:bCs/>
                <w:sz w:val="18"/>
                <w:szCs w:val="18"/>
              </w:rPr>
            </w:pPr>
          </w:p>
        </w:tc>
      </w:tr>
      <w:tr w14:paraId="4434A778">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8C18EB4">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448C772B">
            <w:pPr>
              <w:rPr>
                <w:rFonts w:hint="eastAsia" w:ascii="宋体" w:hAnsi="宋体" w:eastAsia="宋体" w:cs="宋体"/>
                <w:sz w:val="18"/>
                <w:szCs w:val="18"/>
                <w:lang w:eastAsia="zh-CN"/>
              </w:rPr>
            </w:pPr>
            <w:r>
              <w:rPr>
                <w:rFonts w:hint="eastAsia" w:ascii="宋体" w:hAnsi="宋体" w:eastAsia="宋体" w:cs="宋体"/>
                <w:sz w:val="18"/>
                <w:szCs w:val="18"/>
                <w:lang w:eastAsia="zh-CN"/>
              </w:rPr>
              <w:t>履行全民所有土地、矿产等自然资源资产所有者职责和所有国土空间用途管制，启动历史遗留矿山图斑的治理，督促乡镇级国土空间规划工作，全力解决小区（楼栋）不动产证的办理问题，加大对耕地的保护力度，严守耕地红线，合理集约节约土地资源的利用。</w:t>
            </w:r>
          </w:p>
        </w:tc>
        <w:tc>
          <w:tcPr>
            <w:tcW w:w="4581" w:type="dxa"/>
            <w:gridSpan w:val="4"/>
            <w:tcBorders>
              <w:top w:val="single" w:color="auto" w:sz="4" w:space="0"/>
              <w:left w:val="nil"/>
              <w:bottom w:val="single" w:color="auto" w:sz="4" w:space="0"/>
              <w:right w:val="single" w:color="auto" w:sz="4" w:space="0"/>
            </w:tcBorders>
          </w:tcPr>
          <w:p w14:paraId="5BC4760D">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8289.91万元，全年执行数为8289.91万元，总预算执行率为100%。2024年我单位完成以下工作内容：1、启动36个历史遗留矿山图斑的治理；2、督促13个乡镇级国土空间规划；3、全力解决35个问题小区（楼栋）的办理不动产证；4、耕地保护面积达235.58万亩。通过以上工作的实施，守牢了安全生产底线，推进了村庄规划编制工作，化解了不动产登记难的问题，落实了耕地保有量工作，助推了县域经济社会高质量发展。</w:t>
            </w:r>
          </w:p>
        </w:tc>
        <w:tc>
          <w:tcPr>
            <w:tcW w:w="284" w:type="dxa"/>
            <w:tcBorders>
              <w:top w:val="nil"/>
              <w:left w:val="nil"/>
              <w:bottom w:val="nil"/>
              <w:right w:val="nil"/>
            </w:tcBorders>
            <w:noWrap/>
            <w:vAlign w:val="center"/>
          </w:tcPr>
          <w:p w14:paraId="1AF1AADD">
            <w:pPr>
              <w:rPr>
                <w:rFonts w:hint="eastAsia" w:ascii="宋体" w:hAnsi="宋体" w:eastAsia="宋体" w:cs="宋体"/>
                <w:sz w:val="18"/>
                <w:szCs w:val="18"/>
                <w:lang w:eastAsia="zh-CN"/>
              </w:rPr>
            </w:pPr>
          </w:p>
        </w:tc>
      </w:tr>
      <w:tr w14:paraId="24FE6F6F">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3096F8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C07513A">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FC3DBBD">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67D1A7F1">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124B0EC">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7A44EE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574202D">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33034EE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0F653ED">
            <w:pPr>
              <w:rPr>
                <w:rFonts w:hint="eastAsia" w:ascii="宋体" w:hAnsi="宋体" w:eastAsia="宋体" w:cs="宋体"/>
                <w:b/>
                <w:bCs/>
                <w:sz w:val="18"/>
                <w:szCs w:val="18"/>
              </w:rPr>
            </w:pPr>
          </w:p>
        </w:tc>
      </w:tr>
      <w:tr w14:paraId="2D26D883">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005C1FA">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7EF66B2">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6436A1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启动历史遗留矿山图斑的治理数量（个）</w:t>
            </w:r>
          </w:p>
        </w:tc>
        <w:tc>
          <w:tcPr>
            <w:tcW w:w="1242" w:type="dxa"/>
            <w:tcBorders>
              <w:top w:val="nil"/>
              <w:left w:val="nil"/>
              <w:bottom w:val="single" w:color="auto" w:sz="4" w:space="0"/>
              <w:right w:val="single" w:color="auto" w:sz="4" w:space="0"/>
            </w:tcBorders>
            <w:noWrap/>
            <w:vAlign w:val="center"/>
          </w:tcPr>
          <w:p w14:paraId="6349F3BB">
            <w:pPr>
              <w:jc w:val="center"/>
              <w:rPr>
                <w:rFonts w:hint="eastAsia" w:ascii="宋体" w:hAnsi="宋体" w:eastAsia="宋体" w:cs="宋体"/>
                <w:sz w:val="18"/>
                <w:szCs w:val="18"/>
              </w:rPr>
            </w:pPr>
            <w:r>
              <w:rPr>
                <w:rFonts w:hint="eastAsia" w:ascii="宋体" w:hAnsi="宋体" w:eastAsia="宋体" w:cs="宋体"/>
                <w:sz w:val="18"/>
                <w:szCs w:val="18"/>
              </w:rPr>
              <w:t>&lt;=36个</w:t>
            </w:r>
          </w:p>
        </w:tc>
        <w:tc>
          <w:tcPr>
            <w:tcW w:w="1417" w:type="dxa"/>
            <w:tcBorders>
              <w:top w:val="nil"/>
              <w:left w:val="nil"/>
              <w:bottom w:val="single" w:color="auto" w:sz="4" w:space="0"/>
              <w:right w:val="single" w:color="auto" w:sz="4" w:space="0"/>
            </w:tcBorders>
            <w:noWrap/>
            <w:vAlign w:val="center"/>
          </w:tcPr>
          <w:p w14:paraId="2718450C">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奇台县自然资源局2024年工作计划</w:t>
            </w:r>
          </w:p>
        </w:tc>
        <w:tc>
          <w:tcPr>
            <w:tcW w:w="1134" w:type="dxa"/>
            <w:tcBorders>
              <w:top w:val="nil"/>
              <w:left w:val="nil"/>
              <w:bottom w:val="single" w:color="auto" w:sz="4" w:space="0"/>
              <w:right w:val="single" w:color="auto" w:sz="4" w:space="0"/>
            </w:tcBorders>
            <w:noWrap/>
            <w:vAlign w:val="center"/>
          </w:tcPr>
          <w:p w14:paraId="691D975A">
            <w:pPr>
              <w:jc w:val="center"/>
              <w:rPr>
                <w:rFonts w:hint="eastAsia" w:ascii="宋体" w:hAnsi="宋体" w:eastAsia="宋体" w:cs="宋体"/>
                <w:sz w:val="18"/>
                <w:szCs w:val="18"/>
              </w:rPr>
            </w:pPr>
            <w:r>
              <w:rPr>
                <w:rFonts w:hint="eastAsia" w:ascii="宋体" w:hAnsi="宋体" w:eastAsia="宋体" w:cs="宋体"/>
                <w:sz w:val="18"/>
                <w:szCs w:val="18"/>
              </w:rPr>
              <w:t>39</w:t>
            </w:r>
          </w:p>
        </w:tc>
        <w:tc>
          <w:tcPr>
            <w:tcW w:w="1310" w:type="dxa"/>
            <w:tcBorders>
              <w:top w:val="nil"/>
              <w:left w:val="nil"/>
              <w:bottom w:val="single" w:color="auto" w:sz="4" w:space="0"/>
              <w:right w:val="single" w:color="auto" w:sz="4" w:space="0"/>
            </w:tcBorders>
            <w:noWrap/>
            <w:vAlign w:val="center"/>
          </w:tcPr>
          <w:p w14:paraId="2F44482A">
            <w:pPr>
              <w:jc w:val="center"/>
              <w:rPr>
                <w:rFonts w:hint="eastAsia" w:ascii="宋体" w:hAnsi="宋体" w:eastAsia="宋体" w:cs="宋体"/>
                <w:sz w:val="18"/>
                <w:szCs w:val="18"/>
              </w:rPr>
            </w:pPr>
            <w:r>
              <w:rPr>
                <w:rFonts w:hint="eastAsia" w:ascii="宋体" w:hAnsi="宋体" w:eastAsia="宋体" w:cs="宋体"/>
                <w:sz w:val="18"/>
                <w:szCs w:val="18"/>
              </w:rPr>
              <w:t>=36个</w:t>
            </w:r>
          </w:p>
        </w:tc>
        <w:tc>
          <w:tcPr>
            <w:tcW w:w="720" w:type="dxa"/>
            <w:tcBorders>
              <w:top w:val="nil"/>
              <w:left w:val="nil"/>
              <w:bottom w:val="single" w:color="auto" w:sz="4" w:space="0"/>
              <w:right w:val="single" w:color="auto" w:sz="4" w:space="0"/>
            </w:tcBorders>
            <w:noWrap/>
            <w:vAlign w:val="center"/>
          </w:tcPr>
          <w:p w14:paraId="69913F62">
            <w:pPr>
              <w:jc w:val="center"/>
              <w:rPr>
                <w:rFonts w:hint="eastAsia" w:ascii="宋体" w:hAnsi="宋体" w:eastAsia="宋体" w:cs="宋体"/>
                <w:sz w:val="18"/>
                <w:szCs w:val="18"/>
              </w:rPr>
            </w:pPr>
            <w:r>
              <w:rPr>
                <w:rFonts w:hint="eastAsia" w:ascii="宋体" w:hAnsi="宋体" w:eastAsia="宋体" w:cs="宋体"/>
                <w:sz w:val="18"/>
                <w:szCs w:val="18"/>
              </w:rPr>
              <w:t>39</w:t>
            </w:r>
          </w:p>
        </w:tc>
        <w:tc>
          <w:tcPr>
            <w:tcW w:w="284" w:type="dxa"/>
            <w:tcBorders>
              <w:top w:val="nil"/>
              <w:left w:val="nil"/>
              <w:bottom w:val="nil"/>
              <w:right w:val="nil"/>
            </w:tcBorders>
            <w:noWrap/>
            <w:vAlign w:val="center"/>
          </w:tcPr>
          <w:p w14:paraId="0439816D">
            <w:pPr>
              <w:jc w:val="center"/>
              <w:rPr>
                <w:rFonts w:hint="eastAsia" w:ascii="宋体" w:hAnsi="宋体" w:eastAsia="宋体" w:cs="宋体"/>
                <w:sz w:val="18"/>
                <w:szCs w:val="18"/>
              </w:rPr>
            </w:pPr>
          </w:p>
        </w:tc>
      </w:tr>
      <w:tr w14:paraId="46F5C38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64CEFF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09F5A9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C62DD4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督促乡镇级国土空间规划数量（个）</w:t>
            </w:r>
          </w:p>
        </w:tc>
        <w:tc>
          <w:tcPr>
            <w:tcW w:w="1242" w:type="dxa"/>
            <w:tcBorders>
              <w:top w:val="nil"/>
              <w:left w:val="nil"/>
              <w:bottom w:val="single" w:color="auto" w:sz="4" w:space="0"/>
              <w:right w:val="single" w:color="auto" w:sz="4" w:space="0"/>
            </w:tcBorders>
            <w:noWrap/>
            <w:vAlign w:val="center"/>
          </w:tcPr>
          <w:p w14:paraId="07CF836D">
            <w:pPr>
              <w:jc w:val="center"/>
              <w:rPr>
                <w:rFonts w:hint="eastAsia" w:ascii="宋体" w:hAnsi="宋体" w:eastAsia="宋体" w:cs="宋体"/>
                <w:sz w:val="18"/>
                <w:szCs w:val="18"/>
              </w:rPr>
            </w:pPr>
            <w:r>
              <w:rPr>
                <w:rFonts w:hint="eastAsia" w:ascii="宋体" w:hAnsi="宋体" w:eastAsia="宋体" w:cs="宋体"/>
                <w:sz w:val="18"/>
                <w:szCs w:val="18"/>
              </w:rPr>
              <w:t>&lt;=13个</w:t>
            </w:r>
          </w:p>
        </w:tc>
        <w:tc>
          <w:tcPr>
            <w:tcW w:w="1417" w:type="dxa"/>
            <w:tcBorders>
              <w:top w:val="nil"/>
              <w:left w:val="nil"/>
              <w:bottom w:val="single" w:color="auto" w:sz="4" w:space="0"/>
              <w:right w:val="single" w:color="auto" w:sz="4" w:space="0"/>
            </w:tcBorders>
            <w:noWrap/>
            <w:vAlign w:val="center"/>
          </w:tcPr>
          <w:p w14:paraId="3EF19A87">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奇台县自然资源局2024年工作计划</w:t>
            </w:r>
          </w:p>
        </w:tc>
        <w:tc>
          <w:tcPr>
            <w:tcW w:w="1134" w:type="dxa"/>
            <w:tcBorders>
              <w:top w:val="nil"/>
              <w:left w:val="nil"/>
              <w:bottom w:val="single" w:color="auto" w:sz="4" w:space="0"/>
              <w:right w:val="single" w:color="auto" w:sz="4" w:space="0"/>
            </w:tcBorders>
            <w:noWrap/>
            <w:vAlign w:val="center"/>
          </w:tcPr>
          <w:p w14:paraId="55C21425">
            <w:pPr>
              <w:jc w:val="center"/>
              <w:rPr>
                <w:rFonts w:hint="eastAsia" w:ascii="宋体" w:hAnsi="宋体" w:eastAsia="宋体" w:cs="宋体"/>
                <w:sz w:val="18"/>
                <w:szCs w:val="18"/>
              </w:rPr>
            </w:pPr>
            <w:r>
              <w:rPr>
                <w:rFonts w:hint="eastAsia" w:ascii="宋体" w:hAnsi="宋体" w:eastAsia="宋体" w:cs="宋体"/>
                <w:sz w:val="18"/>
                <w:szCs w:val="18"/>
              </w:rPr>
              <w:t>16</w:t>
            </w:r>
          </w:p>
        </w:tc>
        <w:tc>
          <w:tcPr>
            <w:tcW w:w="1310" w:type="dxa"/>
            <w:tcBorders>
              <w:top w:val="nil"/>
              <w:left w:val="nil"/>
              <w:bottom w:val="single" w:color="auto" w:sz="4" w:space="0"/>
              <w:right w:val="single" w:color="auto" w:sz="4" w:space="0"/>
            </w:tcBorders>
            <w:noWrap/>
            <w:vAlign w:val="center"/>
          </w:tcPr>
          <w:p w14:paraId="118BA6E3">
            <w:pPr>
              <w:jc w:val="center"/>
              <w:rPr>
                <w:rFonts w:hint="eastAsia" w:ascii="宋体" w:hAnsi="宋体" w:eastAsia="宋体" w:cs="宋体"/>
                <w:sz w:val="18"/>
                <w:szCs w:val="18"/>
              </w:rPr>
            </w:pPr>
            <w:r>
              <w:rPr>
                <w:rFonts w:hint="eastAsia" w:ascii="宋体" w:hAnsi="宋体" w:eastAsia="宋体" w:cs="宋体"/>
                <w:sz w:val="18"/>
                <w:szCs w:val="18"/>
              </w:rPr>
              <w:t>=13个</w:t>
            </w:r>
          </w:p>
        </w:tc>
        <w:tc>
          <w:tcPr>
            <w:tcW w:w="720" w:type="dxa"/>
            <w:tcBorders>
              <w:top w:val="nil"/>
              <w:left w:val="nil"/>
              <w:bottom w:val="single" w:color="auto" w:sz="4" w:space="0"/>
              <w:right w:val="single" w:color="auto" w:sz="4" w:space="0"/>
            </w:tcBorders>
            <w:noWrap/>
            <w:vAlign w:val="center"/>
          </w:tcPr>
          <w:p w14:paraId="358E04F8">
            <w:pPr>
              <w:jc w:val="center"/>
              <w:rPr>
                <w:rFonts w:hint="eastAsia" w:ascii="宋体" w:hAnsi="宋体" w:eastAsia="宋体" w:cs="宋体"/>
                <w:sz w:val="18"/>
                <w:szCs w:val="18"/>
              </w:rPr>
            </w:pPr>
            <w:r>
              <w:rPr>
                <w:rFonts w:hint="eastAsia" w:ascii="宋体" w:hAnsi="宋体" w:eastAsia="宋体" w:cs="宋体"/>
                <w:sz w:val="18"/>
                <w:szCs w:val="18"/>
              </w:rPr>
              <w:t>16</w:t>
            </w:r>
          </w:p>
        </w:tc>
        <w:tc>
          <w:tcPr>
            <w:tcW w:w="284" w:type="dxa"/>
            <w:tcBorders>
              <w:top w:val="nil"/>
              <w:left w:val="nil"/>
              <w:bottom w:val="nil"/>
              <w:right w:val="nil"/>
            </w:tcBorders>
            <w:noWrap/>
            <w:vAlign w:val="center"/>
          </w:tcPr>
          <w:p w14:paraId="246161E8">
            <w:pPr>
              <w:jc w:val="center"/>
              <w:rPr>
                <w:rFonts w:hint="eastAsia" w:ascii="宋体" w:hAnsi="宋体" w:eastAsia="宋体" w:cs="宋体"/>
                <w:sz w:val="18"/>
                <w:szCs w:val="18"/>
              </w:rPr>
            </w:pPr>
          </w:p>
        </w:tc>
      </w:tr>
      <w:tr w14:paraId="58C6D2C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D5A8EA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6202FA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BD10B5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全力解决问题小区（楼栋）的办理不动产证数量（个）</w:t>
            </w:r>
          </w:p>
        </w:tc>
        <w:tc>
          <w:tcPr>
            <w:tcW w:w="1242" w:type="dxa"/>
            <w:tcBorders>
              <w:top w:val="nil"/>
              <w:left w:val="nil"/>
              <w:bottom w:val="single" w:color="auto" w:sz="4" w:space="0"/>
              <w:right w:val="single" w:color="auto" w:sz="4" w:space="0"/>
            </w:tcBorders>
            <w:noWrap/>
            <w:vAlign w:val="center"/>
          </w:tcPr>
          <w:p w14:paraId="2DACAAD9">
            <w:pPr>
              <w:jc w:val="center"/>
              <w:rPr>
                <w:rFonts w:hint="eastAsia" w:ascii="宋体" w:hAnsi="宋体" w:eastAsia="宋体" w:cs="宋体"/>
                <w:sz w:val="18"/>
                <w:szCs w:val="18"/>
              </w:rPr>
            </w:pPr>
            <w:r>
              <w:rPr>
                <w:rFonts w:hint="eastAsia" w:ascii="宋体" w:hAnsi="宋体" w:eastAsia="宋体" w:cs="宋体"/>
                <w:sz w:val="18"/>
                <w:szCs w:val="18"/>
              </w:rPr>
              <w:t>&lt;=35个</w:t>
            </w:r>
          </w:p>
        </w:tc>
        <w:tc>
          <w:tcPr>
            <w:tcW w:w="1417" w:type="dxa"/>
            <w:tcBorders>
              <w:top w:val="nil"/>
              <w:left w:val="nil"/>
              <w:bottom w:val="single" w:color="auto" w:sz="4" w:space="0"/>
              <w:right w:val="single" w:color="auto" w:sz="4" w:space="0"/>
            </w:tcBorders>
            <w:noWrap/>
            <w:vAlign w:val="center"/>
          </w:tcPr>
          <w:p w14:paraId="5423210B">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奇台县自然资源局2024年工作计划</w:t>
            </w:r>
          </w:p>
        </w:tc>
        <w:tc>
          <w:tcPr>
            <w:tcW w:w="1134" w:type="dxa"/>
            <w:tcBorders>
              <w:top w:val="nil"/>
              <w:left w:val="nil"/>
              <w:bottom w:val="single" w:color="auto" w:sz="4" w:space="0"/>
              <w:right w:val="single" w:color="auto" w:sz="4" w:space="0"/>
            </w:tcBorders>
            <w:noWrap/>
            <w:vAlign w:val="center"/>
          </w:tcPr>
          <w:p w14:paraId="62B79782">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83C4160">
            <w:pPr>
              <w:jc w:val="center"/>
              <w:rPr>
                <w:rFonts w:hint="eastAsia" w:ascii="宋体" w:hAnsi="宋体" w:eastAsia="宋体" w:cs="宋体"/>
                <w:sz w:val="18"/>
                <w:szCs w:val="18"/>
              </w:rPr>
            </w:pPr>
            <w:r>
              <w:rPr>
                <w:rFonts w:hint="eastAsia" w:ascii="宋体" w:hAnsi="宋体" w:eastAsia="宋体" w:cs="宋体"/>
                <w:sz w:val="18"/>
                <w:szCs w:val="18"/>
              </w:rPr>
              <w:t>=35个</w:t>
            </w:r>
          </w:p>
        </w:tc>
        <w:tc>
          <w:tcPr>
            <w:tcW w:w="720" w:type="dxa"/>
            <w:tcBorders>
              <w:top w:val="nil"/>
              <w:left w:val="nil"/>
              <w:bottom w:val="single" w:color="auto" w:sz="4" w:space="0"/>
              <w:right w:val="single" w:color="auto" w:sz="4" w:space="0"/>
            </w:tcBorders>
            <w:noWrap/>
            <w:vAlign w:val="center"/>
          </w:tcPr>
          <w:p w14:paraId="7AA4CFF8">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1FCB63F8">
            <w:pPr>
              <w:jc w:val="center"/>
              <w:rPr>
                <w:rFonts w:hint="eastAsia" w:ascii="宋体" w:hAnsi="宋体" w:eastAsia="宋体" w:cs="宋体"/>
                <w:sz w:val="18"/>
                <w:szCs w:val="18"/>
              </w:rPr>
            </w:pPr>
          </w:p>
        </w:tc>
      </w:tr>
      <w:tr w14:paraId="69D6B89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E90B9D0">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1355021">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54FED9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耕地保护面积（万亩）</w:t>
            </w:r>
          </w:p>
        </w:tc>
        <w:tc>
          <w:tcPr>
            <w:tcW w:w="1242" w:type="dxa"/>
            <w:tcBorders>
              <w:top w:val="nil"/>
              <w:left w:val="nil"/>
              <w:bottom w:val="single" w:color="auto" w:sz="4" w:space="0"/>
              <w:right w:val="single" w:color="auto" w:sz="4" w:space="0"/>
            </w:tcBorders>
            <w:noWrap/>
            <w:vAlign w:val="center"/>
          </w:tcPr>
          <w:p w14:paraId="065A670B">
            <w:pPr>
              <w:jc w:val="center"/>
              <w:rPr>
                <w:rFonts w:hint="eastAsia" w:ascii="宋体" w:hAnsi="宋体" w:eastAsia="宋体" w:cs="宋体"/>
                <w:sz w:val="18"/>
                <w:szCs w:val="18"/>
              </w:rPr>
            </w:pPr>
            <w:r>
              <w:rPr>
                <w:rFonts w:hint="eastAsia" w:ascii="宋体" w:hAnsi="宋体" w:eastAsia="宋体" w:cs="宋体"/>
                <w:sz w:val="18"/>
                <w:szCs w:val="18"/>
              </w:rPr>
              <w:t>&gt;=235.58万亩</w:t>
            </w:r>
          </w:p>
        </w:tc>
        <w:tc>
          <w:tcPr>
            <w:tcW w:w="1417" w:type="dxa"/>
            <w:tcBorders>
              <w:top w:val="nil"/>
              <w:left w:val="nil"/>
              <w:bottom w:val="single" w:color="auto" w:sz="4" w:space="0"/>
              <w:right w:val="single" w:color="auto" w:sz="4" w:space="0"/>
            </w:tcBorders>
            <w:noWrap/>
            <w:vAlign w:val="center"/>
          </w:tcPr>
          <w:p w14:paraId="552FB26A">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奇台县自然资源局2024年工作计划</w:t>
            </w:r>
          </w:p>
        </w:tc>
        <w:tc>
          <w:tcPr>
            <w:tcW w:w="1134" w:type="dxa"/>
            <w:tcBorders>
              <w:top w:val="nil"/>
              <w:left w:val="nil"/>
              <w:bottom w:val="single" w:color="auto" w:sz="4" w:space="0"/>
              <w:right w:val="single" w:color="auto" w:sz="4" w:space="0"/>
            </w:tcBorders>
            <w:noWrap/>
            <w:vAlign w:val="center"/>
          </w:tcPr>
          <w:p w14:paraId="21DC66C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1F60753B">
            <w:pPr>
              <w:jc w:val="center"/>
              <w:rPr>
                <w:rFonts w:hint="eastAsia" w:ascii="宋体" w:hAnsi="宋体" w:eastAsia="宋体" w:cs="宋体"/>
                <w:sz w:val="18"/>
                <w:szCs w:val="18"/>
              </w:rPr>
            </w:pPr>
            <w:r>
              <w:rPr>
                <w:rFonts w:hint="eastAsia" w:ascii="宋体" w:hAnsi="宋体" w:eastAsia="宋体" w:cs="宋体"/>
                <w:sz w:val="18"/>
                <w:szCs w:val="18"/>
              </w:rPr>
              <w:t>=235.58万亩</w:t>
            </w:r>
          </w:p>
        </w:tc>
        <w:tc>
          <w:tcPr>
            <w:tcW w:w="720" w:type="dxa"/>
            <w:tcBorders>
              <w:top w:val="nil"/>
              <w:left w:val="nil"/>
              <w:bottom w:val="single" w:color="auto" w:sz="4" w:space="0"/>
              <w:right w:val="single" w:color="auto" w:sz="4" w:space="0"/>
            </w:tcBorders>
            <w:noWrap/>
            <w:vAlign w:val="center"/>
          </w:tcPr>
          <w:p w14:paraId="527E1919">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4A95A48E">
            <w:pPr>
              <w:jc w:val="center"/>
              <w:rPr>
                <w:rFonts w:hint="eastAsia" w:ascii="宋体" w:hAnsi="宋体" w:eastAsia="宋体" w:cs="宋体"/>
                <w:sz w:val="18"/>
                <w:szCs w:val="18"/>
              </w:rPr>
            </w:pPr>
          </w:p>
        </w:tc>
      </w:tr>
    </w:tbl>
    <w:p w14:paraId="6D73A2D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83AD7D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7"/>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52815AE0">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54781752">
            <w:pPr>
              <w:jc w:val="center"/>
              <w:rPr>
                <w:rFonts w:hint="eastAsia" w:ascii="宋体" w:hAnsi="宋体" w:eastAsia="宋体" w:cs="宋体"/>
                <w:b/>
                <w:bCs/>
                <w:color w:val="000000"/>
                <w:sz w:val="18"/>
                <w:szCs w:val="18"/>
              </w:rPr>
            </w:pPr>
            <w:bookmarkStart w:id="18"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E237D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奇财农[2024]14号化解历年欠款资金</w:t>
            </w:r>
          </w:p>
        </w:tc>
      </w:tr>
      <w:tr w14:paraId="711E72B9">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478826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4D3CE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34AFCC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5740E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2F508224">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382410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5A8F65FF">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A48DB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80D2A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5C2968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B8DC8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952E8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CBC4F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6A66643">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E9D630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6ED46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7C23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54.65</w:t>
            </w:r>
          </w:p>
        </w:tc>
        <w:tc>
          <w:tcPr>
            <w:tcW w:w="982" w:type="pct"/>
            <w:gridSpan w:val="3"/>
            <w:tcBorders>
              <w:top w:val="single" w:color="auto" w:sz="4" w:space="0"/>
              <w:left w:val="nil"/>
              <w:bottom w:val="single" w:color="auto" w:sz="4" w:space="0"/>
              <w:right w:val="single" w:color="auto" w:sz="4" w:space="0"/>
            </w:tcBorders>
            <w:vAlign w:val="center"/>
          </w:tcPr>
          <w:p w14:paraId="005DB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3,634.13</w:t>
            </w:r>
          </w:p>
        </w:tc>
        <w:tc>
          <w:tcPr>
            <w:tcW w:w="708" w:type="pct"/>
            <w:gridSpan w:val="2"/>
            <w:tcBorders>
              <w:top w:val="single" w:color="auto" w:sz="4" w:space="0"/>
              <w:left w:val="nil"/>
              <w:bottom w:val="single" w:color="auto" w:sz="4" w:space="0"/>
              <w:right w:val="single" w:color="auto" w:sz="4" w:space="0"/>
            </w:tcBorders>
            <w:vAlign w:val="center"/>
          </w:tcPr>
          <w:p w14:paraId="25F4E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3,634.13</w:t>
            </w:r>
          </w:p>
        </w:tc>
        <w:tc>
          <w:tcPr>
            <w:tcW w:w="671" w:type="pct"/>
            <w:gridSpan w:val="2"/>
            <w:tcBorders>
              <w:top w:val="nil"/>
              <w:left w:val="nil"/>
              <w:bottom w:val="single" w:color="auto" w:sz="4" w:space="0"/>
              <w:right w:val="single" w:color="auto" w:sz="4" w:space="0"/>
            </w:tcBorders>
            <w:vAlign w:val="center"/>
          </w:tcPr>
          <w:p w14:paraId="400729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DDEA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11F24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5FA976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8ADD38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F98F5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7A067B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54.65</w:t>
            </w:r>
          </w:p>
        </w:tc>
        <w:tc>
          <w:tcPr>
            <w:tcW w:w="982" w:type="pct"/>
            <w:gridSpan w:val="3"/>
            <w:tcBorders>
              <w:top w:val="single" w:color="auto" w:sz="4" w:space="0"/>
              <w:left w:val="nil"/>
              <w:bottom w:val="single" w:color="auto" w:sz="4" w:space="0"/>
              <w:right w:val="single" w:color="auto" w:sz="4" w:space="0"/>
            </w:tcBorders>
            <w:vAlign w:val="center"/>
          </w:tcPr>
          <w:p w14:paraId="65C4C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3,634.13</w:t>
            </w:r>
          </w:p>
        </w:tc>
        <w:tc>
          <w:tcPr>
            <w:tcW w:w="708" w:type="pct"/>
            <w:gridSpan w:val="2"/>
            <w:tcBorders>
              <w:top w:val="single" w:color="auto" w:sz="4" w:space="0"/>
              <w:left w:val="nil"/>
              <w:bottom w:val="single" w:color="auto" w:sz="4" w:space="0"/>
              <w:right w:val="single" w:color="auto" w:sz="4" w:space="0"/>
            </w:tcBorders>
            <w:vAlign w:val="center"/>
          </w:tcPr>
          <w:p w14:paraId="488F72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3,634.13</w:t>
            </w:r>
          </w:p>
        </w:tc>
        <w:tc>
          <w:tcPr>
            <w:tcW w:w="671" w:type="pct"/>
            <w:gridSpan w:val="2"/>
            <w:tcBorders>
              <w:top w:val="nil"/>
              <w:left w:val="nil"/>
              <w:bottom w:val="single" w:color="auto" w:sz="4" w:space="0"/>
              <w:right w:val="single" w:color="auto" w:sz="4" w:space="0"/>
            </w:tcBorders>
            <w:vAlign w:val="center"/>
          </w:tcPr>
          <w:p w14:paraId="4224E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D9A7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A324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1016DD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98F799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038D6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F83E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13E3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AEC19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EA4F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A80F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1032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AF163F2">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EDEA7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EC897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06B99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F034CE6">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9940611">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EB9A69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关于拨付奇台县自然资源局化解历年欠款资金的通知（奇财农[2024]14号）、关于下达奇台县2024年中小企业欠款项目化解的通知（奇财债[2024]4号）、关于化解奇台县金晔电脑办公用品中心债务的通知（奇财农[2024]1号）、关于下达奇台县2024年中小企业欠款项目化解的通知（奇财债[2024]4号），关于下达2023年第六批自治区预算内投资的通知（昌州财办建[2023]14号），完成债务化解37笔，涉及债务化解金额足额支付，确保债务在2024年12月底之前有效化解，有效保障单位良好信用，让支付对象满意。</w:t>
            </w:r>
          </w:p>
        </w:tc>
        <w:tc>
          <w:tcPr>
            <w:tcW w:w="2559" w:type="pct"/>
            <w:gridSpan w:val="7"/>
            <w:tcBorders>
              <w:top w:val="single" w:color="auto" w:sz="4" w:space="0"/>
              <w:left w:val="nil"/>
              <w:bottom w:val="single" w:color="auto" w:sz="4" w:space="0"/>
              <w:right w:val="single" w:color="auto" w:sz="4" w:space="0"/>
            </w:tcBorders>
            <w:vAlign w:val="center"/>
          </w:tcPr>
          <w:p w14:paraId="53390F0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截至2024年12月31日，该项目支付债务金额3634.13万元，及时准确地支付债务37笔，通过该项目的实施，保障了单位的良好信用，提升了支付对象的满意度。</w:t>
            </w:r>
          </w:p>
        </w:tc>
      </w:tr>
      <w:tr w14:paraId="50CC7B10">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4CA9F1F7">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EB465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9A5BD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663E2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10612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106D8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EB810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65F11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182DD6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19739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17CAC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6F8A9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3C9553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7B39E4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2EF1165">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4F99EA2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EB8D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3FA6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86390B2">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债务支付笔数（笔）</w:t>
            </w:r>
          </w:p>
        </w:tc>
        <w:tc>
          <w:tcPr>
            <w:tcW w:w="334" w:type="pct"/>
            <w:tcBorders>
              <w:top w:val="nil"/>
              <w:left w:val="nil"/>
              <w:bottom w:val="single" w:color="auto" w:sz="4" w:space="0"/>
              <w:right w:val="single" w:color="auto" w:sz="4" w:space="0"/>
            </w:tcBorders>
            <w:vAlign w:val="center"/>
          </w:tcPr>
          <w:p w14:paraId="4EB2D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EAADB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=37笔</w:t>
            </w:r>
          </w:p>
        </w:tc>
        <w:tc>
          <w:tcPr>
            <w:tcW w:w="333" w:type="pct"/>
            <w:tcBorders>
              <w:top w:val="nil"/>
              <w:left w:val="nil"/>
              <w:bottom w:val="single" w:color="auto" w:sz="4" w:space="0"/>
              <w:right w:val="single" w:color="auto" w:sz="4" w:space="0"/>
            </w:tcBorders>
            <w:vAlign w:val="center"/>
          </w:tcPr>
          <w:p w14:paraId="3BA8FD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=37笔</w:t>
            </w:r>
          </w:p>
        </w:tc>
        <w:tc>
          <w:tcPr>
            <w:tcW w:w="328" w:type="pct"/>
            <w:tcBorders>
              <w:top w:val="nil"/>
              <w:left w:val="nil"/>
              <w:bottom w:val="single" w:color="auto" w:sz="4" w:space="0"/>
              <w:right w:val="single" w:color="auto" w:sz="4" w:space="0"/>
            </w:tcBorders>
            <w:vAlign w:val="center"/>
          </w:tcPr>
          <w:p w14:paraId="5D09C2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A7FE7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7E417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46DD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4B63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D7D0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03095C9">
            <w:pPr>
              <w:jc w:val="center"/>
              <w:rPr>
                <w:rFonts w:hint="eastAsia" w:ascii="宋体" w:hAnsi="宋体" w:eastAsia="宋体" w:cs="宋体"/>
                <w:color w:val="000000"/>
                <w:sz w:val="18"/>
                <w:szCs w:val="18"/>
              </w:rPr>
            </w:pPr>
          </w:p>
        </w:tc>
      </w:tr>
      <w:tr w14:paraId="07D5EEB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87B0D3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3B688F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CB14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8E356E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债务资金支付完成率（%）</w:t>
            </w:r>
          </w:p>
        </w:tc>
        <w:tc>
          <w:tcPr>
            <w:tcW w:w="334" w:type="pct"/>
            <w:tcBorders>
              <w:top w:val="nil"/>
              <w:left w:val="nil"/>
              <w:bottom w:val="single" w:color="auto" w:sz="4" w:space="0"/>
              <w:right w:val="single" w:color="auto" w:sz="4" w:space="0"/>
            </w:tcBorders>
            <w:vAlign w:val="center"/>
          </w:tcPr>
          <w:p w14:paraId="6489E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9D6A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B7F22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75874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789C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B02C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E993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C210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EDD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E1DC9DC">
            <w:pPr>
              <w:jc w:val="center"/>
              <w:rPr>
                <w:rFonts w:hint="eastAsia" w:ascii="宋体" w:hAnsi="宋体" w:eastAsia="宋体" w:cs="宋体"/>
                <w:color w:val="000000"/>
                <w:sz w:val="18"/>
                <w:szCs w:val="18"/>
              </w:rPr>
            </w:pPr>
          </w:p>
        </w:tc>
      </w:tr>
      <w:tr w14:paraId="1D87DBA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5349F3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ECC5FD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1867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D8A9F2D">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2A097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7D8E5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6EDD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EB54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BC977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B068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A62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4E8D5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3626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13F1EA7">
            <w:pPr>
              <w:jc w:val="center"/>
              <w:rPr>
                <w:rFonts w:hint="eastAsia" w:ascii="宋体" w:hAnsi="宋体" w:eastAsia="宋体" w:cs="宋体"/>
                <w:color w:val="000000"/>
                <w:sz w:val="18"/>
                <w:szCs w:val="18"/>
              </w:rPr>
            </w:pPr>
          </w:p>
        </w:tc>
      </w:tr>
      <w:tr w14:paraId="09A9C98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001D682">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18EE7F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2666F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6EC548F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债务资金按期支付率（%）</w:t>
            </w:r>
          </w:p>
        </w:tc>
        <w:tc>
          <w:tcPr>
            <w:tcW w:w="334" w:type="pct"/>
            <w:tcBorders>
              <w:top w:val="nil"/>
              <w:left w:val="nil"/>
              <w:bottom w:val="single" w:color="auto" w:sz="4" w:space="0"/>
              <w:right w:val="single" w:color="auto" w:sz="4" w:space="0"/>
            </w:tcBorders>
            <w:vAlign w:val="center"/>
          </w:tcPr>
          <w:p w14:paraId="218C8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70D7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BDA8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94B9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589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79D7F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37F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D79E6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8863F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151C972">
            <w:pPr>
              <w:jc w:val="center"/>
              <w:rPr>
                <w:rFonts w:hint="eastAsia" w:ascii="宋体" w:hAnsi="宋体" w:eastAsia="宋体" w:cs="宋体"/>
                <w:color w:val="000000"/>
                <w:sz w:val="18"/>
                <w:szCs w:val="18"/>
              </w:rPr>
            </w:pPr>
          </w:p>
        </w:tc>
      </w:tr>
      <w:tr w14:paraId="5F64FC9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1A5BD0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E508B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2FA3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3DB566F">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708FD8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971DA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FDA3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2C870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E8D5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EC80F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3BF4D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3F47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2B69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15AB1D5">
            <w:pPr>
              <w:jc w:val="center"/>
              <w:rPr>
                <w:rFonts w:hint="eastAsia" w:ascii="宋体" w:hAnsi="宋体" w:eastAsia="宋体" w:cs="宋体"/>
                <w:color w:val="000000"/>
                <w:sz w:val="18"/>
                <w:szCs w:val="18"/>
              </w:rPr>
            </w:pPr>
          </w:p>
        </w:tc>
      </w:tr>
      <w:tr w14:paraId="169C385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03A056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CEDA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463C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39994C7">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45ED6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02A63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3527BD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50930E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48FA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5AB7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1C1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8BB9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F662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C7E5BFF">
            <w:pPr>
              <w:jc w:val="center"/>
              <w:rPr>
                <w:rFonts w:hint="eastAsia" w:ascii="宋体" w:hAnsi="宋体" w:eastAsia="宋体" w:cs="宋体"/>
                <w:color w:val="000000"/>
                <w:sz w:val="18"/>
                <w:szCs w:val="18"/>
              </w:rPr>
            </w:pPr>
          </w:p>
        </w:tc>
      </w:tr>
      <w:tr w14:paraId="27E080D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022AB22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B0089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E9D9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E97CD04">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40A0C5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2C7AD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&gt;=92%</w:t>
            </w:r>
          </w:p>
        </w:tc>
        <w:tc>
          <w:tcPr>
            <w:tcW w:w="333" w:type="pct"/>
            <w:tcBorders>
              <w:top w:val="nil"/>
              <w:left w:val="nil"/>
              <w:bottom w:val="single" w:color="auto" w:sz="4" w:space="0"/>
              <w:right w:val="single" w:color="auto" w:sz="4" w:space="0"/>
            </w:tcBorders>
            <w:vAlign w:val="center"/>
          </w:tcPr>
          <w:p w14:paraId="716299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8" w:type="pct"/>
            <w:tcBorders>
              <w:top w:val="nil"/>
              <w:left w:val="nil"/>
              <w:bottom w:val="single" w:color="auto" w:sz="4" w:space="0"/>
              <w:right w:val="single" w:color="auto" w:sz="4" w:space="0"/>
            </w:tcBorders>
            <w:vAlign w:val="center"/>
          </w:tcPr>
          <w:p w14:paraId="6E9F78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6D473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F558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FDF45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37C15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A4923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2E6B5FD">
            <w:pPr>
              <w:jc w:val="center"/>
              <w:rPr>
                <w:rFonts w:hint="eastAsia" w:ascii="宋体" w:hAnsi="宋体" w:eastAsia="宋体" w:cs="宋体"/>
                <w:color w:val="000000"/>
                <w:sz w:val="18"/>
                <w:szCs w:val="18"/>
              </w:rPr>
            </w:pPr>
          </w:p>
        </w:tc>
      </w:tr>
      <w:tr w14:paraId="01761974">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ABC12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C1105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40588CE">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35E3043">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F6E439E">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424F6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923313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62473A1">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F74E778">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2E0A35C">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EE7E62C">
            <w:pPr>
              <w:rPr>
                <w:rFonts w:hint="eastAsia" w:ascii="宋体" w:hAnsi="宋体" w:eastAsia="宋体" w:cs="宋体"/>
                <w:color w:val="000000"/>
                <w:sz w:val="18"/>
                <w:szCs w:val="18"/>
              </w:rPr>
            </w:pPr>
          </w:p>
        </w:tc>
      </w:tr>
      <w:bookmarkEnd w:id="18"/>
    </w:tbl>
    <w:p w14:paraId="56187DB6">
      <w:pPr>
        <w:jc w:val="center"/>
        <w:rPr>
          <w:rFonts w:ascii="宋体" w:hAnsi="宋体" w:eastAsia="宋体" w:cs="宋体"/>
          <w:b/>
          <w:bCs/>
          <w:sz w:val="28"/>
          <w:szCs w:val="28"/>
          <w:lang w:eastAsia="zh-CN"/>
        </w:rPr>
      </w:pPr>
    </w:p>
    <w:p w14:paraId="2ABB2719">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8D7A72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63"/>
        <w:gridCol w:w="672"/>
        <w:gridCol w:w="663"/>
        <w:gridCol w:w="969"/>
        <w:gridCol w:w="676"/>
        <w:gridCol w:w="936"/>
        <w:gridCol w:w="846"/>
        <w:gridCol w:w="663"/>
        <w:gridCol w:w="774"/>
        <w:gridCol w:w="693"/>
        <w:gridCol w:w="665"/>
        <w:gridCol w:w="662"/>
        <w:gridCol w:w="664"/>
        <w:gridCol w:w="1081"/>
      </w:tblGrid>
      <w:tr w14:paraId="2BB72FA1">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343443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4110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奇财农[2024]19号耕地占用税</w:t>
            </w:r>
          </w:p>
        </w:tc>
      </w:tr>
      <w:tr w14:paraId="151B391A">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DAB0A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5CC4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589161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5C53C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112FDC3F">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06A5B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B52D05B">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530FE6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41766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0D45B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DB405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E3401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C1809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58AC87">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421115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3A2EF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0CD56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490.23</w:t>
            </w:r>
          </w:p>
        </w:tc>
        <w:tc>
          <w:tcPr>
            <w:tcW w:w="982" w:type="pct"/>
            <w:gridSpan w:val="3"/>
            <w:tcBorders>
              <w:top w:val="single" w:color="auto" w:sz="4" w:space="0"/>
              <w:left w:val="nil"/>
              <w:bottom w:val="single" w:color="auto" w:sz="4" w:space="0"/>
              <w:right w:val="single" w:color="auto" w:sz="4" w:space="0"/>
            </w:tcBorders>
            <w:vAlign w:val="center"/>
          </w:tcPr>
          <w:p w14:paraId="732527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555.26</w:t>
            </w:r>
          </w:p>
        </w:tc>
        <w:tc>
          <w:tcPr>
            <w:tcW w:w="708" w:type="pct"/>
            <w:gridSpan w:val="2"/>
            <w:tcBorders>
              <w:top w:val="single" w:color="auto" w:sz="4" w:space="0"/>
              <w:left w:val="nil"/>
              <w:bottom w:val="single" w:color="auto" w:sz="4" w:space="0"/>
              <w:right w:val="single" w:color="auto" w:sz="4" w:space="0"/>
            </w:tcBorders>
            <w:vAlign w:val="center"/>
          </w:tcPr>
          <w:p w14:paraId="73796F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554.57</w:t>
            </w:r>
          </w:p>
        </w:tc>
        <w:tc>
          <w:tcPr>
            <w:tcW w:w="671" w:type="pct"/>
            <w:gridSpan w:val="2"/>
            <w:tcBorders>
              <w:top w:val="nil"/>
              <w:left w:val="nil"/>
              <w:bottom w:val="single" w:color="auto" w:sz="4" w:space="0"/>
              <w:right w:val="single" w:color="auto" w:sz="4" w:space="0"/>
            </w:tcBorders>
            <w:vAlign w:val="center"/>
          </w:tcPr>
          <w:p w14:paraId="14B01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35BAA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99.88%</w:t>
            </w:r>
          </w:p>
        </w:tc>
        <w:tc>
          <w:tcPr>
            <w:tcW w:w="524" w:type="pct"/>
            <w:tcBorders>
              <w:top w:val="nil"/>
              <w:left w:val="nil"/>
              <w:bottom w:val="single" w:color="auto" w:sz="4" w:space="0"/>
              <w:right w:val="single" w:color="auto" w:sz="4" w:space="0"/>
            </w:tcBorders>
            <w:vAlign w:val="center"/>
          </w:tcPr>
          <w:p w14:paraId="2EAE8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9430B07">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9DFC0C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7F2CD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8BA3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490.23</w:t>
            </w:r>
          </w:p>
        </w:tc>
        <w:tc>
          <w:tcPr>
            <w:tcW w:w="982" w:type="pct"/>
            <w:gridSpan w:val="3"/>
            <w:tcBorders>
              <w:top w:val="single" w:color="auto" w:sz="4" w:space="0"/>
              <w:left w:val="nil"/>
              <w:bottom w:val="single" w:color="auto" w:sz="4" w:space="0"/>
              <w:right w:val="single" w:color="auto" w:sz="4" w:space="0"/>
            </w:tcBorders>
            <w:vAlign w:val="center"/>
          </w:tcPr>
          <w:p w14:paraId="5B0AA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555.26</w:t>
            </w:r>
          </w:p>
        </w:tc>
        <w:tc>
          <w:tcPr>
            <w:tcW w:w="708" w:type="pct"/>
            <w:gridSpan w:val="2"/>
            <w:tcBorders>
              <w:top w:val="single" w:color="auto" w:sz="4" w:space="0"/>
              <w:left w:val="nil"/>
              <w:bottom w:val="single" w:color="auto" w:sz="4" w:space="0"/>
              <w:right w:val="single" w:color="auto" w:sz="4" w:space="0"/>
            </w:tcBorders>
            <w:vAlign w:val="center"/>
          </w:tcPr>
          <w:p w14:paraId="427C7A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554.57</w:t>
            </w:r>
          </w:p>
        </w:tc>
        <w:tc>
          <w:tcPr>
            <w:tcW w:w="671" w:type="pct"/>
            <w:gridSpan w:val="2"/>
            <w:tcBorders>
              <w:top w:val="nil"/>
              <w:left w:val="nil"/>
              <w:bottom w:val="single" w:color="auto" w:sz="4" w:space="0"/>
              <w:right w:val="single" w:color="auto" w:sz="4" w:space="0"/>
            </w:tcBorders>
            <w:vAlign w:val="center"/>
          </w:tcPr>
          <w:p w14:paraId="3C669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5FA9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9889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0197F12">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C0AF2B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B0E5B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0CFA1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86E0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099C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59CC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B9AAA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7847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40B07FF">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D2CB2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6BB49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9F12A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B7D7DAC">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63EA48B">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C3B39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中华人民共和国耕地占用税法》、《中华人民共和国耕地占用税法实施办法》、《关于做好耕地占用税部门协作和信息交换工作的通知》（新财税法〔2023〕2号）法规及文件，依法缴纳耕地占用税，有效控制了非农业建设对耕地的占用，保护了农用耕地，促进了土地管理，有助于增加国家的财政收入，用于农业发展和土地资源的保护，为社会经济发展创造了良好的环境。</w:t>
            </w:r>
          </w:p>
        </w:tc>
        <w:tc>
          <w:tcPr>
            <w:tcW w:w="2559" w:type="pct"/>
            <w:gridSpan w:val="7"/>
            <w:tcBorders>
              <w:top w:val="single" w:color="auto" w:sz="4" w:space="0"/>
              <w:left w:val="nil"/>
              <w:bottom w:val="single" w:color="auto" w:sz="4" w:space="0"/>
              <w:right w:val="single" w:color="auto" w:sz="4" w:space="0"/>
            </w:tcBorders>
            <w:vAlign w:val="center"/>
          </w:tcPr>
          <w:p w14:paraId="3713BE6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截至2024年12月31日，该项目缴纳耕地占用税555.26万元，涉及土地面积102.69公顷，涉及批次转用项目16个，通过该项目的实施，合理有效的保护了土地资源，提升了相关部门的满意度。</w:t>
            </w:r>
          </w:p>
        </w:tc>
      </w:tr>
      <w:tr w14:paraId="6297F354">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684ADEB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B4DF0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180CCA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3DB7FE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6B89F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3CBD5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3DBA49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EA134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979E6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492AF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A6B12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8B007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3423EE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17F100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DE172D">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7A5EBC3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F67C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B569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3AA256D">
            <w:pPr>
              <w:rPr>
                <w:rFonts w:hint="eastAsia" w:ascii="宋体" w:hAnsi="宋体" w:eastAsia="宋体" w:cs="宋体"/>
                <w:color w:val="000000"/>
                <w:sz w:val="18"/>
                <w:szCs w:val="18"/>
              </w:rPr>
            </w:pPr>
            <w:r>
              <w:rPr>
                <w:rFonts w:hint="eastAsia" w:ascii="宋体" w:hAnsi="宋体" w:eastAsia="宋体" w:cs="宋体"/>
                <w:color w:val="000000"/>
                <w:sz w:val="18"/>
                <w:szCs w:val="18"/>
              </w:rPr>
              <w:t>项目涉及土地面积</w:t>
            </w:r>
          </w:p>
        </w:tc>
        <w:tc>
          <w:tcPr>
            <w:tcW w:w="334" w:type="pct"/>
            <w:tcBorders>
              <w:top w:val="nil"/>
              <w:left w:val="nil"/>
              <w:bottom w:val="single" w:color="auto" w:sz="4" w:space="0"/>
              <w:right w:val="single" w:color="auto" w:sz="4" w:space="0"/>
            </w:tcBorders>
            <w:vAlign w:val="center"/>
          </w:tcPr>
          <w:p w14:paraId="616AB6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5D59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&gt;=102.69公顷</w:t>
            </w:r>
          </w:p>
        </w:tc>
        <w:tc>
          <w:tcPr>
            <w:tcW w:w="333" w:type="pct"/>
            <w:tcBorders>
              <w:top w:val="nil"/>
              <w:left w:val="nil"/>
              <w:bottom w:val="single" w:color="auto" w:sz="4" w:space="0"/>
              <w:right w:val="single" w:color="auto" w:sz="4" w:space="0"/>
            </w:tcBorders>
            <w:vAlign w:val="center"/>
          </w:tcPr>
          <w:p w14:paraId="7DC935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=102.69公顷</w:t>
            </w:r>
          </w:p>
        </w:tc>
        <w:tc>
          <w:tcPr>
            <w:tcW w:w="328" w:type="pct"/>
            <w:tcBorders>
              <w:top w:val="nil"/>
              <w:left w:val="nil"/>
              <w:bottom w:val="single" w:color="auto" w:sz="4" w:space="0"/>
              <w:right w:val="single" w:color="auto" w:sz="4" w:space="0"/>
            </w:tcBorders>
            <w:vAlign w:val="center"/>
          </w:tcPr>
          <w:p w14:paraId="2B0A82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D2CF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0B3B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9CC8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7358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9B34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F4A5CFC">
            <w:pPr>
              <w:jc w:val="center"/>
              <w:rPr>
                <w:rFonts w:hint="eastAsia" w:ascii="宋体" w:hAnsi="宋体" w:eastAsia="宋体" w:cs="宋体"/>
                <w:color w:val="000000"/>
                <w:sz w:val="18"/>
                <w:szCs w:val="18"/>
              </w:rPr>
            </w:pPr>
          </w:p>
        </w:tc>
      </w:tr>
      <w:tr w14:paraId="23C967F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D2BD4E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593FE5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991D1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A2DA95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涉及批次转用项目个数</w:t>
            </w:r>
          </w:p>
        </w:tc>
        <w:tc>
          <w:tcPr>
            <w:tcW w:w="334" w:type="pct"/>
            <w:tcBorders>
              <w:top w:val="nil"/>
              <w:left w:val="nil"/>
              <w:bottom w:val="single" w:color="auto" w:sz="4" w:space="0"/>
              <w:right w:val="single" w:color="auto" w:sz="4" w:space="0"/>
            </w:tcBorders>
            <w:vAlign w:val="center"/>
          </w:tcPr>
          <w:p w14:paraId="54C71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57A6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&gt;=16个</w:t>
            </w:r>
          </w:p>
        </w:tc>
        <w:tc>
          <w:tcPr>
            <w:tcW w:w="333" w:type="pct"/>
            <w:tcBorders>
              <w:top w:val="nil"/>
              <w:left w:val="nil"/>
              <w:bottom w:val="single" w:color="auto" w:sz="4" w:space="0"/>
              <w:right w:val="single" w:color="auto" w:sz="4" w:space="0"/>
            </w:tcBorders>
            <w:vAlign w:val="center"/>
          </w:tcPr>
          <w:p w14:paraId="732738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=16个</w:t>
            </w:r>
          </w:p>
        </w:tc>
        <w:tc>
          <w:tcPr>
            <w:tcW w:w="328" w:type="pct"/>
            <w:tcBorders>
              <w:top w:val="nil"/>
              <w:left w:val="nil"/>
              <w:bottom w:val="single" w:color="auto" w:sz="4" w:space="0"/>
              <w:right w:val="single" w:color="auto" w:sz="4" w:space="0"/>
            </w:tcBorders>
            <w:vAlign w:val="center"/>
          </w:tcPr>
          <w:p w14:paraId="42A691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B20EF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9928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44A8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609F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72130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F553B1C">
            <w:pPr>
              <w:jc w:val="center"/>
              <w:rPr>
                <w:rFonts w:hint="eastAsia" w:ascii="宋体" w:hAnsi="宋体" w:eastAsia="宋体" w:cs="宋体"/>
                <w:color w:val="000000"/>
                <w:sz w:val="18"/>
                <w:szCs w:val="18"/>
              </w:rPr>
            </w:pPr>
          </w:p>
        </w:tc>
      </w:tr>
      <w:tr w14:paraId="17F597A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0A6D49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B37490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2F86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E9A4CE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耕地占用税缴纳及时率</w:t>
            </w:r>
          </w:p>
        </w:tc>
        <w:tc>
          <w:tcPr>
            <w:tcW w:w="334" w:type="pct"/>
            <w:tcBorders>
              <w:top w:val="nil"/>
              <w:left w:val="nil"/>
              <w:bottom w:val="single" w:color="auto" w:sz="4" w:space="0"/>
              <w:right w:val="single" w:color="auto" w:sz="4" w:space="0"/>
            </w:tcBorders>
            <w:vAlign w:val="center"/>
          </w:tcPr>
          <w:p w14:paraId="0085E4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BA35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3A32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4FF0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785CE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35A6A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EA5D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C2E41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597ED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07808C8">
            <w:pPr>
              <w:jc w:val="center"/>
              <w:rPr>
                <w:rFonts w:hint="eastAsia" w:ascii="宋体" w:hAnsi="宋体" w:eastAsia="宋体" w:cs="宋体"/>
                <w:color w:val="000000"/>
                <w:sz w:val="18"/>
                <w:szCs w:val="18"/>
              </w:rPr>
            </w:pPr>
          </w:p>
        </w:tc>
      </w:tr>
      <w:tr w14:paraId="41C22AF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3C7C7F2">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24E71E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675A5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A6A8515">
            <w:pPr>
              <w:rPr>
                <w:rFonts w:hint="eastAsia" w:ascii="宋体" w:hAnsi="宋体" w:eastAsia="宋体" w:cs="宋体"/>
                <w:color w:val="000000"/>
                <w:sz w:val="18"/>
                <w:szCs w:val="18"/>
              </w:rPr>
            </w:pPr>
            <w:r>
              <w:rPr>
                <w:rFonts w:hint="eastAsia" w:ascii="宋体" w:hAnsi="宋体" w:eastAsia="宋体" w:cs="宋体"/>
                <w:color w:val="000000"/>
                <w:sz w:val="18"/>
                <w:szCs w:val="18"/>
              </w:rPr>
              <w:t>耕地占用税缴纳时限</w:t>
            </w:r>
          </w:p>
        </w:tc>
        <w:tc>
          <w:tcPr>
            <w:tcW w:w="334" w:type="pct"/>
            <w:tcBorders>
              <w:top w:val="nil"/>
              <w:left w:val="nil"/>
              <w:bottom w:val="single" w:color="auto" w:sz="4" w:space="0"/>
              <w:right w:val="single" w:color="auto" w:sz="4" w:space="0"/>
            </w:tcBorders>
            <w:vAlign w:val="center"/>
          </w:tcPr>
          <w:p w14:paraId="03803B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9714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&lt;=30日</w:t>
            </w:r>
          </w:p>
        </w:tc>
        <w:tc>
          <w:tcPr>
            <w:tcW w:w="333" w:type="pct"/>
            <w:tcBorders>
              <w:top w:val="nil"/>
              <w:left w:val="nil"/>
              <w:bottom w:val="single" w:color="auto" w:sz="4" w:space="0"/>
              <w:right w:val="single" w:color="auto" w:sz="4" w:space="0"/>
            </w:tcBorders>
            <w:vAlign w:val="center"/>
          </w:tcPr>
          <w:p w14:paraId="38F3AD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=16日</w:t>
            </w:r>
          </w:p>
        </w:tc>
        <w:tc>
          <w:tcPr>
            <w:tcW w:w="328" w:type="pct"/>
            <w:tcBorders>
              <w:top w:val="nil"/>
              <w:left w:val="nil"/>
              <w:bottom w:val="single" w:color="auto" w:sz="4" w:space="0"/>
              <w:right w:val="single" w:color="auto" w:sz="4" w:space="0"/>
            </w:tcBorders>
            <w:vAlign w:val="center"/>
          </w:tcPr>
          <w:p w14:paraId="776434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A490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F28E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1E3B9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F4DBC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451C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13678BA">
            <w:pPr>
              <w:jc w:val="center"/>
              <w:rPr>
                <w:rFonts w:hint="eastAsia" w:ascii="宋体" w:hAnsi="宋体" w:eastAsia="宋体" w:cs="宋体"/>
                <w:color w:val="000000"/>
                <w:sz w:val="18"/>
                <w:szCs w:val="18"/>
              </w:rPr>
            </w:pPr>
          </w:p>
        </w:tc>
      </w:tr>
      <w:tr w14:paraId="235364A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0F75D2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CBDCB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8312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00A7020">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5B7C5C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CEA3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51199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E8F7B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70FD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6B0D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8ECE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29A74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A706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492805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我单位缴纳耕地占用税的时间比税务局计算的滞纳金时间要早，多余的滞纳金退回财政。</w:t>
            </w:r>
          </w:p>
        </w:tc>
      </w:tr>
      <w:tr w14:paraId="26BF817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14A021C">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F3FC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DCFC4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6C27E8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合理有效保护土地资源</w:t>
            </w:r>
          </w:p>
        </w:tc>
        <w:tc>
          <w:tcPr>
            <w:tcW w:w="334" w:type="pct"/>
            <w:tcBorders>
              <w:top w:val="nil"/>
              <w:left w:val="nil"/>
              <w:bottom w:val="single" w:color="auto" w:sz="4" w:space="0"/>
              <w:right w:val="single" w:color="auto" w:sz="4" w:space="0"/>
            </w:tcBorders>
            <w:vAlign w:val="center"/>
          </w:tcPr>
          <w:p w14:paraId="7E7CF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B2A3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33" w:type="pct"/>
            <w:tcBorders>
              <w:top w:val="nil"/>
              <w:left w:val="nil"/>
              <w:bottom w:val="single" w:color="auto" w:sz="4" w:space="0"/>
              <w:right w:val="single" w:color="auto" w:sz="4" w:space="0"/>
            </w:tcBorders>
            <w:vAlign w:val="center"/>
          </w:tcPr>
          <w:p w14:paraId="3C987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28" w:type="pct"/>
            <w:tcBorders>
              <w:top w:val="nil"/>
              <w:left w:val="nil"/>
              <w:bottom w:val="single" w:color="auto" w:sz="4" w:space="0"/>
              <w:right w:val="single" w:color="auto" w:sz="4" w:space="0"/>
            </w:tcBorders>
            <w:vAlign w:val="center"/>
          </w:tcPr>
          <w:p w14:paraId="3F30D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0E07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DB08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754F1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0CB1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9DFB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6A44388">
            <w:pPr>
              <w:jc w:val="center"/>
              <w:rPr>
                <w:rFonts w:hint="eastAsia" w:ascii="宋体" w:hAnsi="宋体" w:eastAsia="宋体" w:cs="宋体"/>
                <w:color w:val="000000"/>
                <w:sz w:val="18"/>
                <w:szCs w:val="18"/>
              </w:rPr>
            </w:pPr>
          </w:p>
        </w:tc>
      </w:tr>
      <w:tr w14:paraId="7F13AF4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1BD6698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B9B3B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D5321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9359A7A">
            <w:pPr>
              <w:rPr>
                <w:rFonts w:hint="eastAsia" w:ascii="宋体" w:hAnsi="宋体" w:eastAsia="宋体" w:cs="宋体"/>
                <w:color w:val="000000"/>
                <w:sz w:val="18"/>
                <w:szCs w:val="18"/>
              </w:rPr>
            </w:pPr>
            <w:r>
              <w:rPr>
                <w:rFonts w:hint="eastAsia" w:ascii="宋体" w:hAnsi="宋体" w:eastAsia="宋体" w:cs="宋体"/>
                <w:color w:val="000000"/>
                <w:sz w:val="18"/>
                <w:szCs w:val="18"/>
              </w:rPr>
              <w:t>相关部门满意度</w:t>
            </w:r>
          </w:p>
        </w:tc>
        <w:tc>
          <w:tcPr>
            <w:tcW w:w="334" w:type="pct"/>
            <w:tcBorders>
              <w:top w:val="nil"/>
              <w:left w:val="nil"/>
              <w:bottom w:val="single" w:color="auto" w:sz="4" w:space="0"/>
              <w:right w:val="single" w:color="auto" w:sz="4" w:space="0"/>
            </w:tcBorders>
            <w:vAlign w:val="center"/>
          </w:tcPr>
          <w:p w14:paraId="78741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7EE5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&gt;=92%</w:t>
            </w:r>
          </w:p>
        </w:tc>
        <w:tc>
          <w:tcPr>
            <w:tcW w:w="333" w:type="pct"/>
            <w:tcBorders>
              <w:top w:val="nil"/>
              <w:left w:val="nil"/>
              <w:bottom w:val="single" w:color="auto" w:sz="4" w:space="0"/>
              <w:right w:val="single" w:color="auto" w:sz="4" w:space="0"/>
            </w:tcBorders>
            <w:vAlign w:val="center"/>
          </w:tcPr>
          <w:p w14:paraId="2E914E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8" w:type="pct"/>
            <w:tcBorders>
              <w:top w:val="nil"/>
              <w:left w:val="nil"/>
              <w:bottom w:val="single" w:color="auto" w:sz="4" w:space="0"/>
              <w:right w:val="single" w:color="auto" w:sz="4" w:space="0"/>
            </w:tcBorders>
            <w:vAlign w:val="center"/>
          </w:tcPr>
          <w:p w14:paraId="178BB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566A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DCE82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7163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0CDB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35159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2E039BB">
            <w:pPr>
              <w:jc w:val="center"/>
              <w:rPr>
                <w:rFonts w:hint="eastAsia" w:ascii="宋体" w:hAnsi="宋体" w:eastAsia="宋体" w:cs="宋体"/>
                <w:color w:val="000000"/>
                <w:sz w:val="18"/>
                <w:szCs w:val="18"/>
              </w:rPr>
            </w:pPr>
          </w:p>
        </w:tc>
      </w:tr>
      <w:tr w14:paraId="02EE2428">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138D3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C22F7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482BB4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6563F1E">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5C05CEE">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FB9F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CBFFA93">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BFCABE6">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75B6FDF">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9DF8545">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F0877F0">
            <w:pPr>
              <w:rPr>
                <w:rFonts w:hint="eastAsia" w:ascii="宋体" w:hAnsi="宋体" w:eastAsia="宋体" w:cs="宋体"/>
                <w:color w:val="000000"/>
                <w:sz w:val="18"/>
                <w:szCs w:val="18"/>
              </w:rPr>
            </w:pPr>
          </w:p>
        </w:tc>
      </w:tr>
    </w:tbl>
    <w:p w14:paraId="5F979E66">
      <w:pPr>
        <w:jc w:val="center"/>
        <w:rPr>
          <w:rFonts w:ascii="宋体" w:hAnsi="宋体" w:eastAsia="宋体" w:cs="宋体"/>
          <w:b/>
          <w:bCs/>
          <w:sz w:val="28"/>
          <w:szCs w:val="28"/>
          <w:lang w:eastAsia="zh-CN"/>
        </w:rPr>
      </w:pPr>
    </w:p>
    <w:p w14:paraId="04EDD0A7">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326A3A0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0"/>
        <w:gridCol w:w="699"/>
        <w:gridCol w:w="690"/>
        <w:gridCol w:w="996"/>
        <w:gridCol w:w="703"/>
        <w:gridCol w:w="756"/>
        <w:gridCol w:w="703"/>
        <w:gridCol w:w="690"/>
        <w:gridCol w:w="801"/>
        <w:gridCol w:w="720"/>
        <w:gridCol w:w="692"/>
        <w:gridCol w:w="688"/>
        <w:gridCol w:w="691"/>
        <w:gridCol w:w="1108"/>
      </w:tblGrid>
      <w:tr w14:paraId="203DC5E9">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304151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4F042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奇财农[2024]22号榆树林度假村测绘费用</w:t>
            </w:r>
          </w:p>
        </w:tc>
      </w:tr>
      <w:tr w14:paraId="68B15667">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CDE4B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6F2B9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58CAB8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4151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0E8AA320">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64C8F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218B33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389F7E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9C3C4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6617B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4CFDD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577EC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4C041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65CA9E2">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7A0BB7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C45CB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CA88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982" w:type="pct"/>
            <w:gridSpan w:val="3"/>
            <w:tcBorders>
              <w:top w:val="single" w:color="auto" w:sz="4" w:space="0"/>
              <w:left w:val="nil"/>
              <w:bottom w:val="single" w:color="auto" w:sz="4" w:space="0"/>
              <w:right w:val="single" w:color="auto" w:sz="4" w:space="0"/>
            </w:tcBorders>
            <w:vAlign w:val="center"/>
          </w:tcPr>
          <w:p w14:paraId="777F68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708" w:type="pct"/>
            <w:gridSpan w:val="2"/>
            <w:tcBorders>
              <w:top w:val="single" w:color="auto" w:sz="4" w:space="0"/>
              <w:left w:val="nil"/>
              <w:bottom w:val="single" w:color="auto" w:sz="4" w:space="0"/>
              <w:right w:val="single" w:color="auto" w:sz="4" w:space="0"/>
            </w:tcBorders>
            <w:vAlign w:val="center"/>
          </w:tcPr>
          <w:p w14:paraId="6DD9B6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671" w:type="pct"/>
            <w:gridSpan w:val="2"/>
            <w:tcBorders>
              <w:top w:val="nil"/>
              <w:left w:val="nil"/>
              <w:bottom w:val="single" w:color="auto" w:sz="4" w:space="0"/>
              <w:right w:val="single" w:color="auto" w:sz="4" w:space="0"/>
            </w:tcBorders>
            <w:vAlign w:val="center"/>
          </w:tcPr>
          <w:p w14:paraId="542D7E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065B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9B6D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EB88C7C">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BEE0A4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60D5B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97934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982" w:type="pct"/>
            <w:gridSpan w:val="3"/>
            <w:tcBorders>
              <w:top w:val="single" w:color="auto" w:sz="4" w:space="0"/>
              <w:left w:val="nil"/>
              <w:bottom w:val="single" w:color="auto" w:sz="4" w:space="0"/>
              <w:right w:val="single" w:color="auto" w:sz="4" w:space="0"/>
            </w:tcBorders>
            <w:vAlign w:val="center"/>
          </w:tcPr>
          <w:p w14:paraId="69DBF1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708" w:type="pct"/>
            <w:gridSpan w:val="2"/>
            <w:tcBorders>
              <w:top w:val="single" w:color="auto" w:sz="4" w:space="0"/>
              <w:left w:val="nil"/>
              <w:bottom w:val="single" w:color="auto" w:sz="4" w:space="0"/>
              <w:right w:val="single" w:color="auto" w:sz="4" w:space="0"/>
            </w:tcBorders>
            <w:vAlign w:val="center"/>
          </w:tcPr>
          <w:p w14:paraId="35D3D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w:t>
            </w:r>
          </w:p>
        </w:tc>
        <w:tc>
          <w:tcPr>
            <w:tcW w:w="671" w:type="pct"/>
            <w:gridSpan w:val="2"/>
            <w:tcBorders>
              <w:top w:val="nil"/>
              <w:left w:val="nil"/>
              <w:bottom w:val="single" w:color="auto" w:sz="4" w:space="0"/>
              <w:right w:val="single" w:color="auto" w:sz="4" w:space="0"/>
            </w:tcBorders>
            <w:vAlign w:val="center"/>
          </w:tcPr>
          <w:p w14:paraId="1AB0F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23E9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70DF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F624162">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8F258E6">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4493F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92749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3419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7A21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0A6D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C6C2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BDFA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1B17F9">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7730A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3637F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B0F75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7D8926F">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97383F3">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F99C89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根据县人民政府工作安排，对奇台县榆树林度假村用地范围进行外业测绘、套合二调三调数据库，确保了资产核实准确、清晰以及确保了资产管理工作常态化、规范化。</w:t>
            </w:r>
          </w:p>
        </w:tc>
        <w:tc>
          <w:tcPr>
            <w:tcW w:w="2559" w:type="pct"/>
            <w:gridSpan w:val="7"/>
            <w:tcBorders>
              <w:top w:val="single" w:color="auto" w:sz="4" w:space="0"/>
              <w:left w:val="nil"/>
              <w:bottom w:val="single" w:color="auto" w:sz="4" w:space="0"/>
              <w:right w:val="single" w:color="auto" w:sz="4" w:space="0"/>
            </w:tcBorders>
            <w:vAlign w:val="center"/>
          </w:tcPr>
          <w:p w14:paraId="69B1DF8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完成测绘套合图纸数量1张，摸排测绘地块数量1个，地块测绘完成率100%，地块测绘及时率100%，项目预算控制率100%，通过该项目的实施，有效保护地块内林地资源，提升了相关部门满意度。</w:t>
            </w:r>
          </w:p>
        </w:tc>
      </w:tr>
      <w:tr w14:paraId="11FF878A">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7A769119">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1A978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D6F49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17268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D0D90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C7B2A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C0FD8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700C3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136083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895CE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61F43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8606D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646B6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1D8B75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71BFA3">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12FF6C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BEAEE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EDA5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966F9EA">
            <w:pPr>
              <w:rPr>
                <w:rFonts w:hint="eastAsia" w:ascii="宋体" w:hAnsi="宋体" w:eastAsia="宋体" w:cs="宋体"/>
                <w:color w:val="000000"/>
                <w:sz w:val="18"/>
                <w:szCs w:val="18"/>
              </w:rPr>
            </w:pPr>
            <w:r>
              <w:rPr>
                <w:rFonts w:hint="eastAsia" w:ascii="宋体" w:hAnsi="宋体" w:eastAsia="宋体" w:cs="宋体"/>
                <w:color w:val="000000"/>
                <w:sz w:val="18"/>
                <w:szCs w:val="18"/>
              </w:rPr>
              <w:t>摸排测绘地块数量</w:t>
            </w:r>
          </w:p>
        </w:tc>
        <w:tc>
          <w:tcPr>
            <w:tcW w:w="334" w:type="pct"/>
            <w:tcBorders>
              <w:top w:val="nil"/>
              <w:left w:val="nil"/>
              <w:bottom w:val="single" w:color="auto" w:sz="4" w:space="0"/>
              <w:right w:val="single" w:color="auto" w:sz="4" w:space="0"/>
            </w:tcBorders>
            <w:vAlign w:val="center"/>
          </w:tcPr>
          <w:p w14:paraId="4E8E4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24B6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6308B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5FCA5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1805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4AC8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613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E0CDA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1F7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72B9EA4">
            <w:pPr>
              <w:jc w:val="center"/>
              <w:rPr>
                <w:rFonts w:hint="eastAsia" w:ascii="宋体" w:hAnsi="宋体" w:eastAsia="宋体" w:cs="宋体"/>
                <w:color w:val="000000"/>
                <w:sz w:val="18"/>
                <w:szCs w:val="18"/>
              </w:rPr>
            </w:pPr>
          </w:p>
        </w:tc>
      </w:tr>
      <w:tr w14:paraId="054FA9F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9D1A3A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A8157C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F103F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D53DCA3">
            <w:pPr>
              <w:rPr>
                <w:rFonts w:hint="eastAsia" w:ascii="宋体" w:hAnsi="宋体" w:eastAsia="宋体" w:cs="宋体"/>
                <w:color w:val="000000"/>
                <w:sz w:val="18"/>
                <w:szCs w:val="18"/>
              </w:rPr>
            </w:pPr>
            <w:r>
              <w:rPr>
                <w:rFonts w:hint="eastAsia" w:ascii="宋体" w:hAnsi="宋体" w:eastAsia="宋体" w:cs="宋体"/>
                <w:color w:val="000000"/>
                <w:sz w:val="18"/>
                <w:szCs w:val="18"/>
              </w:rPr>
              <w:t>测绘套合图纸数量</w:t>
            </w:r>
          </w:p>
        </w:tc>
        <w:tc>
          <w:tcPr>
            <w:tcW w:w="334" w:type="pct"/>
            <w:tcBorders>
              <w:top w:val="nil"/>
              <w:left w:val="nil"/>
              <w:bottom w:val="single" w:color="auto" w:sz="4" w:space="0"/>
              <w:right w:val="single" w:color="auto" w:sz="4" w:space="0"/>
            </w:tcBorders>
            <w:vAlign w:val="center"/>
          </w:tcPr>
          <w:p w14:paraId="45444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E875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=1张</w:t>
            </w:r>
          </w:p>
        </w:tc>
        <w:tc>
          <w:tcPr>
            <w:tcW w:w="333" w:type="pct"/>
            <w:tcBorders>
              <w:top w:val="nil"/>
              <w:left w:val="nil"/>
              <w:bottom w:val="single" w:color="auto" w:sz="4" w:space="0"/>
              <w:right w:val="single" w:color="auto" w:sz="4" w:space="0"/>
            </w:tcBorders>
            <w:vAlign w:val="center"/>
          </w:tcPr>
          <w:p w14:paraId="7EDFF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=1张</w:t>
            </w:r>
          </w:p>
        </w:tc>
        <w:tc>
          <w:tcPr>
            <w:tcW w:w="328" w:type="pct"/>
            <w:tcBorders>
              <w:top w:val="nil"/>
              <w:left w:val="nil"/>
              <w:bottom w:val="single" w:color="auto" w:sz="4" w:space="0"/>
              <w:right w:val="single" w:color="auto" w:sz="4" w:space="0"/>
            </w:tcBorders>
            <w:vAlign w:val="center"/>
          </w:tcPr>
          <w:p w14:paraId="70F5D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300D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2DA5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D6696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3AD8B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3D95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50D9666">
            <w:pPr>
              <w:jc w:val="center"/>
              <w:rPr>
                <w:rFonts w:hint="eastAsia" w:ascii="宋体" w:hAnsi="宋体" w:eastAsia="宋体" w:cs="宋体"/>
                <w:color w:val="000000"/>
                <w:sz w:val="18"/>
                <w:szCs w:val="18"/>
              </w:rPr>
            </w:pPr>
          </w:p>
        </w:tc>
      </w:tr>
      <w:tr w14:paraId="24D408C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C381337">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E45FE7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E3F3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9389861">
            <w:pPr>
              <w:rPr>
                <w:rFonts w:hint="eastAsia" w:ascii="宋体" w:hAnsi="宋体" w:eastAsia="宋体" w:cs="宋体"/>
                <w:color w:val="000000"/>
                <w:sz w:val="18"/>
                <w:szCs w:val="18"/>
              </w:rPr>
            </w:pPr>
            <w:r>
              <w:rPr>
                <w:rFonts w:hint="eastAsia" w:ascii="宋体" w:hAnsi="宋体" w:eastAsia="宋体" w:cs="宋体"/>
                <w:color w:val="000000"/>
                <w:sz w:val="18"/>
                <w:szCs w:val="18"/>
              </w:rPr>
              <w:t>地块测绘完成率</w:t>
            </w:r>
          </w:p>
        </w:tc>
        <w:tc>
          <w:tcPr>
            <w:tcW w:w="334" w:type="pct"/>
            <w:tcBorders>
              <w:top w:val="nil"/>
              <w:left w:val="nil"/>
              <w:bottom w:val="single" w:color="auto" w:sz="4" w:space="0"/>
              <w:right w:val="single" w:color="auto" w:sz="4" w:space="0"/>
            </w:tcBorders>
            <w:vAlign w:val="center"/>
          </w:tcPr>
          <w:p w14:paraId="7B3A9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1620B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9541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A098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9AF2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0A98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310CA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453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77782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ED5A2D1">
            <w:pPr>
              <w:jc w:val="center"/>
              <w:rPr>
                <w:rFonts w:hint="eastAsia" w:ascii="宋体" w:hAnsi="宋体" w:eastAsia="宋体" w:cs="宋体"/>
                <w:color w:val="000000"/>
                <w:sz w:val="18"/>
                <w:szCs w:val="18"/>
              </w:rPr>
            </w:pPr>
          </w:p>
        </w:tc>
      </w:tr>
      <w:tr w14:paraId="08F890D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560FCB3">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4CB536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74B0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3636659">
            <w:pPr>
              <w:rPr>
                <w:rFonts w:hint="eastAsia" w:ascii="宋体" w:hAnsi="宋体" w:eastAsia="宋体" w:cs="宋体"/>
                <w:color w:val="000000"/>
                <w:sz w:val="18"/>
                <w:szCs w:val="18"/>
              </w:rPr>
            </w:pPr>
            <w:r>
              <w:rPr>
                <w:rFonts w:hint="eastAsia" w:ascii="宋体" w:hAnsi="宋体" w:eastAsia="宋体" w:cs="宋体"/>
                <w:color w:val="000000"/>
                <w:sz w:val="18"/>
                <w:szCs w:val="18"/>
              </w:rPr>
              <w:t>地块测绘的及时率</w:t>
            </w:r>
          </w:p>
        </w:tc>
        <w:tc>
          <w:tcPr>
            <w:tcW w:w="334" w:type="pct"/>
            <w:tcBorders>
              <w:top w:val="nil"/>
              <w:left w:val="nil"/>
              <w:bottom w:val="single" w:color="auto" w:sz="4" w:space="0"/>
              <w:right w:val="single" w:color="auto" w:sz="4" w:space="0"/>
            </w:tcBorders>
            <w:vAlign w:val="center"/>
          </w:tcPr>
          <w:p w14:paraId="175A1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6952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42FFE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04DEF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8ED18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ACEB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6C0D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0460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ADD33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313C850">
            <w:pPr>
              <w:jc w:val="center"/>
              <w:rPr>
                <w:rFonts w:hint="eastAsia" w:ascii="宋体" w:hAnsi="宋体" w:eastAsia="宋体" w:cs="宋体"/>
                <w:color w:val="000000"/>
                <w:sz w:val="18"/>
                <w:szCs w:val="18"/>
              </w:rPr>
            </w:pPr>
          </w:p>
        </w:tc>
      </w:tr>
      <w:tr w14:paraId="2D292D2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2D836A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BB697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6D00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6CBEB8E">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28186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BDBE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4EEAA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A0FD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D949B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9317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6A3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AE26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058D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F16EA58">
            <w:pPr>
              <w:jc w:val="center"/>
              <w:rPr>
                <w:rFonts w:hint="eastAsia" w:ascii="宋体" w:hAnsi="宋体" w:eastAsia="宋体" w:cs="宋体"/>
                <w:color w:val="000000"/>
                <w:sz w:val="18"/>
                <w:szCs w:val="18"/>
              </w:rPr>
            </w:pPr>
          </w:p>
        </w:tc>
      </w:tr>
      <w:tr w14:paraId="5F18BA0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FB5FC5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39DB6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4789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471" w:type="pct"/>
            <w:tcBorders>
              <w:top w:val="single" w:color="auto" w:sz="4" w:space="0"/>
              <w:left w:val="nil"/>
              <w:bottom w:val="single" w:color="auto" w:sz="4" w:space="0"/>
              <w:right w:val="single" w:color="auto" w:sz="4" w:space="0"/>
            </w:tcBorders>
            <w:vAlign w:val="center"/>
          </w:tcPr>
          <w:p w14:paraId="518D9AE5">
            <w:pPr>
              <w:rPr>
                <w:rFonts w:hint="eastAsia" w:ascii="宋体" w:hAnsi="宋体" w:eastAsia="宋体" w:cs="宋体"/>
                <w:color w:val="000000"/>
                <w:sz w:val="18"/>
                <w:szCs w:val="18"/>
              </w:rPr>
            </w:pPr>
            <w:r>
              <w:rPr>
                <w:rFonts w:hint="eastAsia" w:ascii="宋体" w:hAnsi="宋体" w:eastAsia="宋体" w:cs="宋体"/>
                <w:color w:val="000000"/>
                <w:sz w:val="18"/>
                <w:szCs w:val="18"/>
              </w:rPr>
              <w:t>保护地块内林地资源</w:t>
            </w:r>
          </w:p>
        </w:tc>
        <w:tc>
          <w:tcPr>
            <w:tcW w:w="334" w:type="pct"/>
            <w:tcBorders>
              <w:top w:val="nil"/>
              <w:left w:val="nil"/>
              <w:bottom w:val="single" w:color="auto" w:sz="4" w:space="0"/>
              <w:right w:val="single" w:color="auto" w:sz="4" w:space="0"/>
            </w:tcBorders>
            <w:vAlign w:val="center"/>
          </w:tcPr>
          <w:p w14:paraId="407C3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80A6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33" w:type="pct"/>
            <w:tcBorders>
              <w:top w:val="nil"/>
              <w:left w:val="nil"/>
              <w:bottom w:val="single" w:color="auto" w:sz="4" w:space="0"/>
              <w:right w:val="single" w:color="auto" w:sz="4" w:space="0"/>
            </w:tcBorders>
            <w:vAlign w:val="center"/>
          </w:tcPr>
          <w:p w14:paraId="41B29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28" w:type="pct"/>
            <w:tcBorders>
              <w:top w:val="nil"/>
              <w:left w:val="nil"/>
              <w:bottom w:val="single" w:color="auto" w:sz="4" w:space="0"/>
              <w:right w:val="single" w:color="auto" w:sz="4" w:space="0"/>
            </w:tcBorders>
            <w:vAlign w:val="center"/>
          </w:tcPr>
          <w:p w14:paraId="7C444D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3665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71EC1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1ECD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4D0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0E54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72199DD">
            <w:pPr>
              <w:jc w:val="center"/>
              <w:rPr>
                <w:rFonts w:hint="eastAsia" w:ascii="宋体" w:hAnsi="宋体" w:eastAsia="宋体" w:cs="宋体"/>
                <w:color w:val="000000"/>
                <w:sz w:val="18"/>
                <w:szCs w:val="18"/>
              </w:rPr>
            </w:pPr>
          </w:p>
        </w:tc>
      </w:tr>
      <w:tr w14:paraId="5CACE23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52A4B45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3A86B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F3459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6679314">
            <w:pPr>
              <w:rPr>
                <w:rFonts w:hint="eastAsia" w:ascii="宋体" w:hAnsi="宋体" w:eastAsia="宋体" w:cs="宋体"/>
                <w:color w:val="000000"/>
                <w:sz w:val="18"/>
                <w:szCs w:val="18"/>
              </w:rPr>
            </w:pPr>
            <w:r>
              <w:rPr>
                <w:rFonts w:hint="eastAsia" w:ascii="宋体" w:hAnsi="宋体" w:eastAsia="宋体" w:cs="宋体"/>
                <w:color w:val="000000"/>
                <w:sz w:val="18"/>
                <w:szCs w:val="18"/>
              </w:rPr>
              <w:t>相关部门满意度</w:t>
            </w:r>
          </w:p>
        </w:tc>
        <w:tc>
          <w:tcPr>
            <w:tcW w:w="334" w:type="pct"/>
            <w:tcBorders>
              <w:top w:val="nil"/>
              <w:left w:val="nil"/>
              <w:bottom w:val="single" w:color="auto" w:sz="4" w:space="0"/>
              <w:right w:val="single" w:color="auto" w:sz="4" w:space="0"/>
            </w:tcBorders>
            <w:vAlign w:val="center"/>
          </w:tcPr>
          <w:p w14:paraId="5E823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494A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&gt;=92%</w:t>
            </w:r>
          </w:p>
        </w:tc>
        <w:tc>
          <w:tcPr>
            <w:tcW w:w="333" w:type="pct"/>
            <w:tcBorders>
              <w:top w:val="nil"/>
              <w:left w:val="nil"/>
              <w:bottom w:val="single" w:color="auto" w:sz="4" w:space="0"/>
              <w:right w:val="single" w:color="auto" w:sz="4" w:space="0"/>
            </w:tcBorders>
            <w:vAlign w:val="center"/>
          </w:tcPr>
          <w:p w14:paraId="16A9D5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8" w:type="pct"/>
            <w:tcBorders>
              <w:top w:val="nil"/>
              <w:left w:val="nil"/>
              <w:bottom w:val="single" w:color="auto" w:sz="4" w:space="0"/>
              <w:right w:val="single" w:color="auto" w:sz="4" w:space="0"/>
            </w:tcBorders>
            <w:vAlign w:val="center"/>
          </w:tcPr>
          <w:p w14:paraId="0C7A3C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873E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208D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74128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9CD6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856B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29802B6">
            <w:pPr>
              <w:jc w:val="center"/>
              <w:rPr>
                <w:rFonts w:hint="eastAsia" w:ascii="宋体" w:hAnsi="宋体" w:eastAsia="宋体" w:cs="宋体"/>
                <w:color w:val="000000"/>
                <w:sz w:val="18"/>
                <w:szCs w:val="18"/>
              </w:rPr>
            </w:pPr>
          </w:p>
        </w:tc>
      </w:tr>
      <w:tr w14:paraId="2BDD32BB">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F6E8F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F820F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B8E5BC4">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F633D40">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7D31B24A">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691A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D8A1EB1">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6C8477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C6B626D">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EABA52D">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9EC5DF3">
            <w:pPr>
              <w:rPr>
                <w:rFonts w:hint="eastAsia" w:ascii="宋体" w:hAnsi="宋体" w:eastAsia="宋体" w:cs="宋体"/>
                <w:color w:val="000000"/>
                <w:sz w:val="18"/>
                <w:szCs w:val="18"/>
              </w:rPr>
            </w:pPr>
          </w:p>
        </w:tc>
      </w:tr>
    </w:tbl>
    <w:p w14:paraId="726659A2">
      <w:pPr>
        <w:jc w:val="center"/>
        <w:rPr>
          <w:rFonts w:ascii="宋体" w:hAnsi="宋体" w:eastAsia="宋体" w:cs="宋体"/>
          <w:b/>
          <w:bCs/>
          <w:sz w:val="28"/>
          <w:szCs w:val="28"/>
          <w:lang w:eastAsia="zh-CN"/>
        </w:rPr>
      </w:pPr>
    </w:p>
    <w:p w14:paraId="5FF008A6">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1688A48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0"/>
        <w:gridCol w:w="699"/>
        <w:gridCol w:w="690"/>
        <w:gridCol w:w="996"/>
        <w:gridCol w:w="703"/>
        <w:gridCol w:w="756"/>
        <w:gridCol w:w="703"/>
        <w:gridCol w:w="690"/>
        <w:gridCol w:w="801"/>
        <w:gridCol w:w="720"/>
        <w:gridCol w:w="692"/>
        <w:gridCol w:w="688"/>
        <w:gridCol w:w="691"/>
        <w:gridCol w:w="1108"/>
      </w:tblGrid>
      <w:tr w14:paraId="4F8E54D0">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131D32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23969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奇财农[2024]23号连生才案件罚款</w:t>
            </w:r>
          </w:p>
        </w:tc>
      </w:tr>
      <w:tr w14:paraId="4841AF39">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2587D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37DB9A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7EB9F2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EA48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57150090">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1AEC07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BFA0B35">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28CDB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0DB0D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EAAF9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0410D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AC2C0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C64EE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AB17B8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BC3830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6879B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B6F3B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82" w:type="pct"/>
            <w:gridSpan w:val="3"/>
            <w:tcBorders>
              <w:top w:val="single" w:color="auto" w:sz="4" w:space="0"/>
              <w:left w:val="nil"/>
              <w:bottom w:val="single" w:color="auto" w:sz="4" w:space="0"/>
              <w:right w:val="single" w:color="auto" w:sz="4" w:space="0"/>
            </w:tcBorders>
            <w:vAlign w:val="center"/>
          </w:tcPr>
          <w:p w14:paraId="055D42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708" w:type="pct"/>
            <w:gridSpan w:val="2"/>
            <w:tcBorders>
              <w:top w:val="single" w:color="auto" w:sz="4" w:space="0"/>
              <w:left w:val="nil"/>
              <w:bottom w:val="single" w:color="auto" w:sz="4" w:space="0"/>
              <w:right w:val="single" w:color="auto" w:sz="4" w:space="0"/>
            </w:tcBorders>
            <w:vAlign w:val="center"/>
          </w:tcPr>
          <w:p w14:paraId="65DDA5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71" w:type="pct"/>
            <w:gridSpan w:val="2"/>
            <w:tcBorders>
              <w:top w:val="nil"/>
              <w:left w:val="nil"/>
              <w:bottom w:val="single" w:color="auto" w:sz="4" w:space="0"/>
              <w:right w:val="single" w:color="auto" w:sz="4" w:space="0"/>
            </w:tcBorders>
            <w:vAlign w:val="center"/>
          </w:tcPr>
          <w:p w14:paraId="03227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D48E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08BB5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F83BAD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5DD96A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0E97A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81FC1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82" w:type="pct"/>
            <w:gridSpan w:val="3"/>
            <w:tcBorders>
              <w:top w:val="single" w:color="auto" w:sz="4" w:space="0"/>
              <w:left w:val="nil"/>
              <w:bottom w:val="single" w:color="auto" w:sz="4" w:space="0"/>
              <w:right w:val="single" w:color="auto" w:sz="4" w:space="0"/>
            </w:tcBorders>
            <w:vAlign w:val="center"/>
          </w:tcPr>
          <w:p w14:paraId="5558E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708" w:type="pct"/>
            <w:gridSpan w:val="2"/>
            <w:tcBorders>
              <w:top w:val="single" w:color="auto" w:sz="4" w:space="0"/>
              <w:left w:val="nil"/>
              <w:bottom w:val="single" w:color="auto" w:sz="4" w:space="0"/>
              <w:right w:val="single" w:color="auto" w:sz="4" w:space="0"/>
            </w:tcBorders>
            <w:vAlign w:val="center"/>
          </w:tcPr>
          <w:p w14:paraId="4EFEB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71" w:type="pct"/>
            <w:gridSpan w:val="2"/>
            <w:tcBorders>
              <w:top w:val="nil"/>
              <w:left w:val="nil"/>
              <w:bottom w:val="single" w:color="auto" w:sz="4" w:space="0"/>
              <w:right w:val="single" w:color="auto" w:sz="4" w:space="0"/>
            </w:tcBorders>
            <w:vAlign w:val="center"/>
          </w:tcPr>
          <w:p w14:paraId="1BE07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CF73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3BE1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DE6B6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BA3FF5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D882E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C789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89E7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232B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EABEE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4E4F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EBE34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6ACAF31">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CCA07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7D8550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E6C95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069E843">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9C9C0BE">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5BF41F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台县人民政府下发《关于自然资源局有关事项的批复》（奇政函【2024】29号）文件，依据（2019）新2325行初5号《新疆维吾尔自治区奇台县人民法院行政判决书》、县水利局《关于为连生才办理相关证件范围的函》，为连生才办理林权不动产登记，并向乌鲁木齐铁路运输法院缴纳罚款50000元，现乌鲁木齐铁路运输法院已结案，使得连生才的不动产权更加明确，权益不受他人侵犯，更加具有保障。</w:t>
            </w:r>
          </w:p>
        </w:tc>
        <w:tc>
          <w:tcPr>
            <w:tcW w:w="2559" w:type="pct"/>
            <w:gridSpan w:val="7"/>
            <w:tcBorders>
              <w:top w:val="single" w:color="auto" w:sz="4" w:space="0"/>
              <w:left w:val="nil"/>
              <w:bottom w:val="single" w:color="auto" w:sz="4" w:space="0"/>
              <w:right w:val="single" w:color="auto" w:sz="4" w:space="0"/>
            </w:tcBorders>
            <w:vAlign w:val="center"/>
          </w:tcPr>
          <w:p w14:paraId="3F7B83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执行罚款保障项目数量1个，执行罚款的案件数量1个，执行案件罚款完成率100%，执行案件罚款及时率100%，项目预算控制率100%，通过该项目的实施，有效维护了群众不动产权益，提升了群众满意度。</w:t>
            </w:r>
          </w:p>
        </w:tc>
      </w:tr>
      <w:tr w14:paraId="6AA3CE14">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7A001566">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041D9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94982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424B2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ED16C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34DC0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28EC60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F4BAB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510DB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2BCD8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1B767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41B70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BBC8F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BD7389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BFA3918">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2925B67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6D523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9CB8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F2E72FF">
            <w:pPr>
              <w:rPr>
                <w:rFonts w:hint="eastAsia" w:ascii="宋体" w:hAnsi="宋体" w:eastAsia="宋体" w:cs="宋体"/>
                <w:color w:val="000000"/>
                <w:sz w:val="18"/>
                <w:szCs w:val="18"/>
              </w:rPr>
            </w:pPr>
            <w:r>
              <w:rPr>
                <w:rFonts w:hint="eastAsia" w:ascii="宋体" w:hAnsi="宋体" w:eastAsia="宋体" w:cs="宋体"/>
                <w:color w:val="000000"/>
                <w:sz w:val="18"/>
                <w:szCs w:val="18"/>
              </w:rPr>
              <w:t>执行罚款的案件数量</w:t>
            </w:r>
          </w:p>
        </w:tc>
        <w:tc>
          <w:tcPr>
            <w:tcW w:w="334" w:type="pct"/>
            <w:tcBorders>
              <w:top w:val="nil"/>
              <w:left w:val="nil"/>
              <w:bottom w:val="single" w:color="auto" w:sz="4" w:space="0"/>
              <w:right w:val="single" w:color="auto" w:sz="4" w:space="0"/>
            </w:tcBorders>
            <w:vAlign w:val="center"/>
          </w:tcPr>
          <w:p w14:paraId="63FE9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8568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69C28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65D77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6BBF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3AAF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1651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DA6D4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330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519DB2E">
            <w:pPr>
              <w:jc w:val="center"/>
              <w:rPr>
                <w:rFonts w:hint="eastAsia" w:ascii="宋体" w:hAnsi="宋体" w:eastAsia="宋体" w:cs="宋体"/>
                <w:color w:val="000000"/>
                <w:sz w:val="18"/>
                <w:szCs w:val="18"/>
              </w:rPr>
            </w:pPr>
          </w:p>
        </w:tc>
      </w:tr>
      <w:tr w14:paraId="496CA45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96D2F3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CB89D8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7F3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9C4F7E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执行罚款保障项目数量</w:t>
            </w:r>
          </w:p>
        </w:tc>
        <w:tc>
          <w:tcPr>
            <w:tcW w:w="334" w:type="pct"/>
            <w:tcBorders>
              <w:top w:val="nil"/>
              <w:left w:val="nil"/>
              <w:bottom w:val="single" w:color="auto" w:sz="4" w:space="0"/>
              <w:right w:val="single" w:color="auto" w:sz="4" w:space="0"/>
            </w:tcBorders>
            <w:vAlign w:val="center"/>
          </w:tcPr>
          <w:p w14:paraId="64678D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39ADD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173C4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7F2E3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BC19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D057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DB0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CD0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D52C0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ABB95BF">
            <w:pPr>
              <w:jc w:val="center"/>
              <w:rPr>
                <w:rFonts w:hint="eastAsia" w:ascii="宋体" w:hAnsi="宋体" w:eastAsia="宋体" w:cs="宋体"/>
                <w:color w:val="000000"/>
                <w:sz w:val="18"/>
                <w:szCs w:val="18"/>
              </w:rPr>
            </w:pPr>
          </w:p>
        </w:tc>
      </w:tr>
      <w:tr w14:paraId="61D7025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7E9834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45E4DA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0D5D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71D20DE">
            <w:pPr>
              <w:rPr>
                <w:rFonts w:hint="eastAsia" w:ascii="宋体" w:hAnsi="宋体" w:eastAsia="宋体" w:cs="宋体"/>
                <w:color w:val="000000"/>
                <w:sz w:val="18"/>
                <w:szCs w:val="18"/>
              </w:rPr>
            </w:pPr>
            <w:r>
              <w:rPr>
                <w:rFonts w:hint="eastAsia" w:ascii="宋体" w:hAnsi="宋体" w:eastAsia="宋体" w:cs="宋体"/>
                <w:color w:val="000000"/>
                <w:sz w:val="18"/>
                <w:szCs w:val="18"/>
              </w:rPr>
              <w:t>执行案件罚款完成率</w:t>
            </w:r>
          </w:p>
        </w:tc>
        <w:tc>
          <w:tcPr>
            <w:tcW w:w="334" w:type="pct"/>
            <w:tcBorders>
              <w:top w:val="nil"/>
              <w:left w:val="nil"/>
              <w:bottom w:val="single" w:color="auto" w:sz="4" w:space="0"/>
              <w:right w:val="single" w:color="auto" w:sz="4" w:space="0"/>
            </w:tcBorders>
            <w:vAlign w:val="center"/>
          </w:tcPr>
          <w:p w14:paraId="53829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4D08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FB4E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A9FE1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29EE7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5178A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276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AA31C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9AA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F4053AD">
            <w:pPr>
              <w:jc w:val="center"/>
              <w:rPr>
                <w:rFonts w:hint="eastAsia" w:ascii="宋体" w:hAnsi="宋体" w:eastAsia="宋体" w:cs="宋体"/>
                <w:color w:val="000000"/>
                <w:sz w:val="18"/>
                <w:szCs w:val="18"/>
              </w:rPr>
            </w:pPr>
          </w:p>
        </w:tc>
      </w:tr>
      <w:tr w14:paraId="05C50F7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082A6F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F4D25C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DAE41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122AD82">
            <w:pPr>
              <w:rPr>
                <w:rFonts w:hint="eastAsia" w:ascii="宋体" w:hAnsi="宋体" w:eastAsia="宋体" w:cs="宋体"/>
                <w:color w:val="000000"/>
                <w:sz w:val="18"/>
                <w:szCs w:val="18"/>
              </w:rPr>
            </w:pPr>
            <w:r>
              <w:rPr>
                <w:rFonts w:hint="eastAsia" w:ascii="宋体" w:hAnsi="宋体" w:eastAsia="宋体" w:cs="宋体"/>
                <w:color w:val="000000"/>
                <w:sz w:val="18"/>
                <w:szCs w:val="18"/>
              </w:rPr>
              <w:t>执行案件罚款及时率</w:t>
            </w:r>
          </w:p>
        </w:tc>
        <w:tc>
          <w:tcPr>
            <w:tcW w:w="334" w:type="pct"/>
            <w:tcBorders>
              <w:top w:val="nil"/>
              <w:left w:val="nil"/>
              <w:bottom w:val="single" w:color="auto" w:sz="4" w:space="0"/>
              <w:right w:val="single" w:color="auto" w:sz="4" w:space="0"/>
            </w:tcBorders>
            <w:vAlign w:val="center"/>
          </w:tcPr>
          <w:p w14:paraId="1A671A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06B15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7327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6CB0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57C8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5EE9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D0EF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3226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10F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5868C67">
            <w:pPr>
              <w:jc w:val="center"/>
              <w:rPr>
                <w:rFonts w:hint="eastAsia" w:ascii="宋体" w:hAnsi="宋体" w:eastAsia="宋体" w:cs="宋体"/>
                <w:color w:val="000000"/>
                <w:sz w:val="18"/>
                <w:szCs w:val="18"/>
              </w:rPr>
            </w:pPr>
          </w:p>
        </w:tc>
      </w:tr>
      <w:tr w14:paraId="18CE855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3EEAC4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6542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5C95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8B636F2">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2166B1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BA57F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170BB7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79C3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29A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F14C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C76E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BFE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64FE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2433ED6">
            <w:pPr>
              <w:jc w:val="center"/>
              <w:rPr>
                <w:rFonts w:hint="eastAsia" w:ascii="宋体" w:hAnsi="宋体" w:eastAsia="宋体" w:cs="宋体"/>
                <w:color w:val="000000"/>
                <w:sz w:val="18"/>
                <w:szCs w:val="18"/>
              </w:rPr>
            </w:pPr>
          </w:p>
        </w:tc>
      </w:tr>
      <w:tr w14:paraId="2AC3D6C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5DF10B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991C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9B9F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3EDC65F6">
            <w:pPr>
              <w:rPr>
                <w:rFonts w:hint="eastAsia" w:ascii="宋体" w:hAnsi="宋体" w:eastAsia="宋体" w:cs="宋体"/>
                <w:color w:val="000000"/>
                <w:sz w:val="18"/>
                <w:szCs w:val="18"/>
              </w:rPr>
            </w:pPr>
            <w:r>
              <w:rPr>
                <w:rFonts w:hint="eastAsia" w:ascii="宋体" w:hAnsi="宋体" w:eastAsia="宋体" w:cs="宋体"/>
                <w:color w:val="000000"/>
                <w:sz w:val="18"/>
                <w:szCs w:val="18"/>
              </w:rPr>
              <w:t>维护群众不动产权益</w:t>
            </w:r>
          </w:p>
        </w:tc>
        <w:tc>
          <w:tcPr>
            <w:tcW w:w="334" w:type="pct"/>
            <w:tcBorders>
              <w:top w:val="nil"/>
              <w:left w:val="nil"/>
              <w:bottom w:val="single" w:color="auto" w:sz="4" w:space="0"/>
              <w:right w:val="single" w:color="auto" w:sz="4" w:space="0"/>
            </w:tcBorders>
            <w:vAlign w:val="center"/>
          </w:tcPr>
          <w:p w14:paraId="28405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87A9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有效维护</w:t>
            </w:r>
          </w:p>
        </w:tc>
        <w:tc>
          <w:tcPr>
            <w:tcW w:w="333" w:type="pct"/>
            <w:tcBorders>
              <w:top w:val="nil"/>
              <w:left w:val="nil"/>
              <w:bottom w:val="single" w:color="auto" w:sz="4" w:space="0"/>
              <w:right w:val="single" w:color="auto" w:sz="4" w:space="0"/>
            </w:tcBorders>
            <w:vAlign w:val="center"/>
          </w:tcPr>
          <w:p w14:paraId="22AB8D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有效维护</w:t>
            </w:r>
          </w:p>
        </w:tc>
        <w:tc>
          <w:tcPr>
            <w:tcW w:w="328" w:type="pct"/>
            <w:tcBorders>
              <w:top w:val="nil"/>
              <w:left w:val="nil"/>
              <w:bottom w:val="single" w:color="auto" w:sz="4" w:space="0"/>
              <w:right w:val="single" w:color="auto" w:sz="4" w:space="0"/>
            </w:tcBorders>
            <w:vAlign w:val="center"/>
          </w:tcPr>
          <w:p w14:paraId="2A5F92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F8B0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367E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3F13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0A9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D731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49171B5">
            <w:pPr>
              <w:jc w:val="center"/>
              <w:rPr>
                <w:rFonts w:hint="eastAsia" w:ascii="宋体" w:hAnsi="宋体" w:eastAsia="宋体" w:cs="宋体"/>
                <w:color w:val="000000"/>
                <w:sz w:val="18"/>
                <w:szCs w:val="18"/>
              </w:rPr>
            </w:pPr>
          </w:p>
        </w:tc>
      </w:tr>
      <w:tr w14:paraId="0496DEB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3613D96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2880B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8403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32C1B5F">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0E22F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D944A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&gt;=94%</w:t>
            </w:r>
          </w:p>
        </w:tc>
        <w:tc>
          <w:tcPr>
            <w:tcW w:w="333" w:type="pct"/>
            <w:tcBorders>
              <w:top w:val="nil"/>
              <w:left w:val="nil"/>
              <w:bottom w:val="single" w:color="auto" w:sz="4" w:space="0"/>
              <w:right w:val="single" w:color="auto" w:sz="4" w:space="0"/>
            </w:tcBorders>
            <w:vAlign w:val="center"/>
          </w:tcPr>
          <w:p w14:paraId="6CFCA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w:t>
            </w:r>
          </w:p>
        </w:tc>
        <w:tc>
          <w:tcPr>
            <w:tcW w:w="328" w:type="pct"/>
            <w:tcBorders>
              <w:top w:val="nil"/>
              <w:left w:val="nil"/>
              <w:bottom w:val="single" w:color="auto" w:sz="4" w:space="0"/>
              <w:right w:val="single" w:color="auto" w:sz="4" w:space="0"/>
            </w:tcBorders>
            <w:vAlign w:val="center"/>
          </w:tcPr>
          <w:p w14:paraId="34367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885F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62428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42713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3FD83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FA4D4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17F1D62">
            <w:pPr>
              <w:jc w:val="center"/>
              <w:rPr>
                <w:rFonts w:hint="eastAsia" w:ascii="宋体" w:hAnsi="宋体" w:eastAsia="宋体" w:cs="宋体"/>
                <w:color w:val="000000"/>
                <w:sz w:val="18"/>
                <w:szCs w:val="18"/>
              </w:rPr>
            </w:pPr>
          </w:p>
        </w:tc>
      </w:tr>
      <w:tr w14:paraId="12BDFF1B">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AEBE3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69517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0B4C20B">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184E4EF">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24F5C7F">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99C4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C2BEFAD">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C9674AC">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306C680">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5F9D214">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BFCF7DF">
            <w:pPr>
              <w:rPr>
                <w:rFonts w:hint="eastAsia" w:ascii="宋体" w:hAnsi="宋体" w:eastAsia="宋体" w:cs="宋体"/>
                <w:color w:val="000000"/>
                <w:sz w:val="18"/>
                <w:szCs w:val="18"/>
              </w:rPr>
            </w:pPr>
          </w:p>
        </w:tc>
      </w:tr>
    </w:tbl>
    <w:p w14:paraId="6FE4B125">
      <w:pPr>
        <w:jc w:val="center"/>
        <w:rPr>
          <w:rFonts w:ascii="宋体" w:hAnsi="宋体" w:eastAsia="宋体" w:cs="宋体"/>
          <w:b/>
          <w:bCs/>
          <w:sz w:val="28"/>
          <w:szCs w:val="28"/>
          <w:lang w:eastAsia="zh-CN"/>
        </w:rPr>
      </w:pPr>
    </w:p>
    <w:p w14:paraId="1DF0612A">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9CC3E2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70"/>
        <w:gridCol w:w="680"/>
        <w:gridCol w:w="671"/>
        <w:gridCol w:w="977"/>
        <w:gridCol w:w="684"/>
        <w:gridCol w:w="846"/>
        <w:gridCol w:w="846"/>
        <w:gridCol w:w="671"/>
        <w:gridCol w:w="782"/>
        <w:gridCol w:w="701"/>
        <w:gridCol w:w="673"/>
        <w:gridCol w:w="669"/>
        <w:gridCol w:w="671"/>
        <w:gridCol w:w="1086"/>
      </w:tblGrid>
      <w:tr w14:paraId="2B534CC3">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1B786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55A7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奇财农[2024]30号项目资金</w:t>
            </w:r>
          </w:p>
        </w:tc>
      </w:tr>
      <w:tr w14:paraId="1DDE8F23">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35B4A2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6DDDA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6C91A2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A15B5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4DEE02B7">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E25F8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11B9193D">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0509FB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6AFB61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8D9C2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5049A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CABD8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7AF5F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F6D825F">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EEAFFF2">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869BC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6B624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983" w:type="pct"/>
            <w:gridSpan w:val="3"/>
            <w:tcBorders>
              <w:top w:val="single" w:color="auto" w:sz="4" w:space="0"/>
              <w:left w:val="nil"/>
              <w:bottom w:val="single" w:color="auto" w:sz="4" w:space="0"/>
              <w:right w:val="single" w:color="auto" w:sz="4" w:space="0"/>
            </w:tcBorders>
            <w:vAlign w:val="center"/>
          </w:tcPr>
          <w:p w14:paraId="341CBC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708" w:type="pct"/>
            <w:gridSpan w:val="2"/>
            <w:tcBorders>
              <w:top w:val="single" w:color="auto" w:sz="4" w:space="0"/>
              <w:left w:val="nil"/>
              <w:bottom w:val="single" w:color="auto" w:sz="4" w:space="0"/>
              <w:right w:val="single" w:color="auto" w:sz="4" w:space="0"/>
            </w:tcBorders>
            <w:vAlign w:val="center"/>
          </w:tcPr>
          <w:p w14:paraId="4D6C5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671" w:type="pct"/>
            <w:gridSpan w:val="2"/>
            <w:tcBorders>
              <w:top w:val="nil"/>
              <w:left w:val="nil"/>
              <w:bottom w:val="single" w:color="auto" w:sz="4" w:space="0"/>
              <w:right w:val="single" w:color="auto" w:sz="4" w:space="0"/>
            </w:tcBorders>
            <w:vAlign w:val="center"/>
          </w:tcPr>
          <w:p w14:paraId="50E70A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A8159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F4E7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B304E4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72F714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21845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832AB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983" w:type="pct"/>
            <w:gridSpan w:val="3"/>
            <w:tcBorders>
              <w:top w:val="single" w:color="auto" w:sz="4" w:space="0"/>
              <w:left w:val="nil"/>
              <w:bottom w:val="single" w:color="auto" w:sz="4" w:space="0"/>
              <w:right w:val="single" w:color="auto" w:sz="4" w:space="0"/>
            </w:tcBorders>
            <w:vAlign w:val="center"/>
          </w:tcPr>
          <w:p w14:paraId="0AEBA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708" w:type="pct"/>
            <w:gridSpan w:val="2"/>
            <w:tcBorders>
              <w:top w:val="single" w:color="auto" w:sz="4" w:space="0"/>
              <w:left w:val="nil"/>
              <w:bottom w:val="single" w:color="auto" w:sz="4" w:space="0"/>
              <w:right w:val="single" w:color="auto" w:sz="4" w:space="0"/>
            </w:tcBorders>
            <w:vAlign w:val="center"/>
          </w:tcPr>
          <w:p w14:paraId="0D5A7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211.04</w:t>
            </w:r>
          </w:p>
        </w:tc>
        <w:tc>
          <w:tcPr>
            <w:tcW w:w="671" w:type="pct"/>
            <w:gridSpan w:val="2"/>
            <w:tcBorders>
              <w:top w:val="nil"/>
              <w:left w:val="nil"/>
              <w:bottom w:val="single" w:color="auto" w:sz="4" w:space="0"/>
              <w:right w:val="single" w:color="auto" w:sz="4" w:space="0"/>
            </w:tcBorders>
            <w:vAlign w:val="center"/>
          </w:tcPr>
          <w:p w14:paraId="61B42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81284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97F1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D1CE51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737A555">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CCE4F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11CD9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162DB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352A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5552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FB2B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613B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D09D27">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88C72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4F23A4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5641D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D9EE4B9">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A298C7A">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66FEFD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关于拨付自然资源局项目资金的通知（奇财农[2024]30号）、关于拨付2023年奇台县实施地下水水位下降整治实现“三影重叠”核查工作技术服务费的通知（奇财农[2024]32号），为确保第三方企业继续提供服务，保障日常车辆运转正常，切实解决资金问题。</w:t>
            </w:r>
          </w:p>
        </w:tc>
        <w:tc>
          <w:tcPr>
            <w:tcW w:w="2559" w:type="pct"/>
            <w:gridSpan w:val="7"/>
            <w:tcBorders>
              <w:top w:val="single" w:color="auto" w:sz="4" w:space="0"/>
              <w:left w:val="nil"/>
              <w:bottom w:val="single" w:color="auto" w:sz="4" w:space="0"/>
              <w:right w:val="single" w:color="auto" w:sz="4" w:space="0"/>
            </w:tcBorders>
            <w:vAlign w:val="center"/>
          </w:tcPr>
          <w:p w14:paraId="5F57FD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支付项目资金及公务用车的运行维护费共计211.04万元，完成出具报告14个，保障公务用车8辆，涉及案件诉讼宗地数量7宗，报告均已验收完毕，资金均在2024年12月25日前支付完毕，通过该项目的实施，保障了单位的良好信用，提升了相关企业的满意度。</w:t>
            </w:r>
          </w:p>
        </w:tc>
      </w:tr>
      <w:tr w14:paraId="5DCF48B8">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63B9592F">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89F40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08BCB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3E0BA9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606BA0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BF1B1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222B65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5EAAE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74179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5E844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A9B40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10BEF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1E481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65BE0E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9825B27">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742596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0F98C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09FE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2AC7EAA">
            <w:pPr>
              <w:rPr>
                <w:rFonts w:hint="eastAsia" w:ascii="宋体" w:hAnsi="宋体" w:eastAsia="宋体" w:cs="宋体"/>
                <w:color w:val="000000"/>
                <w:sz w:val="18"/>
                <w:szCs w:val="18"/>
              </w:rPr>
            </w:pPr>
            <w:r>
              <w:rPr>
                <w:rFonts w:hint="eastAsia" w:ascii="宋体" w:hAnsi="宋体" w:eastAsia="宋体" w:cs="宋体"/>
                <w:color w:val="000000"/>
                <w:sz w:val="18"/>
                <w:szCs w:val="18"/>
              </w:rPr>
              <w:t>出具报告数量（个）</w:t>
            </w:r>
          </w:p>
        </w:tc>
        <w:tc>
          <w:tcPr>
            <w:tcW w:w="334" w:type="pct"/>
            <w:tcBorders>
              <w:top w:val="nil"/>
              <w:left w:val="nil"/>
              <w:bottom w:val="single" w:color="auto" w:sz="4" w:space="0"/>
              <w:right w:val="single" w:color="auto" w:sz="4" w:space="0"/>
            </w:tcBorders>
            <w:vAlign w:val="center"/>
          </w:tcPr>
          <w:p w14:paraId="5E843F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279D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=14个</w:t>
            </w:r>
          </w:p>
        </w:tc>
        <w:tc>
          <w:tcPr>
            <w:tcW w:w="334" w:type="pct"/>
            <w:tcBorders>
              <w:top w:val="nil"/>
              <w:left w:val="nil"/>
              <w:bottom w:val="single" w:color="auto" w:sz="4" w:space="0"/>
              <w:right w:val="single" w:color="auto" w:sz="4" w:space="0"/>
            </w:tcBorders>
            <w:vAlign w:val="center"/>
          </w:tcPr>
          <w:p w14:paraId="66B01F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=14个</w:t>
            </w:r>
          </w:p>
        </w:tc>
        <w:tc>
          <w:tcPr>
            <w:tcW w:w="328" w:type="pct"/>
            <w:tcBorders>
              <w:top w:val="nil"/>
              <w:left w:val="nil"/>
              <w:bottom w:val="single" w:color="auto" w:sz="4" w:space="0"/>
              <w:right w:val="single" w:color="auto" w:sz="4" w:space="0"/>
            </w:tcBorders>
            <w:vAlign w:val="center"/>
          </w:tcPr>
          <w:p w14:paraId="0DC7F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ACC6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E9A0E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719E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7FE55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32341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A8488D7">
            <w:pPr>
              <w:jc w:val="center"/>
              <w:rPr>
                <w:rFonts w:hint="eastAsia" w:ascii="宋体" w:hAnsi="宋体" w:eastAsia="宋体" w:cs="宋体"/>
                <w:color w:val="000000"/>
                <w:sz w:val="18"/>
                <w:szCs w:val="18"/>
              </w:rPr>
            </w:pPr>
          </w:p>
        </w:tc>
      </w:tr>
      <w:tr w14:paraId="0E151AB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8EF9FB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BCFF4D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3EFE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5F0769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保障公务用车数量（辆）</w:t>
            </w:r>
          </w:p>
        </w:tc>
        <w:tc>
          <w:tcPr>
            <w:tcW w:w="334" w:type="pct"/>
            <w:tcBorders>
              <w:top w:val="nil"/>
              <w:left w:val="nil"/>
              <w:bottom w:val="single" w:color="auto" w:sz="4" w:space="0"/>
              <w:right w:val="single" w:color="auto" w:sz="4" w:space="0"/>
            </w:tcBorders>
            <w:vAlign w:val="center"/>
          </w:tcPr>
          <w:p w14:paraId="650327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50F1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=8辆</w:t>
            </w:r>
          </w:p>
        </w:tc>
        <w:tc>
          <w:tcPr>
            <w:tcW w:w="334" w:type="pct"/>
            <w:tcBorders>
              <w:top w:val="nil"/>
              <w:left w:val="nil"/>
              <w:bottom w:val="single" w:color="auto" w:sz="4" w:space="0"/>
              <w:right w:val="single" w:color="auto" w:sz="4" w:space="0"/>
            </w:tcBorders>
            <w:vAlign w:val="center"/>
          </w:tcPr>
          <w:p w14:paraId="6E1B3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=8辆</w:t>
            </w:r>
          </w:p>
        </w:tc>
        <w:tc>
          <w:tcPr>
            <w:tcW w:w="328" w:type="pct"/>
            <w:tcBorders>
              <w:top w:val="nil"/>
              <w:left w:val="nil"/>
              <w:bottom w:val="single" w:color="auto" w:sz="4" w:space="0"/>
              <w:right w:val="single" w:color="auto" w:sz="4" w:space="0"/>
            </w:tcBorders>
            <w:vAlign w:val="center"/>
          </w:tcPr>
          <w:p w14:paraId="25FAB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4048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3281F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4FF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80B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CCA3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C7D3CB">
            <w:pPr>
              <w:jc w:val="center"/>
              <w:rPr>
                <w:rFonts w:hint="eastAsia" w:ascii="宋体" w:hAnsi="宋体" w:eastAsia="宋体" w:cs="宋体"/>
                <w:color w:val="000000"/>
                <w:sz w:val="18"/>
                <w:szCs w:val="18"/>
              </w:rPr>
            </w:pPr>
          </w:p>
        </w:tc>
      </w:tr>
      <w:tr w14:paraId="22AEC0D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AAFB89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248B92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AF471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EAC5AA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涉及案件诉讼宗地数量（宗）</w:t>
            </w:r>
          </w:p>
        </w:tc>
        <w:tc>
          <w:tcPr>
            <w:tcW w:w="334" w:type="pct"/>
            <w:tcBorders>
              <w:top w:val="nil"/>
              <w:left w:val="nil"/>
              <w:bottom w:val="single" w:color="auto" w:sz="4" w:space="0"/>
              <w:right w:val="single" w:color="auto" w:sz="4" w:space="0"/>
            </w:tcBorders>
            <w:vAlign w:val="center"/>
          </w:tcPr>
          <w:p w14:paraId="651EF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05AA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=7宗</w:t>
            </w:r>
          </w:p>
        </w:tc>
        <w:tc>
          <w:tcPr>
            <w:tcW w:w="334" w:type="pct"/>
            <w:tcBorders>
              <w:top w:val="nil"/>
              <w:left w:val="nil"/>
              <w:bottom w:val="single" w:color="auto" w:sz="4" w:space="0"/>
              <w:right w:val="single" w:color="auto" w:sz="4" w:space="0"/>
            </w:tcBorders>
            <w:vAlign w:val="center"/>
          </w:tcPr>
          <w:p w14:paraId="607998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=7宗</w:t>
            </w:r>
          </w:p>
        </w:tc>
        <w:tc>
          <w:tcPr>
            <w:tcW w:w="328" w:type="pct"/>
            <w:tcBorders>
              <w:top w:val="nil"/>
              <w:left w:val="nil"/>
              <w:bottom w:val="single" w:color="auto" w:sz="4" w:space="0"/>
              <w:right w:val="single" w:color="auto" w:sz="4" w:space="0"/>
            </w:tcBorders>
            <w:vAlign w:val="center"/>
          </w:tcPr>
          <w:p w14:paraId="33D72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053E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D725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EAA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44035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E43F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013624C">
            <w:pPr>
              <w:jc w:val="center"/>
              <w:rPr>
                <w:rFonts w:hint="eastAsia" w:ascii="宋体" w:hAnsi="宋体" w:eastAsia="宋体" w:cs="宋体"/>
                <w:color w:val="000000"/>
                <w:sz w:val="18"/>
                <w:szCs w:val="18"/>
              </w:rPr>
            </w:pPr>
          </w:p>
        </w:tc>
      </w:tr>
      <w:tr w14:paraId="3823B59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5280F8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CE7B23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FABAB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67E36725">
            <w:pPr>
              <w:rPr>
                <w:rFonts w:hint="eastAsia" w:ascii="宋体" w:hAnsi="宋体" w:eastAsia="宋体" w:cs="宋体"/>
                <w:color w:val="000000"/>
                <w:sz w:val="18"/>
                <w:szCs w:val="18"/>
              </w:rPr>
            </w:pPr>
            <w:r>
              <w:rPr>
                <w:rFonts w:hint="eastAsia" w:ascii="宋体" w:hAnsi="宋体" w:eastAsia="宋体" w:cs="宋体"/>
                <w:color w:val="000000"/>
                <w:sz w:val="18"/>
                <w:szCs w:val="18"/>
              </w:rPr>
              <w:t>验收报告合格率（%）</w:t>
            </w:r>
          </w:p>
        </w:tc>
        <w:tc>
          <w:tcPr>
            <w:tcW w:w="334" w:type="pct"/>
            <w:tcBorders>
              <w:top w:val="nil"/>
              <w:left w:val="nil"/>
              <w:bottom w:val="single" w:color="auto" w:sz="4" w:space="0"/>
              <w:right w:val="single" w:color="auto" w:sz="4" w:space="0"/>
            </w:tcBorders>
            <w:vAlign w:val="center"/>
          </w:tcPr>
          <w:p w14:paraId="19F8F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E37D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EC658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A2D34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3555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C1DA5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8738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64A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A37B5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64D2224">
            <w:pPr>
              <w:jc w:val="center"/>
              <w:rPr>
                <w:rFonts w:hint="eastAsia" w:ascii="宋体" w:hAnsi="宋体" w:eastAsia="宋体" w:cs="宋体"/>
                <w:color w:val="000000"/>
                <w:sz w:val="18"/>
                <w:szCs w:val="18"/>
              </w:rPr>
            </w:pPr>
          </w:p>
        </w:tc>
      </w:tr>
      <w:tr w14:paraId="6C59577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CFB2F83">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B5A888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B33CD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4D6CE9E1">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资金支付完成时间</w:t>
            </w:r>
          </w:p>
        </w:tc>
        <w:tc>
          <w:tcPr>
            <w:tcW w:w="334" w:type="pct"/>
            <w:tcBorders>
              <w:top w:val="nil"/>
              <w:left w:val="nil"/>
              <w:bottom w:val="single" w:color="auto" w:sz="4" w:space="0"/>
              <w:right w:val="single" w:color="auto" w:sz="4" w:space="0"/>
            </w:tcBorders>
            <w:vAlign w:val="center"/>
          </w:tcPr>
          <w:p w14:paraId="66553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DAE62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334" w:type="pct"/>
            <w:tcBorders>
              <w:top w:val="nil"/>
              <w:left w:val="nil"/>
              <w:bottom w:val="single" w:color="auto" w:sz="4" w:space="0"/>
              <w:right w:val="single" w:color="auto" w:sz="4" w:space="0"/>
            </w:tcBorders>
            <w:vAlign w:val="center"/>
          </w:tcPr>
          <w:p w14:paraId="55FFF3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328" w:type="pct"/>
            <w:tcBorders>
              <w:top w:val="nil"/>
              <w:left w:val="nil"/>
              <w:bottom w:val="single" w:color="auto" w:sz="4" w:space="0"/>
              <w:right w:val="single" w:color="auto" w:sz="4" w:space="0"/>
            </w:tcBorders>
            <w:vAlign w:val="center"/>
          </w:tcPr>
          <w:p w14:paraId="57230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57E51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A04A7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F996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B155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0587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53E914F">
            <w:pPr>
              <w:jc w:val="center"/>
              <w:rPr>
                <w:rFonts w:hint="eastAsia" w:ascii="宋体" w:hAnsi="宋体" w:eastAsia="宋体" w:cs="宋体"/>
                <w:color w:val="000000"/>
                <w:sz w:val="18"/>
                <w:szCs w:val="18"/>
              </w:rPr>
            </w:pPr>
          </w:p>
        </w:tc>
      </w:tr>
      <w:tr w14:paraId="77C111A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A7D7348">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79BC5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A9B5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58E775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公务用车车辆维修费（万元）</w:t>
            </w:r>
          </w:p>
        </w:tc>
        <w:tc>
          <w:tcPr>
            <w:tcW w:w="334" w:type="pct"/>
            <w:tcBorders>
              <w:top w:val="nil"/>
              <w:left w:val="nil"/>
              <w:bottom w:val="single" w:color="auto" w:sz="4" w:space="0"/>
              <w:right w:val="single" w:color="auto" w:sz="4" w:space="0"/>
            </w:tcBorders>
            <w:vAlign w:val="center"/>
          </w:tcPr>
          <w:p w14:paraId="05860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24F5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=12.28万元</w:t>
            </w:r>
          </w:p>
        </w:tc>
        <w:tc>
          <w:tcPr>
            <w:tcW w:w="334" w:type="pct"/>
            <w:tcBorders>
              <w:top w:val="nil"/>
              <w:left w:val="nil"/>
              <w:bottom w:val="single" w:color="auto" w:sz="4" w:space="0"/>
              <w:right w:val="single" w:color="auto" w:sz="4" w:space="0"/>
            </w:tcBorders>
            <w:vAlign w:val="center"/>
          </w:tcPr>
          <w:p w14:paraId="3892F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=12.28万元</w:t>
            </w:r>
          </w:p>
        </w:tc>
        <w:tc>
          <w:tcPr>
            <w:tcW w:w="328" w:type="pct"/>
            <w:tcBorders>
              <w:top w:val="nil"/>
              <w:left w:val="nil"/>
              <w:bottom w:val="single" w:color="auto" w:sz="4" w:space="0"/>
              <w:right w:val="single" w:color="auto" w:sz="4" w:space="0"/>
            </w:tcBorders>
            <w:vAlign w:val="center"/>
          </w:tcPr>
          <w:p w14:paraId="79D51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E3D0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594D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AA6A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5FFC3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FA97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B911435">
            <w:pPr>
              <w:jc w:val="center"/>
              <w:rPr>
                <w:rFonts w:hint="eastAsia" w:ascii="宋体" w:hAnsi="宋体" w:eastAsia="宋体" w:cs="宋体"/>
                <w:color w:val="000000"/>
                <w:sz w:val="18"/>
                <w:szCs w:val="18"/>
              </w:rPr>
            </w:pPr>
          </w:p>
        </w:tc>
      </w:tr>
      <w:tr w14:paraId="6C5CB6C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4CE98FE">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D02F0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A7E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260E3D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委托第三方报告服务费（万元）</w:t>
            </w:r>
          </w:p>
        </w:tc>
        <w:tc>
          <w:tcPr>
            <w:tcW w:w="334" w:type="pct"/>
            <w:tcBorders>
              <w:top w:val="nil"/>
              <w:left w:val="nil"/>
              <w:bottom w:val="single" w:color="auto" w:sz="4" w:space="0"/>
              <w:right w:val="single" w:color="auto" w:sz="4" w:space="0"/>
            </w:tcBorders>
            <w:vAlign w:val="center"/>
          </w:tcPr>
          <w:p w14:paraId="7A117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A2A92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=187.27万元</w:t>
            </w:r>
          </w:p>
        </w:tc>
        <w:tc>
          <w:tcPr>
            <w:tcW w:w="334" w:type="pct"/>
            <w:tcBorders>
              <w:top w:val="nil"/>
              <w:left w:val="nil"/>
              <w:bottom w:val="single" w:color="auto" w:sz="4" w:space="0"/>
              <w:right w:val="single" w:color="auto" w:sz="4" w:space="0"/>
            </w:tcBorders>
            <w:vAlign w:val="center"/>
          </w:tcPr>
          <w:p w14:paraId="1E3D0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=187.27万元</w:t>
            </w:r>
          </w:p>
        </w:tc>
        <w:tc>
          <w:tcPr>
            <w:tcW w:w="328" w:type="pct"/>
            <w:tcBorders>
              <w:top w:val="nil"/>
              <w:left w:val="nil"/>
              <w:bottom w:val="single" w:color="auto" w:sz="4" w:space="0"/>
              <w:right w:val="single" w:color="auto" w:sz="4" w:space="0"/>
            </w:tcBorders>
            <w:vAlign w:val="center"/>
          </w:tcPr>
          <w:p w14:paraId="261CD5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B3DD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D9BB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8EEF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2A53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7830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4B6489">
            <w:pPr>
              <w:jc w:val="center"/>
              <w:rPr>
                <w:rFonts w:hint="eastAsia" w:ascii="宋体" w:hAnsi="宋体" w:eastAsia="宋体" w:cs="宋体"/>
                <w:color w:val="000000"/>
                <w:sz w:val="18"/>
                <w:szCs w:val="18"/>
              </w:rPr>
            </w:pPr>
          </w:p>
        </w:tc>
      </w:tr>
      <w:tr w14:paraId="061B018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BDDF146">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C7DEEC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63D6A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D30A0B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案件涉及诉讼费（万元）</w:t>
            </w:r>
          </w:p>
        </w:tc>
        <w:tc>
          <w:tcPr>
            <w:tcW w:w="334" w:type="pct"/>
            <w:tcBorders>
              <w:top w:val="nil"/>
              <w:left w:val="nil"/>
              <w:bottom w:val="single" w:color="auto" w:sz="4" w:space="0"/>
              <w:right w:val="single" w:color="auto" w:sz="4" w:space="0"/>
            </w:tcBorders>
            <w:vAlign w:val="center"/>
          </w:tcPr>
          <w:p w14:paraId="5D937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D093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=3.77万元</w:t>
            </w:r>
          </w:p>
        </w:tc>
        <w:tc>
          <w:tcPr>
            <w:tcW w:w="334" w:type="pct"/>
            <w:tcBorders>
              <w:top w:val="nil"/>
              <w:left w:val="nil"/>
              <w:bottom w:val="single" w:color="auto" w:sz="4" w:space="0"/>
              <w:right w:val="single" w:color="auto" w:sz="4" w:space="0"/>
            </w:tcBorders>
            <w:vAlign w:val="center"/>
          </w:tcPr>
          <w:p w14:paraId="655D8B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=3.77万元</w:t>
            </w:r>
          </w:p>
        </w:tc>
        <w:tc>
          <w:tcPr>
            <w:tcW w:w="328" w:type="pct"/>
            <w:tcBorders>
              <w:top w:val="nil"/>
              <w:left w:val="nil"/>
              <w:bottom w:val="single" w:color="auto" w:sz="4" w:space="0"/>
              <w:right w:val="single" w:color="auto" w:sz="4" w:space="0"/>
            </w:tcBorders>
            <w:vAlign w:val="center"/>
          </w:tcPr>
          <w:p w14:paraId="50C87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5CD8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290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9A335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541C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74B9E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B0E7E95">
            <w:pPr>
              <w:jc w:val="center"/>
              <w:rPr>
                <w:rFonts w:hint="eastAsia" w:ascii="宋体" w:hAnsi="宋体" w:eastAsia="宋体" w:cs="宋体"/>
                <w:color w:val="000000"/>
                <w:sz w:val="18"/>
                <w:szCs w:val="18"/>
              </w:rPr>
            </w:pPr>
          </w:p>
        </w:tc>
      </w:tr>
      <w:tr w14:paraId="4DD29E9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5168B5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CED10C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DAA74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F3689F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公务用车车辆燃油费（万元）</w:t>
            </w:r>
          </w:p>
        </w:tc>
        <w:tc>
          <w:tcPr>
            <w:tcW w:w="334" w:type="pct"/>
            <w:tcBorders>
              <w:top w:val="nil"/>
              <w:left w:val="nil"/>
              <w:bottom w:val="single" w:color="auto" w:sz="4" w:space="0"/>
              <w:right w:val="single" w:color="auto" w:sz="4" w:space="0"/>
            </w:tcBorders>
            <w:vAlign w:val="center"/>
          </w:tcPr>
          <w:p w14:paraId="4A573F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03237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=3.50万元</w:t>
            </w:r>
          </w:p>
        </w:tc>
        <w:tc>
          <w:tcPr>
            <w:tcW w:w="334" w:type="pct"/>
            <w:tcBorders>
              <w:top w:val="nil"/>
              <w:left w:val="nil"/>
              <w:bottom w:val="single" w:color="auto" w:sz="4" w:space="0"/>
              <w:right w:val="single" w:color="auto" w:sz="4" w:space="0"/>
            </w:tcBorders>
            <w:vAlign w:val="center"/>
          </w:tcPr>
          <w:p w14:paraId="7184FB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=3.5万元</w:t>
            </w:r>
          </w:p>
        </w:tc>
        <w:tc>
          <w:tcPr>
            <w:tcW w:w="328" w:type="pct"/>
            <w:tcBorders>
              <w:top w:val="nil"/>
              <w:left w:val="nil"/>
              <w:bottom w:val="single" w:color="auto" w:sz="4" w:space="0"/>
              <w:right w:val="single" w:color="auto" w:sz="4" w:space="0"/>
            </w:tcBorders>
            <w:vAlign w:val="center"/>
          </w:tcPr>
          <w:p w14:paraId="15BDE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2324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DD3B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D53B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077E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144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9DF126D">
            <w:pPr>
              <w:jc w:val="center"/>
              <w:rPr>
                <w:rFonts w:hint="eastAsia" w:ascii="宋体" w:hAnsi="宋体" w:eastAsia="宋体" w:cs="宋体"/>
                <w:color w:val="000000"/>
                <w:sz w:val="18"/>
                <w:szCs w:val="18"/>
              </w:rPr>
            </w:pPr>
          </w:p>
        </w:tc>
      </w:tr>
      <w:tr w14:paraId="469AD50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41BBDA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747C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6C23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130C950A">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64BE51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4404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4" w:type="pct"/>
            <w:tcBorders>
              <w:top w:val="nil"/>
              <w:left w:val="nil"/>
              <w:bottom w:val="single" w:color="auto" w:sz="4" w:space="0"/>
              <w:right w:val="single" w:color="auto" w:sz="4" w:space="0"/>
            </w:tcBorders>
            <w:vAlign w:val="center"/>
          </w:tcPr>
          <w:p w14:paraId="61CD8B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255AD8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9312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D74D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83C9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5CEE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D0D7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7A66C6F">
            <w:pPr>
              <w:jc w:val="center"/>
              <w:rPr>
                <w:rFonts w:hint="eastAsia" w:ascii="宋体" w:hAnsi="宋体" w:eastAsia="宋体" w:cs="宋体"/>
                <w:color w:val="000000"/>
                <w:sz w:val="18"/>
                <w:szCs w:val="18"/>
              </w:rPr>
            </w:pPr>
          </w:p>
        </w:tc>
      </w:tr>
      <w:tr w14:paraId="3BCC9FE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3CEAA32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0816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F7642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6E1740E">
            <w:pPr>
              <w:rPr>
                <w:rFonts w:hint="eastAsia" w:ascii="宋体" w:hAnsi="宋体" w:eastAsia="宋体" w:cs="宋体"/>
                <w:color w:val="000000"/>
                <w:sz w:val="18"/>
                <w:szCs w:val="18"/>
              </w:rPr>
            </w:pPr>
            <w:r>
              <w:rPr>
                <w:rFonts w:hint="eastAsia" w:ascii="宋体" w:hAnsi="宋体" w:eastAsia="宋体" w:cs="宋体"/>
                <w:color w:val="000000"/>
                <w:sz w:val="18"/>
                <w:szCs w:val="18"/>
              </w:rPr>
              <w:t>相关企业满意度（%）</w:t>
            </w:r>
          </w:p>
        </w:tc>
        <w:tc>
          <w:tcPr>
            <w:tcW w:w="334" w:type="pct"/>
            <w:tcBorders>
              <w:top w:val="nil"/>
              <w:left w:val="nil"/>
              <w:bottom w:val="single" w:color="auto" w:sz="4" w:space="0"/>
              <w:right w:val="single" w:color="auto" w:sz="4" w:space="0"/>
            </w:tcBorders>
            <w:vAlign w:val="center"/>
          </w:tcPr>
          <w:p w14:paraId="122DE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6981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&gt;=92%</w:t>
            </w:r>
          </w:p>
        </w:tc>
        <w:tc>
          <w:tcPr>
            <w:tcW w:w="334" w:type="pct"/>
            <w:tcBorders>
              <w:top w:val="nil"/>
              <w:left w:val="nil"/>
              <w:bottom w:val="single" w:color="auto" w:sz="4" w:space="0"/>
              <w:right w:val="single" w:color="auto" w:sz="4" w:space="0"/>
            </w:tcBorders>
            <w:vAlign w:val="center"/>
          </w:tcPr>
          <w:p w14:paraId="15094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8" w:type="pct"/>
            <w:tcBorders>
              <w:top w:val="nil"/>
              <w:left w:val="nil"/>
              <w:bottom w:val="single" w:color="auto" w:sz="4" w:space="0"/>
              <w:right w:val="single" w:color="auto" w:sz="4" w:space="0"/>
            </w:tcBorders>
            <w:vAlign w:val="center"/>
          </w:tcPr>
          <w:p w14:paraId="210B9F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5DFB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2118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6B7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44A03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6646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5C6EF07">
            <w:pPr>
              <w:jc w:val="center"/>
              <w:rPr>
                <w:rFonts w:hint="eastAsia" w:ascii="宋体" w:hAnsi="宋体" w:eastAsia="宋体" w:cs="宋体"/>
                <w:color w:val="000000"/>
                <w:sz w:val="18"/>
                <w:szCs w:val="18"/>
              </w:rPr>
            </w:pPr>
          </w:p>
        </w:tc>
      </w:tr>
      <w:tr w14:paraId="03C06A84">
        <w:tblPrEx>
          <w:tblCellMar>
            <w:top w:w="0" w:type="dxa"/>
            <w:left w:w="108" w:type="dxa"/>
            <w:bottom w:w="0" w:type="dxa"/>
            <w:right w:w="108" w:type="dxa"/>
          </w:tblCellMar>
        </w:tblPrEx>
        <w:trPr>
          <w:trHeight w:val="520" w:hRule="atLeast"/>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341F62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308D1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46CE592">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10B00C40">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CD2B09E">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49CE6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F65607C">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F332800">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8924F4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FF766DA">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13184CD">
            <w:pPr>
              <w:rPr>
                <w:rFonts w:hint="eastAsia" w:ascii="宋体" w:hAnsi="宋体" w:eastAsia="宋体" w:cs="宋体"/>
                <w:color w:val="000000"/>
                <w:sz w:val="18"/>
                <w:szCs w:val="18"/>
              </w:rPr>
            </w:pPr>
          </w:p>
        </w:tc>
      </w:tr>
    </w:tbl>
    <w:p w14:paraId="305034BE">
      <w:pPr>
        <w:rPr>
          <w:rFonts w:ascii="宋体" w:hAnsi="宋体" w:eastAsia="宋体" w:cs="宋体"/>
          <w:b/>
          <w:bCs/>
          <w:sz w:val="28"/>
          <w:szCs w:val="28"/>
          <w:lang w:eastAsia="zh-CN"/>
        </w:rPr>
      </w:pPr>
      <w:r>
        <w:rPr>
          <w:rFonts w:ascii="宋体" w:hAnsi="宋体" w:eastAsia="宋体" w:cs="宋体"/>
          <w:b/>
          <w:bCs/>
          <w:sz w:val="28"/>
          <w:szCs w:val="28"/>
          <w:lang w:eastAsia="zh-CN"/>
        </w:rPr>
        <w:br w:type="page"/>
      </w:r>
    </w:p>
    <w:p w14:paraId="07C30CB8">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0CB9C4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676816C7">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E361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7D74081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奇财农[2024]7号，2024年历史遗留砂坑生态修复治理项目前勘费用</w:t>
            </w:r>
          </w:p>
        </w:tc>
      </w:tr>
      <w:tr w14:paraId="4CCF2BBD">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1F3EAC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42792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3CE81F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01265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14EAE297">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2CDD7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DC24B20">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51C8F1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4E2C4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A9A58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E3DDD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6543F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91C11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2C1EC94">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2037FD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B4D26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9C2B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982" w:type="pct"/>
            <w:gridSpan w:val="3"/>
            <w:tcBorders>
              <w:top w:val="single" w:color="auto" w:sz="4" w:space="0"/>
              <w:left w:val="nil"/>
              <w:bottom w:val="single" w:color="auto" w:sz="4" w:space="0"/>
              <w:right w:val="single" w:color="auto" w:sz="4" w:space="0"/>
            </w:tcBorders>
            <w:vAlign w:val="center"/>
          </w:tcPr>
          <w:p w14:paraId="4E411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708" w:type="pct"/>
            <w:gridSpan w:val="2"/>
            <w:tcBorders>
              <w:top w:val="single" w:color="auto" w:sz="4" w:space="0"/>
              <w:left w:val="nil"/>
              <w:bottom w:val="single" w:color="auto" w:sz="4" w:space="0"/>
              <w:right w:val="single" w:color="auto" w:sz="4" w:space="0"/>
            </w:tcBorders>
            <w:vAlign w:val="center"/>
          </w:tcPr>
          <w:p w14:paraId="32AA71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671" w:type="pct"/>
            <w:gridSpan w:val="2"/>
            <w:tcBorders>
              <w:top w:val="nil"/>
              <w:left w:val="nil"/>
              <w:bottom w:val="single" w:color="auto" w:sz="4" w:space="0"/>
              <w:right w:val="single" w:color="auto" w:sz="4" w:space="0"/>
            </w:tcBorders>
            <w:vAlign w:val="center"/>
          </w:tcPr>
          <w:p w14:paraId="4FCEA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6EE8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7188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6DB60F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49D936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C2D96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BE59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982" w:type="pct"/>
            <w:gridSpan w:val="3"/>
            <w:tcBorders>
              <w:top w:val="single" w:color="auto" w:sz="4" w:space="0"/>
              <w:left w:val="nil"/>
              <w:bottom w:val="single" w:color="auto" w:sz="4" w:space="0"/>
              <w:right w:val="single" w:color="auto" w:sz="4" w:space="0"/>
            </w:tcBorders>
            <w:vAlign w:val="center"/>
          </w:tcPr>
          <w:p w14:paraId="5226B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708" w:type="pct"/>
            <w:gridSpan w:val="2"/>
            <w:tcBorders>
              <w:top w:val="single" w:color="auto" w:sz="4" w:space="0"/>
              <w:left w:val="nil"/>
              <w:bottom w:val="single" w:color="auto" w:sz="4" w:space="0"/>
              <w:right w:val="single" w:color="auto" w:sz="4" w:space="0"/>
            </w:tcBorders>
            <w:vAlign w:val="center"/>
          </w:tcPr>
          <w:p w14:paraId="31B76A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4.90</w:t>
            </w:r>
          </w:p>
        </w:tc>
        <w:tc>
          <w:tcPr>
            <w:tcW w:w="671" w:type="pct"/>
            <w:gridSpan w:val="2"/>
            <w:tcBorders>
              <w:top w:val="nil"/>
              <w:left w:val="nil"/>
              <w:bottom w:val="single" w:color="auto" w:sz="4" w:space="0"/>
              <w:right w:val="single" w:color="auto" w:sz="4" w:space="0"/>
            </w:tcBorders>
            <w:vAlign w:val="center"/>
          </w:tcPr>
          <w:p w14:paraId="648FD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C916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25EB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9CCE5E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924299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B5D61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867A4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6B2BC3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904F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DEA8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A166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8F13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7F6A74">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49D31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D8F3F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B833B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7EC049A">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723B057">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F30EF6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关于拨付2024年历史遗留砂坑生态修复治理项目前勘费用的通知（奇财农[2024]7号），由新疆维吾尔自治区地质矿产勘查开发局第十一地质大队承办设计，出具可行性研究报告1份，预算成本控制在4.9万元以内（包含4.9万元），资金使用合规，单位满意度达95%以上。</w:t>
            </w:r>
          </w:p>
        </w:tc>
        <w:tc>
          <w:tcPr>
            <w:tcW w:w="2559" w:type="pct"/>
            <w:gridSpan w:val="7"/>
            <w:tcBorders>
              <w:top w:val="single" w:color="auto" w:sz="4" w:space="0"/>
              <w:left w:val="nil"/>
              <w:bottom w:val="single" w:color="auto" w:sz="4" w:space="0"/>
              <w:right w:val="single" w:color="auto" w:sz="4" w:space="0"/>
            </w:tcBorders>
            <w:vAlign w:val="center"/>
          </w:tcPr>
          <w:p w14:paraId="035CBD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至2024年12月31日，新疆维吾尔自治区地质矿产勘查开发局第十一地质大队出具可行性研究报告1份，报告保障1个项目，出具报告信息获取率100%，出具报告及时率100%，报告成本预算控制率100%，通过该项目的实施，有效提供了修复治理项目的参照依据，促进了后续项目落地。</w:t>
            </w:r>
          </w:p>
        </w:tc>
      </w:tr>
      <w:tr w14:paraId="1BAE6CEB">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54794875">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DD99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F52E9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ADA47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308A8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E24C1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32B10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62653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768C4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94261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2A368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1E92F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9DCAD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207AE1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D93E36">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0D952E9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F2837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4D9D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4FFCAB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出具可行性研究报告（份）</w:t>
            </w:r>
          </w:p>
        </w:tc>
        <w:tc>
          <w:tcPr>
            <w:tcW w:w="334" w:type="pct"/>
            <w:tcBorders>
              <w:top w:val="nil"/>
              <w:left w:val="nil"/>
              <w:bottom w:val="single" w:color="auto" w:sz="4" w:space="0"/>
              <w:right w:val="single" w:color="auto" w:sz="4" w:space="0"/>
            </w:tcBorders>
            <w:vAlign w:val="center"/>
          </w:tcPr>
          <w:p w14:paraId="0410FB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A9B3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=1份</w:t>
            </w:r>
          </w:p>
        </w:tc>
        <w:tc>
          <w:tcPr>
            <w:tcW w:w="333" w:type="pct"/>
            <w:tcBorders>
              <w:top w:val="nil"/>
              <w:left w:val="nil"/>
              <w:bottom w:val="single" w:color="auto" w:sz="4" w:space="0"/>
              <w:right w:val="single" w:color="auto" w:sz="4" w:space="0"/>
            </w:tcBorders>
            <w:vAlign w:val="center"/>
          </w:tcPr>
          <w:p w14:paraId="4F0A73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=1份</w:t>
            </w:r>
          </w:p>
        </w:tc>
        <w:tc>
          <w:tcPr>
            <w:tcW w:w="328" w:type="pct"/>
            <w:tcBorders>
              <w:top w:val="nil"/>
              <w:left w:val="nil"/>
              <w:bottom w:val="single" w:color="auto" w:sz="4" w:space="0"/>
              <w:right w:val="single" w:color="auto" w:sz="4" w:space="0"/>
            </w:tcBorders>
            <w:vAlign w:val="center"/>
          </w:tcPr>
          <w:p w14:paraId="5EF7E7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770C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B8569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3104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B857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9A8B0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78DAAAA">
            <w:pPr>
              <w:jc w:val="center"/>
              <w:rPr>
                <w:rFonts w:hint="eastAsia" w:ascii="宋体" w:hAnsi="宋体" w:eastAsia="宋体" w:cs="宋体"/>
                <w:color w:val="000000"/>
                <w:sz w:val="18"/>
                <w:szCs w:val="18"/>
              </w:rPr>
            </w:pPr>
          </w:p>
        </w:tc>
      </w:tr>
      <w:tr w14:paraId="40222BB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9345A3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876879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63D6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CB3C9C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报告保障项目数量（个）</w:t>
            </w:r>
          </w:p>
        </w:tc>
        <w:tc>
          <w:tcPr>
            <w:tcW w:w="334" w:type="pct"/>
            <w:tcBorders>
              <w:top w:val="nil"/>
              <w:left w:val="nil"/>
              <w:bottom w:val="single" w:color="auto" w:sz="4" w:space="0"/>
              <w:right w:val="single" w:color="auto" w:sz="4" w:space="0"/>
            </w:tcBorders>
            <w:vAlign w:val="center"/>
          </w:tcPr>
          <w:p w14:paraId="3851CE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5648A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6D2E0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19B9A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1FB8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99D5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579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BDDC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6E574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BAE7DF1">
            <w:pPr>
              <w:jc w:val="center"/>
              <w:rPr>
                <w:rFonts w:hint="eastAsia" w:ascii="宋体" w:hAnsi="宋体" w:eastAsia="宋体" w:cs="宋体"/>
                <w:color w:val="000000"/>
                <w:sz w:val="18"/>
                <w:szCs w:val="18"/>
              </w:rPr>
            </w:pPr>
          </w:p>
        </w:tc>
      </w:tr>
      <w:tr w14:paraId="2A54EA5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9F3E8E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D3B464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602F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C038FA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出具报告信息获取率（%）</w:t>
            </w:r>
          </w:p>
        </w:tc>
        <w:tc>
          <w:tcPr>
            <w:tcW w:w="334" w:type="pct"/>
            <w:tcBorders>
              <w:top w:val="nil"/>
              <w:left w:val="nil"/>
              <w:bottom w:val="single" w:color="auto" w:sz="4" w:space="0"/>
              <w:right w:val="single" w:color="auto" w:sz="4" w:space="0"/>
            </w:tcBorders>
            <w:vAlign w:val="center"/>
          </w:tcPr>
          <w:p w14:paraId="6FABB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A10A5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BB6C3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D733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01C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3B9AE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563A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B1C6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E174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F35B45B">
            <w:pPr>
              <w:jc w:val="center"/>
              <w:rPr>
                <w:rFonts w:hint="eastAsia" w:ascii="宋体" w:hAnsi="宋体" w:eastAsia="宋体" w:cs="宋体"/>
                <w:color w:val="000000"/>
                <w:sz w:val="18"/>
                <w:szCs w:val="18"/>
              </w:rPr>
            </w:pPr>
          </w:p>
        </w:tc>
      </w:tr>
      <w:tr w14:paraId="73541BD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6AED8EF">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CC50DA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EAAC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90674F7">
            <w:pPr>
              <w:rPr>
                <w:rFonts w:hint="eastAsia" w:ascii="宋体" w:hAnsi="宋体" w:eastAsia="宋体" w:cs="宋体"/>
                <w:color w:val="000000"/>
                <w:sz w:val="18"/>
                <w:szCs w:val="18"/>
              </w:rPr>
            </w:pPr>
            <w:r>
              <w:rPr>
                <w:rFonts w:hint="eastAsia" w:ascii="宋体" w:hAnsi="宋体" w:eastAsia="宋体" w:cs="宋体"/>
                <w:color w:val="000000"/>
                <w:sz w:val="18"/>
                <w:szCs w:val="18"/>
              </w:rPr>
              <w:t>出具报告及时率（%）</w:t>
            </w:r>
          </w:p>
        </w:tc>
        <w:tc>
          <w:tcPr>
            <w:tcW w:w="334" w:type="pct"/>
            <w:tcBorders>
              <w:top w:val="nil"/>
              <w:left w:val="nil"/>
              <w:bottom w:val="single" w:color="auto" w:sz="4" w:space="0"/>
              <w:right w:val="single" w:color="auto" w:sz="4" w:space="0"/>
            </w:tcBorders>
            <w:vAlign w:val="center"/>
          </w:tcPr>
          <w:p w14:paraId="47C200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88C72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F04B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2DD5F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1AF1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5507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BF42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1711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50D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9B36C71">
            <w:pPr>
              <w:jc w:val="center"/>
              <w:rPr>
                <w:rFonts w:hint="eastAsia" w:ascii="宋体" w:hAnsi="宋体" w:eastAsia="宋体" w:cs="宋体"/>
                <w:color w:val="000000"/>
                <w:sz w:val="18"/>
                <w:szCs w:val="18"/>
              </w:rPr>
            </w:pPr>
          </w:p>
        </w:tc>
      </w:tr>
      <w:tr w14:paraId="28F51DE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CBC08F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4B22A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2109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23B11B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报告成本预算控制率（%）</w:t>
            </w:r>
          </w:p>
        </w:tc>
        <w:tc>
          <w:tcPr>
            <w:tcW w:w="334" w:type="pct"/>
            <w:tcBorders>
              <w:top w:val="nil"/>
              <w:left w:val="nil"/>
              <w:bottom w:val="single" w:color="auto" w:sz="4" w:space="0"/>
              <w:right w:val="single" w:color="auto" w:sz="4" w:space="0"/>
            </w:tcBorders>
            <w:vAlign w:val="center"/>
          </w:tcPr>
          <w:p w14:paraId="0F237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E95D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62F7D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6DB9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13D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0C67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4979F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5F5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3909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C22AA8A">
            <w:pPr>
              <w:jc w:val="center"/>
              <w:rPr>
                <w:rFonts w:hint="eastAsia" w:ascii="宋体" w:hAnsi="宋体" w:eastAsia="宋体" w:cs="宋体"/>
                <w:color w:val="000000"/>
                <w:sz w:val="18"/>
                <w:szCs w:val="18"/>
              </w:rPr>
            </w:pPr>
          </w:p>
        </w:tc>
      </w:tr>
      <w:tr w14:paraId="54291FE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E89732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A143E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5B4F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1B8A350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提供修复治理项目参照依据</w:t>
            </w:r>
          </w:p>
        </w:tc>
        <w:tc>
          <w:tcPr>
            <w:tcW w:w="334" w:type="pct"/>
            <w:tcBorders>
              <w:top w:val="nil"/>
              <w:left w:val="nil"/>
              <w:bottom w:val="single" w:color="auto" w:sz="4" w:space="0"/>
              <w:right w:val="single" w:color="auto" w:sz="4" w:space="0"/>
            </w:tcBorders>
            <w:vAlign w:val="center"/>
          </w:tcPr>
          <w:p w14:paraId="20209F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E953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有效提供</w:t>
            </w:r>
          </w:p>
        </w:tc>
        <w:tc>
          <w:tcPr>
            <w:tcW w:w="333" w:type="pct"/>
            <w:tcBorders>
              <w:top w:val="nil"/>
              <w:left w:val="nil"/>
              <w:bottom w:val="single" w:color="auto" w:sz="4" w:space="0"/>
              <w:right w:val="single" w:color="auto" w:sz="4" w:space="0"/>
            </w:tcBorders>
            <w:vAlign w:val="center"/>
          </w:tcPr>
          <w:p w14:paraId="5D61E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有效提供</w:t>
            </w:r>
          </w:p>
        </w:tc>
        <w:tc>
          <w:tcPr>
            <w:tcW w:w="328" w:type="pct"/>
            <w:tcBorders>
              <w:top w:val="nil"/>
              <w:left w:val="nil"/>
              <w:bottom w:val="single" w:color="auto" w:sz="4" w:space="0"/>
              <w:right w:val="single" w:color="auto" w:sz="4" w:space="0"/>
            </w:tcBorders>
            <w:vAlign w:val="center"/>
          </w:tcPr>
          <w:p w14:paraId="0FE990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E68A3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F5D8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04A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4CC0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149C9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6C7A59C">
            <w:pPr>
              <w:jc w:val="center"/>
              <w:rPr>
                <w:rFonts w:hint="eastAsia" w:ascii="宋体" w:hAnsi="宋体" w:eastAsia="宋体" w:cs="宋体"/>
                <w:color w:val="000000"/>
                <w:sz w:val="18"/>
                <w:szCs w:val="18"/>
              </w:rPr>
            </w:pPr>
          </w:p>
        </w:tc>
      </w:tr>
      <w:tr w14:paraId="3AE3BC7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48B9864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06250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6BDD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CF02374">
            <w:pPr>
              <w:rPr>
                <w:rFonts w:hint="eastAsia" w:ascii="宋体" w:hAnsi="宋体" w:eastAsia="宋体" w:cs="宋体"/>
                <w:color w:val="000000"/>
                <w:sz w:val="18"/>
                <w:szCs w:val="18"/>
              </w:rPr>
            </w:pPr>
            <w:r>
              <w:rPr>
                <w:rFonts w:hint="eastAsia" w:ascii="宋体" w:hAnsi="宋体" w:eastAsia="宋体" w:cs="宋体"/>
                <w:color w:val="000000"/>
                <w:sz w:val="18"/>
                <w:szCs w:val="18"/>
              </w:rPr>
              <w:t>单位满意度（%）</w:t>
            </w:r>
          </w:p>
        </w:tc>
        <w:tc>
          <w:tcPr>
            <w:tcW w:w="334" w:type="pct"/>
            <w:tcBorders>
              <w:top w:val="nil"/>
              <w:left w:val="nil"/>
              <w:bottom w:val="single" w:color="auto" w:sz="4" w:space="0"/>
              <w:right w:val="single" w:color="auto" w:sz="4" w:space="0"/>
            </w:tcBorders>
            <w:vAlign w:val="center"/>
          </w:tcPr>
          <w:p w14:paraId="038CEE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0B16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3FC07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55F18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DDA8D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4849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DDFA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88DB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0A41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22A469C">
            <w:pPr>
              <w:jc w:val="center"/>
              <w:rPr>
                <w:rFonts w:hint="eastAsia" w:ascii="宋体" w:hAnsi="宋体" w:eastAsia="宋体" w:cs="宋体"/>
                <w:color w:val="000000"/>
                <w:sz w:val="18"/>
                <w:szCs w:val="18"/>
              </w:rPr>
            </w:pPr>
          </w:p>
        </w:tc>
      </w:tr>
      <w:tr w14:paraId="18089A1F">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4DC118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3E399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D8A3418">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9FD5ECD">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82AAF66">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389796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A671AB3">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0780D08">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898DB1A">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B1A3D34">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8AAB5AE">
            <w:pPr>
              <w:rPr>
                <w:rFonts w:hint="eastAsia" w:ascii="宋体" w:hAnsi="宋体" w:eastAsia="宋体" w:cs="宋体"/>
                <w:color w:val="000000"/>
                <w:sz w:val="18"/>
                <w:szCs w:val="18"/>
              </w:rPr>
            </w:pPr>
          </w:p>
        </w:tc>
      </w:tr>
    </w:tbl>
    <w:p w14:paraId="5E9010D4">
      <w:pPr>
        <w:jc w:val="center"/>
        <w:rPr>
          <w:rFonts w:ascii="宋体" w:hAnsi="宋体" w:eastAsia="宋体" w:cs="宋体"/>
          <w:b/>
          <w:bCs/>
          <w:sz w:val="28"/>
          <w:szCs w:val="28"/>
          <w:lang w:eastAsia="zh-CN"/>
        </w:rPr>
      </w:pPr>
    </w:p>
    <w:p w14:paraId="1D0D5CCC">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4ADC72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705"/>
        <w:gridCol w:w="713"/>
        <w:gridCol w:w="706"/>
        <w:gridCol w:w="1010"/>
        <w:gridCol w:w="718"/>
        <w:gridCol w:w="676"/>
        <w:gridCol w:w="716"/>
        <w:gridCol w:w="706"/>
        <w:gridCol w:w="710"/>
        <w:gridCol w:w="735"/>
        <w:gridCol w:w="708"/>
        <w:gridCol w:w="704"/>
        <w:gridCol w:w="706"/>
        <w:gridCol w:w="1114"/>
      </w:tblGrid>
      <w:tr w14:paraId="5CCB1DED">
        <w:tblPrEx>
          <w:tblCellMar>
            <w:top w:w="0" w:type="dxa"/>
            <w:left w:w="108" w:type="dxa"/>
            <w:bottom w:w="0" w:type="dxa"/>
            <w:right w:w="108" w:type="dxa"/>
          </w:tblCellMar>
        </w:tblPrEx>
        <w:trPr>
          <w:trHeight w:val="614"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39BE73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5A71DA2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奇财农[2024]8号，西北湾镇西北湾村征地补偿费</w:t>
            </w:r>
          </w:p>
        </w:tc>
      </w:tr>
      <w:tr w14:paraId="39535D51">
        <w:tblPrEx>
          <w:tblCellMar>
            <w:top w:w="0" w:type="dxa"/>
            <w:left w:w="108" w:type="dxa"/>
            <w:bottom w:w="0" w:type="dxa"/>
            <w:right w:w="108" w:type="dxa"/>
          </w:tblCellMar>
        </w:tblPrEx>
        <w:trPr>
          <w:trHeight w:val="380"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7747EE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1D92C9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666" w:type="pct"/>
            <w:gridSpan w:val="2"/>
            <w:tcBorders>
              <w:top w:val="single" w:color="auto" w:sz="4" w:space="0"/>
              <w:left w:val="nil"/>
              <w:bottom w:val="single" w:color="auto" w:sz="4" w:space="0"/>
              <w:right w:val="single" w:color="auto" w:sz="4" w:space="0"/>
            </w:tcBorders>
            <w:vAlign w:val="center"/>
          </w:tcPr>
          <w:p w14:paraId="23596C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38A552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013798A7">
        <w:tblPrEx>
          <w:tblCellMar>
            <w:top w:w="0" w:type="dxa"/>
            <w:left w:w="108" w:type="dxa"/>
            <w:bottom w:w="0" w:type="dxa"/>
            <w:right w:w="108" w:type="dxa"/>
          </w:tblCellMar>
        </w:tblPrEx>
        <w:trPr>
          <w:trHeight w:val="38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4E2FC4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198853DF">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1E064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7100C5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45A3D1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389F63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55B860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1D633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EA468B6">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4CE7F30B">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963C5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039EF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1,058.66</w:t>
            </w:r>
          </w:p>
        </w:tc>
        <w:tc>
          <w:tcPr>
            <w:tcW w:w="992" w:type="pct"/>
            <w:gridSpan w:val="3"/>
            <w:tcBorders>
              <w:top w:val="single" w:color="auto" w:sz="4" w:space="0"/>
              <w:left w:val="nil"/>
              <w:bottom w:val="single" w:color="auto" w:sz="4" w:space="0"/>
              <w:right w:val="single" w:color="auto" w:sz="4" w:space="0"/>
            </w:tcBorders>
            <w:vAlign w:val="center"/>
          </w:tcPr>
          <w:p w14:paraId="05AC6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2,272.02</w:t>
            </w:r>
          </w:p>
        </w:tc>
        <w:tc>
          <w:tcPr>
            <w:tcW w:w="666" w:type="pct"/>
            <w:gridSpan w:val="2"/>
            <w:tcBorders>
              <w:top w:val="single" w:color="auto" w:sz="4" w:space="0"/>
              <w:left w:val="nil"/>
              <w:bottom w:val="single" w:color="auto" w:sz="4" w:space="0"/>
              <w:right w:val="single" w:color="auto" w:sz="4" w:space="0"/>
            </w:tcBorders>
            <w:vAlign w:val="center"/>
          </w:tcPr>
          <w:p w14:paraId="42E303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1,862.38</w:t>
            </w:r>
          </w:p>
        </w:tc>
        <w:tc>
          <w:tcPr>
            <w:tcW w:w="678" w:type="pct"/>
            <w:gridSpan w:val="2"/>
            <w:tcBorders>
              <w:top w:val="nil"/>
              <w:left w:val="nil"/>
              <w:bottom w:val="single" w:color="auto" w:sz="4" w:space="0"/>
              <w:right w:val="single" w:color="auto" w:sz="4" w:space="0"/>
            </w:tcBorders>
            <w:vAlign w:val="center"/>
          </w:tcPr>
          <w:p w14:paraId="1A0432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2E231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81.97%</w:t>
            </w:r>
          </w:p>
        </w:tc>
        <w:tc>
          <w:tcPr>
            <w:tcW w:w="527" w:type="pct"/>
            <w:tcBorders>
              <w:top w:val="nil"/>
              <w:left w:val="nil"/>
              <w:bottom w:val="single" w:color="auto" w:sz="4" w:space="0"/>
              <w:right w:val="single" w:color="auto" w:sz="4" w:space="0"/>
            </w:tcBorders>
            <w:vAlign w:val="center"/>
          </w:tcPr>
          <w:p w14:paraId="134C3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5.49</w:t>
            </w:r>
          </w:p>
        </w:tc>
      </w:tr>
      <w:tr w14:paraId="6929232A">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3451F7FE">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47A398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6A0DF1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1,058.66</w:t>
            </w:r>
          </w:p>
        </w:tc>
        <w:tc>
          <w:tcPr>
            <w:tcW w:w="992" w:type="pct"/>
            <w:gridSpan w:val="3"/>
            <w:tcBorders>
              <w:top w:val="single" w:color="auto" w:sz="4" w:space="0"/>
              <w:left w:val="nil"/>
              <w:bottom w:val="single" w:color="auto" w:sz="4" w:space="0"/>
              <w:right w:val="single" w:color="auto" w:sz="4" w:space="0"/>
            </w:tcBorders>
            <w:vAlign w:val="center"/>
          </w:tcPr>
          <w:p w14:paraId="33FEA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2,272.02</w:t>
            </w:r>
          </w:p>
        </w:tc>
        <w:tc>
          <w:tcPr>
            <w:tcW w:w="666" w:type="pct"/>
            <w:gridSpan w:val="2"/>
            <w:tcBorders>
              <w:top w:val="single" w:color="auto" w:sz="4" w:space="0"/>
              <w:left w:val="nil"/>
              <w:bottom w:val="single" w:color="auto" w:sz="4" w:space="0"/>
              <w:right w:val="single" w:color="auto" w:sz="4" w:space="0"/>
            </w:tcBorders>
            <w:vAlign w:val="center"/>
          </w:tcPr>
          <w:p w14:paraId="4A669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1,862.38</w:t>
            </w:r>
          </w:p>
        </w:tc>
        <w:tc>
          <w:tcPr>
            <w:tcW w:w="678" w:type="pct"/>
            <w:gridSpan w:val="2"/>
            <w:tcBorders>
              <w:top w:val="nil"/>
              <w:left w:val="nil"/>
              <w:bottom w:val="single" w:color="auto" w:sz="4" w:space="0"/>
              <w:right w:val="single" w:color="auto" w:sz="4" w:space="0"/>
            </w:tcBorders>
            <w:vAlign w:val="center"/>
          </w:tcPr>
          <w:p w14:paraId="5D2A6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3E51A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CEC1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F0B0E62">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6A36E2D7">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6A931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33CE0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02A24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25D7C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61B999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284B7B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72D13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509DA4">
        <w:tblPrEx>
          <w:tblCellMar>
            <w:top w:w="0" w:type="dxa"/>
            <w:left w:w="108" w:type="dxa"/>
            <w:bottom w:w="0" w:type="dxa"/>
            <w:right w:w="108" w:type="dxa"/>
          </w:tblCellMar>
        </w:tblPrEx>
        <w:trPr>
          <w:trHeight w:val="36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4633B5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48D6DC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75E640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23EC59B">
        <w:tblPrEx>
          <w:tblCellMar>
            <w:top w:w="0" w:type="dxa"/>
            <w:left w:w="108" w:type="dxa"/>
            <w:bottom w:w="0" w:type="dxa"/>
            <w:right w:w="108" w:type="dxa"/>
          </w:tblCellMar>
        </w:tblPrEx>
        <w:trPr>
          <w:trHeight w:val="82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38BC53A7">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2BE1F48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关于重新公布自治区征收农用地区片综合地价标准的通知》（新自然资规〔2024〕1号）、《关于公布奇台县征收农用地区片综合地价标准的通知》（奇政发〔2020〕98号），通过拨付征地补偿费、土地出让金等，切实解决了人民群众所需所盼，确保相关项目工作顺利实施。</w:t>
            </w:r>
          </w:p>
        </w:tc>
        <w:tc>
          <w:tcPr>
            <w:tcW w:w="2534" w:type="pct"/>
            <w:gridSpan w:val="7"/>
            <w:tcBorders>
              <w:top w:val="single" w:color="auto" w:sz="4" w:space="0"/>
              <w:left w:val="nil"/>
              <w:bottom w:val="single" w:color="auto" w:sz="4" w:space="0"/>
              <w:right w:val="single" w:color="auto" w:sz="4" w:space="0"/>
            </w:tcBorders>
            <w:vAlign w:val="center"/>
          </w:tcPr>
          <w:p w14:paraId="166F989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截至2024年12月31日，该项目涉及的5笔补偿费均已按期准确支付成功，共计支付1862.38万元，通过该项目的实施，有效保障了单位的良好信用，提升了支付对象的满意度。</w:t>
            </w:r>
          </w:p>
        </w:tc>
      </w:tr>
      <w:tr w14:paraId="2340D8B0">
        <w:tblPrEx>
          <w:tblCellMar>
            <w:top w:w="0" w:type="dxa"/>
            <w:left w:w="108" w:type="dxa"/>
            <w:bottom w:w="0" w:type="dxa"/>
            <w:right w:w="108" w:type="dxa"/>
          </w:tblCellMar>
        </w:tblPrEx>
        <w:trPr>
          <w:trHeight w:val="820" w:hRule="atLeast"/>
          <w:jc w:val="center"/>
        </w:trPr>
        <w:tc>
          <w:tcPr>
            <w:tcW w:w="332" w:type="pct"/>
            <w:tcBorders>
              <w:top w:val="nil"/>
              <w:left w:val="single" w:color="auto" w:sz="4" w:space="0"/>
              <w:bottom w:val="single" w:color="auto" w:sz="4" w:space="0"/>
              <w:right w:val="single" w:color="auto" w:sz="4" w:space="0"/>
            </w:tcBorders>
            <w:vAlign w:val="center"/>
          </w:tcPr>
          <w:p w14:paraId="4D2FADD7">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392CE5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0A6C41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6077C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184E03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3EA12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45D0FA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7D3038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3DF422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59CC06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032BB1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3E33BC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61DEDB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3D87F14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640F7FA">
        <w:tblPrEx>
          <w:tblCellMar>
            <w:top w:w="0" w:type="dxa"/>
            <w:left w:w="108" w:type="dxa"/>
            <w:bottom w:w="0" w:type="dxa"/>
            <w:right w:w="108" w:type="dxa"/>
          </w:tblCellMar>
        </w:tblPrEx>
        <w:trPr>
          <w:trHeight w:val="800" w:hRule="atLeast"/>
          <w:jc w:val="center"/>
        </w:trPr>
        <w:tc>
          <w:tcPr>
            <w:tcW w:w="332" w:type="pct"/>
            <w:vMerge w:val="restart"/>
            <w:tcBorders>
              <w:top w:val="nil"/>
              <w:left w:val="single" w:color="auto" w:sz="4" w:space="0"/>
              <w:right w:val="single" w:color="auto" w:sz="4" w:space="0"/>
            </w:tcBorders>
            <w:vAlign w:val="center"/>
          </w:tcPr>
          <w:p w14:paraId="09C596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7C39F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58078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34EDB3D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征地补偿费支付笔数（笔）</w:t>
            </w:r>
          </w:p>
        </w:tc>
        <w:tc>
          <w:tcPr>
            <w:tcW w:w="338" w:type="pct"/>
            <w:tcBorders>
              <w:top w:val="nil"/>
              <w:left w:val="nil"/>
              <w:bottom w:val="single" w:color="auto" w:sz="4" w:space="0"/>
              <w:right w:val="single" w:color="auto" w:sz="4" w:space="0"/>
            </w:tcBorders>
            <w:vAlign w:val="center"/>
          </w:tcPr>
          <w:p w14:paraId="1E193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956A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=5笔</w:t>
            </w:r>
          </w:p>
        </w:tc>
        <w:tc>
          <w:tcPr>
            <w:tcW w:w="337" w:type="pct"/>
            <w:tcBorders>
              <w:top w:val="nil"/>
              <w:left w:val="nil"/>
              <w:bottom w:val="single" w:color="auto" w:sz="4" w:space="0"/>
              <w:right w:val="single" w:color="auto" w:sz="4" w:space="0"/>
            </w:tcBorders>
            <w:vAlign w:val="center"/>
          </w:tcPr>
          <w:p w14:paraId="1D753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=5笔</w:t>
            </w:r>
          </w:p>
        </w:tc>
        <w:tc>
          <w:tcPr>
            <w:tcW w:w="332" w:type="pct"/>
            <w:tcBorders>
              <w:top w:val="nil"/>
              <w:left w:val="nil"/>
              <w:bottom w:val="single" w:color="auto" w:sz="4" w:space="0"/>
              <w:right w:val="single" w:color="auto" w:sz="4" w:space="0"/>
            </w:tcBorders>
            <w:vAlign w:val="center"/>
          </w:tcPr>
          <w:p w14:paraId="35CA5B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F14B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9EF0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2BEA3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683DC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BBAC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83A0E3D">
            <w:pPr>
              <w:jc w:val="center"/>
              <w:rPr>
                <w:rFonts w:hint="eastAsia" w:ascii="宋体" w:hAnsi="宋体" w:eastAsia="宋体" w:cs="宋体"/>
                <w:color w:val="000000"/>
                <w:sz w:val="18"/>
                <w:szCs w:val="18"/>
              </w:rPr>
            </w:pPr>
          </w:p>
        </w:tc>
      </w:tr>
      <w:tr w14:paraId="72383E0B">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576060B">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6BD28DC3">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79573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0B86FED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征地补偿费支付完成率（%）</w:t>
            </w:r>
          </w:p>
        </w:tc>
        <w:tc>
          <w:tcPr>
            <w:tcW w:w="338" w:type="pct"/>
            <w:tcBorders>
              <w:top w:val="nil"/>
              <w:left w:val="nil"/>
              <w:bottom w:val="single" w:color="auto" w:sz="4" w:space="0"/>
              <w:right w:val="single" w:color="auto" w:sz="4" w:space="0"/>
            </w:tcBorders>
            <w:vAlign w:val="center"/>
          </w:tcPr>
          <w:p w14:paraId="54EB7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8AA1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6024D0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F624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974E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475F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C9184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58F6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9EB24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CED2F31">
            <w:pPr>
              <w:jc w:val="center"/>
              <w:rPr>
                <w:rFonts w:hint="eastAsia" w:ascii="宋体" w:hAnsi="宋体" w:eastAsia="宋体" w:cs="宋体"/>
                <w:color w:val="000000"/>
                <w:sz w:val="18"/>
                <w:szCs w:val="18"/>
              </w:rPr>
            </w:pPr>
          </w:p>
        </w:tc>
      </w:tr>
      <w:tr w14:paraId="61E7D139">
        <w:trPr>
          <w:trHeight w:val="800" w:hRule="atLeast"/>
          <w:jc w:val="center"/>
        </w:trPr>
        <w:tc>
          <w:tcPr>
            <w:tcW w:w="332" w:type="pct"/>
            <w:vMerge w:val="continue"/>
            <w:tcBorders>
              <w:left w:val="single" w:color="auto" w:sz="4" w:space="0"/>
              <w:right w:val="single" w:color="auto" w:sz="4" w:space="0"/>
            </w:tcBorders>
            <w:vAlign w:val="center"/>
          </w:tcPr>
          <w:p w14:paraId="72B124A1">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10D71F6A">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7DCE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FA7FFC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征地补偿费还款准确率（%）</w:t>
            </w:r>
          </w:p>
        </w:tc>
        <w:tc>
          <w:tcPr>
            <w:tcW w:w="338" w:type="pct"/>
            <w:tcBorders>
              <w:top w:val="nil"/>
              <w:left w:val="nil"/>
              <w:bottom w:val="single" w:color="auto" w:sz="4" w:space="0"/>
              <w:right w:val="single" w:color="auto" w:sz="4" w:space="0"/>
            </w:tcBorders>
            <w:vAlign w:val="center"/>
          </w:tcPr>
          <w:p w14:paraId="4B0BF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5B6E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75C65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4FD1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C0B0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E67B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CEA09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98199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BED5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AF8B294">
            <w:pPr>
              <w:jc w:val="center"/>
              <w:rPr>
                <w:rFonts w:hint="eastAsia" w:ascii="宋体" w:hAnsi="宋体" w:eastAsia="宋体" w:cs="宋体"/>
                <w:color w:val="000000"/>
                <w:sz w:val="18"/>
                <w:szCs w:val="18"/>
              </w:rPr>
            </w:pPr>
          </w:p>
        </w:tc>
      </w:tr>
      <w:tr w14:paraId="5B7C6753">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552627C">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1498DC4E">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7486B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4041012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征地补偿费按期支付率（%）</w:t>
            </w:r>
          </w:p>
        </w:tc>
        <w:tc>
          <w:tcPr>
            <w:tcW w:w="338" w:type="pct"/>
            <w:tcBorders>
              <w:top w:val="nil"/>
              <w:left w:val="nil"/>
              <w:bottom w:val="single" w:color="auto" w:sz="4" w:space="0"/>
              <w:right w:val="single" w:color="auto" w:sz="4" w:space="0"/>
            </w:tcBorders>
            <w:vAlign w:val="center"/>
          </w:tcPr>
          <w:p w14:paraId="18D65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1E354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92C61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6B1B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B4FE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4103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C954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57535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C8FE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7DEDACB">
            <w:pPr>
              <w:jc w:val="center"/>
              <w:rPr>
                <w:rFonts w:hint="eastAsia" w:ascii="宋体" w:hAnsi="宋体" w:eastAsia="宋体" w:cs="宋体"/>
                <w:color w:val="000000"/>
                <w:sz w:val="18"/>
                <w:szCs w:val="18"/>
              </w:rPr>
            </w:pPr>
          </w:p>
        </w:tc>
      </w:tr>
      <w:tr w14:paraId="6119981C">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4E94C33A">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C126D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29FAC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1478BB17">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76AE1C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107BB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74C3B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29FB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58775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08C306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3CE78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8BE7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CF83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A54C5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由于一笔指标重复下了两次，导致支付率比预算率低。</w:t>
            </w:r>
          </w:p>
        </w:tc>
      </w:tr>
      <w:tr w14:paraId="0FCB52E9">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2DED5013">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0425C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37DAC2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5E69584D">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8" w:type="pct"/>
            <w:tcBorders>
              <w:top w:val="nil"/>
              <w:left w:val="nil"/>
              <w:bottom w:val="single" w:color="auto" w:sz="4" w:space="0"/>
              <w:right w:val="single" w:color="auto" w:sz="4" w:space="0"/>
            </w:tcBorders>
            <w:vAlign w:val="center"/>
          </w:tcPr>
          <w:p w14:paraId="0A6D7C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255033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7" w:type="pct"/>
            <w:tcBorders>
              <w:top w:val="nil"/>
              <w:left w:val="nil"/>
              <w:bottom w:val="single" w:color="auto" w:sz="4" w:space="0"/>
              <w:right w:val="single" w:color="auto" w:sz="4" w:space="0"/>
            </w:tcBorders>
            <w:vAlign w:val="center"/>
          </w:tcPr>
          <w:p w14:paraId="10DCF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2" w:type="pct"/>
            <w:tcBorders>
              <w:top w:val="nil"/>
              <w:left w:val="nil"/>
              <w:bottom w:val="single" w:color="auto" w:sz="4" w:space="0"/>
              <w:right w:val="single" w:color="auto" w:sz="4" w:space="0"/>
            </w:tcBorders>
            <w:vAlign w:val="center"/>
          </w:tcPr>
          <w:p w14:paraId="07BF6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61C97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21F6EA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8960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E0014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742D4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82BB4FF">
            <w:pPr>
              <w:jc w:val="center"/>
              <w:rPr>
                <w:rFonts w:hint="eastAsia" w:ascii="宋体" w:hAnsi="宋体" w:eastAsia="宋体" w:cs="宋体"/>
                <w:color w:val="000000"/>
                <w:sz w:val="18"/>
                <w:szCs w:val="18"/>
              </w:rPr>
            </w:pPr>
          </w:p>
        </w:tc>
      </w:tr>
      <w:tr w14:paraId="7B6B49EE">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bottom w:val="single" w:color="auto" w:sz="4" w:space="0"/>
              <w:right w:val="single" w:color="auto" w:sz="4" w:space="0"/>
            </w:tcBorders>
            <w:vAlign w:val="center"/>
          </w:tcPr>
          <w:p w14:paraId="063877EF">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F5DC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0B277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041296FE">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8" w:type="pct"/>
            <w:tcBorders>
              <w:top w:val="nil"/>
              <w:left w:val="nil"/>
              <w:bottom w:val="single" w:color="auto" w:sz="4" w:space="0"/>
              <w:right w:val="single" w:color="auto" w:sz="4" w:space="0"/>
            </w:tcBorders>
            <w:vAlign w:val="center"/>
          </w:tcPr>
          <w:p w14:paraId="58374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C6642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5A23C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291DC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7B6CF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B3A1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F55C8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909E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6B48B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F9893CF">
            <w:pPr>
              <w:jc w:val="center"/>
              <w:rPr>
                <w:rFonts w:hint="eastAsia" w:ascii="宋体" w:hAnsi="宋体" w:eastAsia="宋体" w:cs="宋体"/>
                <w:color w:val="000000"/>
                <w:sz w:val="18"/>
                <w:szCs w:val="18"/>
              </w:rPr>
            </w:pPr>
          </w:p>
        </w:tc>
      </w:tr>
      <w:tr w14:paraId="27611ADD">
        <w:tblPrEx>
          <w:tblCellMar>
            <w:top w:w="0" w:type="dxa"/>
            <w:left w:w="108" w:type="dxa"/>
            <w:bottom w:w="0" w:type="dxa"/>
            <w:right w:w="108" w:type="dxa"/>
          </w:tblCellMar>
        </w:tblPrEx>
        <w:trPr>
          <w:trHeight w:val="520" w:hRule="atLeast"/>
          <w:jc w:val="center"/>
        </w:trPr>
        <w:tc>
          <w:tcPr>
            <w:tcW w:w="1474" w:type="pct"/>
            <w:gridSpan w:val="4"/>
            <w:tcBorders>
              <w:top w:val="single" w:color="auto" w:sz="4" w:space="0"/>
              <w:left w:val="single" w:color="auto" w:sz="4" w:space="0"/>
              <w:bottom w:val="single" w:color="auto" w:sz="4" w:space="0"/>
              <w:right w:val="single" w:color="auto" w:sz="4" w:space="0"/>
            </w:tcBorders>
            <w:vAlign w:val="center"/>
          </w:tcPr>
          <w:p w14:paraId="5E0038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49876F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6BC17414">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778F15D4">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47455BE1">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4AE295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95.49分</w:t>
            </w:r>
          </w:p>
        </w:tc>
        <w:tc>
          <w:tcPr>
            <w:tcW w:w="346" w:type="pct"/>
            <w:tcBorders>
              <w:top w:val="single" w:color="auto" w:sz="4" w:space="0"/>
              <w:left w:val="nil"/>
              <w:bottom w:val="single" w:color="auto" w:sz="4" w:space="0"/>
              <w:right w:val="single" w:color="auto" w:sz="4" w:space="0"/>
            </w:tcBorders>
            <w:vAlign w:val="center"/>
          </w:tcPr>
          <w:p w14:paraId="719EF1CD">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79AF2899">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4FB581C6">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1405D14">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1D3F7B12">
            <w:pPr>
              <w:rPr>
                <w:rFonts w:hint="eastAsia" w:ascii="宋体" w:hAnsi="宋体" w:eastAsia="宋体" w:cs="宋体"/>
                <w:color w:val="000000"/>
                <w:sz w:val="18"/>
                <w:szCs w:val="18"/>
              </w:rPr>
            </w:pPr>
          </w:p>
        </w:tc>
      </w:tr>
    </w:tbl>
    <w:p w14:paraId="064E1931">
      <w:pPr>
        <w:rPr>
          <w:rFonts w:ascii="宋体" w:hAnsi="宋体" w:eastAsia="宋体" w:cs="宋体"/>
          <w:b/>
          <w:bCs/>
          <w:sz w:val="28"/>
          <w:szCs w:val="28"/>
          <w:lang w:eastAsia="zh-CN"/>
        </w:rPr>
      </w:pPr>
      <w:r>
        <w:rPr>
          <w:rFonts w:ascii="宋体" w:hAnsi="宋体" w:eastAsia="宋体" w:cs="宋体"/>
          <w:b/>
          <w:bCs/>
          <w:sz w:val="28"/>
          <w:szCs w:val="28"/>
          <w:lang w:eastAsia="zh-CN"/>
        </w:rPr>
        <w:br w:type="page"/>
      </w:r>
    </w:p>
    <w:p w14:paraId="53504D8A">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4ABB80A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63"/>
        <w:gridCol w:w="672"/>
        <w:gridCol w:w="663"/>
        <w:gridCol w:w="969"/>
        <w:gridCol w:w="676"/>
        <w:gridCol w:w="936"/>
        <w:gridCol w:w="846"/>
        <w:gridCol w:w="663"/>
        <w:gridCol w:w="774"/>
        <w:gridCol w:w="693"/>
        <w:gridCol w:w="665"/>
        <w:gridCol w:w="662"/>
        <w:gridCol w:w="664"/>
        <w:gridCol w:w="1081"/>
      </w:tblGrid>
      <w:tr w14:paraId="2A20147F">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1642B2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7D038C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奇财农[2024]9号，项目耕地开垦费</w:t>
            </w:r>
          </w:p>
        </w:tc>
      </w:tr>
      <w:tr w14:paraId="183FC565">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BBF27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F6B7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389FB1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1626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4FC9E87B">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618481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35661AD">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3EE00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CA5ED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49114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CBD36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1E200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645D3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A0F9AE9">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FE89DC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9F9FF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6CA2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0.59</w:t>
            </w:r>
          </w:p>
        </w:tc>
        <w:tc>
          <w:tcPr>
            <w:tcW w:w="982" w:type="pct"/>
            <w:gridSpan w:val="3"/>
            <w:tcBorders>
              <w:top w:val="single" w:color="auto" w:sz="4" w:space="0"/>
              <w:left w:val="nil"/>
              <w:bottom w:val="single" w:color="auto" w:sz="4" w:space="0"/>
              <w:right w:val="single" w:color="auto" w:sz="4" w:space="0"/>
            </w:tcBorders>
            <w:vAlign w:val="center"/>
          </w:tcPr>
          <w:p w14:paraId="04D63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36.37</w:t>
            </w:r>
          </w:p>
        </w:tc>
        <w:tc>
          <w:tcPr>
            <w:tcW w:w="708" w:type="pct"/>
            <w:gridSpan w:val="2"/>
            <w:tcBorders>
              <w:top w:val="single" w:color="auto" w:sz="4" w:space="0"/>
              <w:left w:val="nil"/>
              <w:bottom w:val="single" w:color="auto" w:sz="4" w:space="0"/>
              <w:right w:val="single" w:color="auto" w:sz="4" w:space="0"/>
            </w:tcBorders>
            <w:vAlign w:val="center"/>
          </w:tcPr>
          <w:p w14:paraId="284D1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36.37</w:t>
            </w:r>
          </w:p>
        </w:tc>
        <w:tc>
          <w:tcPr>
            <w:tcW w:w="671" w:type="pct"/>
            <w:gridSpan w:val="2"/>
            <w:tcBorders>
              <w:top w:val="nil"/>
              <w:left w:val="nil"/>
              <w:bottom w:val="single" w:color="auto" w:sz="4" w:space="0"/>
              <w:right w:val="single" w:color="auto" w:sz="4" w:space="0"/>
            </w:tcBorders>
            <w:vAlign w:val="center"/>
          </w:tcPr>
          <w:p w14:paraId="31946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5ECE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B73F1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7F46FB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3B6D64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8464D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C29A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0.59</w:t>
            </w:r>
          </w:p>
        </w:tc>
        <w:tc>
          <w:tcPr>
            <w:tcW w:w="982" w:type="pct"/>
            <w:gridSpan w:val="3"/>
            <w:tcBorders>
              <w:top w:val="single" w:color="auto" w:sz="4" w:space="0"/>
              <w:left w:val="nil"/>
              <w:bottom w:val="single" w:color="auto" w:sz="4" w:space="0"/>
              <w:right w:val="single" w:color="auto" w:sz="4" w:space="0"/>
            </w:tcBorders>
            <w:vAlign w:val="center"/>
          </w:tcPr>
          <w:p w14:paraId="042EEB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36.37</w:t>
            </w:r>
          </w:p>
        </w:tc>
        <w:tc>
          <w:tcPr>
            <w:tcW w:w="708" w:type="pct"/>
            <w:gridSpan w:val="2"/>
            <w:tcBorders>
              <w:top w:val="single" w:color="auto" w:sz="4" w:space="0"/>
              <w:left w:val="nil"/>
              <w:bottom w:val="single" w:color="auto" w:sz="4" w:space="0"/>
              <w:right w:val="single" w:color="auto" w:sz="4" w:space="0"/>
            </w:tcBorders>
            <w:vAlign w:val="center"/>
          </w:tcPr>
          <w:p w14:paraId="171C3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36.37</w:t>
            </w:r>
          </w:p>
        </w:tc>
        <w:tc>
          <w:tcPr>
            <w:tcW w:w="671" w:type="pct"/>
            <w:gridSpan w:val="2"/>
            <w:tcBorders>
              <w:top w:val="nil"/>
              <w:left w:val="nil"/>
              <w:bottom w:val="single" w:color="auto" w:sz="4" w:space="0"/>
              <w:right w:val="single" w:color="auto" w:sz="4" w:space="0"/>
            </w:tcBorders>
            <w:vAlign w:val="center"/>
          </w:tcPr>
          <w:p w14:paraId="2FCD9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E201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1489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3DE2C1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76D7E7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E9978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0B6FF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7619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6C79E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31F82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ACF1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62EF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F2BF456">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D4DFB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3AC5C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66B58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4C0CFA2">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4495D90">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D971A6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关于下发自治区国土资源系统土地管理行政事业性收费标准的通知》（新计价房〔2001〕500号），涉及占用耕地报批建设用地的，需向财政缴纳耕地开垦费30000/每亩，通过足额缴纳耕地开垦费，切实解决了人民群众所需所盼，确保土地报批工作顺利实施。</w:t>
            </w:r>
          </w:p>
        </w:tc>
        <w:tc>
          <w:tcPr>
            <w:tcW w:w="2559" w:type="pct"/>
            <w:gridSpan w:val="7"/>
            <w:tcBorders>
              <w:top w:val="single" w:color="auto" w:sz="4" w:space="0"/>
              <w:left w:val="nil"/>
              <w:bottom w:val="single" w:color="auto" w:sz="4" w:space="0"/>
              <w:right w:val="single" w:color="auto" w:sz="4" w:space="0"/>
            </w:tcBorders>
            <w:vAlign w:val="center"/>
          </w:tcPr>
          <w:p w14:paraId="28DBD68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截至2024年12月31日，该项目缴纳耕地开垦费36.37万元，涉及占用耕地面积112.04亩，通过该项目的实施，提升了土地资源的利用，获得了用地单位的满意度。</w:t>
            </w:r>
          </w:p>
        </w:tc>
      </w:tr>
      <w:tr w14:paraId="5DA167B4">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43EA393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BA2CC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F90E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5CB8E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D25E0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11009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6F5657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E71F2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46407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C8A50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13C5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2515B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6253E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DECB9D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CB5E147">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141450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A6FE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32CF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F0B8D3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项目涉及占用耕地面积（亩）</w:t>
            </w:r>
          </w:p>
        </w:tc>
        <w:tc>
          <w:tcPr>
            <w:tcW w:w="334" w:type="pct"/>
            <w:tcBorders>
              <w:top w:val="nil"/>
              <w:left w:val="nil"/>
              <w:bottom w:val="single" w:color="auto" w:sz="4" w:space="0"/>
              <w:right w:val="single" w:color="auto" w:sz="4" w:space="0"/>
            </w:tcBorders>
            <w:vAlign w:val="center"/>
          </w:tcPr>
          <w:p w14:paraId="09365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45DF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&gt;=112.04亩</w:t>
            </w:r>
          </w:p>
        </w:tc>
        <w:tc>
          <w:tcPr>
            <w:tcW w:w="333" w:type="pct"/>
            <w:tcBorders>
              <w:top w:val="nil"/>
              <w:left w:val="nil"/>
              <w:bottom w:val="single" w:color="auto" w:sz="4" w:space="0"/>
              <w:right w:val="single" w:color="auto" w:sz="4" w:space="0"/>
            </w:tcBorders>
            <w:vAlign w:val="center"/>
          </w:tcPr>
          <w:p w14:paraId="2432F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=112.04亩</w:t>
            </w:r>
          </w:p>
        </w:tc>
        <w:tc>
          <w:tcPr>
            <w:tcW w:w="328" w:type="pct"/>
            <w:tcBorders>
              <w:top w:val="nil"/>
              <w:left w:val="nil"/>
              <w:bottom w:val="single" w:color="auto" w:sz="4" w:space="0"/>
              <w:right w:val="single" w:color="auto" w:sz="4" w:space="0"/>
            </w:tcBorders>
            <w:vAlign w:val="center"/>
          </w:tcPr>
          <w:p w14:paraId="518CA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D263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D86A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0FC64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AADA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9BB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71B486B">
            <w:pPr>
              <w:jc w:val="center"/>
              <w:rPr>
                <w:rFonts w:hint="eastAsia" w:ascii="宋体" w:hAnsi="宋体" w:eastAsia="宋体" w:cs="宋体"/>
                <w:color w:val="000000"/>
                <w:sz w:val="18"/>
                <w:szCs w:val="18"/>
              </w:rPr>
            </w:pPr>
          </w:p>
        </w:tc>
      </w:tr>
      <w:tr w14:paraId="17BC2FC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890214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C5A963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A426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F910C3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耕地开垦费缴纳准确率（%）</w:t>
            </w:r>
          </w:p>
        </w:tc>
        <w:tc>
          <w:tcPr>
            <w:tcW w:w="334" w:type="pct"/>
            <w:tcBorders>
              <w:top w:val="nil"/>
              <w:left w:val="nil"/>
              <w:bottom w:val="single" w:color="auto" w:sz="4" w:space="0"/>
              <w:right w:val="single" w:color="auto" w:sz="4" w:space="0"/>
            </w:tcBorders>
            <w:vAlign w:val="center"/>
          </w:tcPr>
          <w:p w14:paraId="6A8F0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B08D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E50A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82AA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7E2E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7A2EC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646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B5F5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A8A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3C2EAF2">
            <w:pPr>
              <w:jc w:val="center"/>
              <w:rPr>
                <w:rFonts w:hint="eastAsia" w:ascii="宋体" w:hAnsi="宋体" w:eastAsia="宋体" w:cs="宋体"/>
                <w:color w:val="000000"/>
                <w:sz w:val="18"/>
                <w:szCs w:val="18"/>
              </w:rPr>
            </w:pPr>
          </w:p>
        </w:tc>
      </w:tr>
      <w:tr w14:paraId="522C970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982253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0D95CE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DCD17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0113B6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缴纳耕地开垦费比例（%）</w:t>
            </w:r>
          </w:p>
        </w:tc>
        <w:tc>
          <w:tcPr>
            <w:tcW w:w="334" w:type="pct"/>
            <w:tcBorders>
              <w:top w:val="nil"/>
              <w:left w:val="nil"/>
              <w:bottom w:val="single" w:color="auto" w:sz="4" w:space="0"/>
              <w:right w:val="single" w:color="auto" w:sz="4" w:space="0"/>
            </w:tcBorders>
            <w:vAlign w:val="center"/>
          </w:tcPr>
          <w:p w14:paraId="2021E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FBC1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D1323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23871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A6BD4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5CAC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FCBB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4BB3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D4060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9CFC105">
            <w:pPr>
              <w:jc w:val="center"/>
              <w:rPr>
                <w:rFonts w:hint="eastAsia" w:ascii="宋体" w:hAnsi="宋体" w:eastAsia="宋体" w:cs="宋体"/>
                <w:color w:val="000000"/>
                <w:sz w:val="18"/>
                <w:szCs w:val="18"/>
              </w:rPr>
            </w:pPr>
          </w:p>
        </w:tc>
      </w:tr>
      <w:tr w14:paraId="393B80A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3AB1348">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50F70E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C6BD7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030002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耕地开垦费按期支付率（%）</w:t>
            </w:r>
          </w:p>
        </w:tc>
        <w:tc>
          <w:tcPr>
            <w:tcW w:w="334" w:type="pct"/>
            <w:tcBorders>
              <w:top w:val="nil"/>
              <w:left w:val="nil"/>
              <w:bottom w:val="single" w:color="auto" w:sz="4" w:space="0"/>
              <w:right w:val="single" w:color="auto" w:sz="4" w:space="0"/>
            </w:tcBorders>
            <w:vAlign w:val="center"/>
          </w:tcPr>
          <w:p w14:paraId="3C8224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7AC9D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421F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58C9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D4C3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F76F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A7A5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7913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C0A6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EC290D7">
            <w:pPr>
              <w:jc w:val="center"/>
              <w:rPr>
                <w:rFonts w:hint="eastAsia" w:ascii="宋体" w:hAnsi="宋体" w:eastAsia="宋体" w:cs="宋体"/>
                <w:color w:val="000000"/>
                <w:sz w:val="18"/>
                <w:szCs w:val="18"/>
              </w:rPr>
            </w:pPr>
          </w:p>
        </w:tc>
      </w:tr>
      <w:tr w14:paraId="0D6675F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AC3DDA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71A94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1D012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65CE0C2">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742759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4903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C389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20143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58D3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5BF86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F87E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B9F43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7FFB5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7CF7920">
            <w:pPr>
              <w:jc w:val="center"/>
              <w:rPr>
                <w:rFonts w:hint="eastAsia" w:ascii="宋体" w:hAnsi="宋体" w:eastAsia="宋体" w:cs="宋体"/>
                <w:color w:val="000000"/>
                <w:sz w:val="18"/>
                <w:szCs w:val="18"/>
              </w:rPr>
            </w:pPr>
          </w:p>
        </w:tc>
      </w:tr>
      <w:tr w14:paraId="02C81EF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EC8B7E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5433E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FC3A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FA49626">
            <w:pPr>
              <w:rPr>
                <w:rFonts w:hint="eastAsia" w:ascii="宋体" w:hAnsi="宋体" w:eastAsia="宋体" w:cs="宋体"/>
                <w:color w:val="000000"/>
                <w:sz w:val="18"/>
                <w:szCs w:val="18"/>
              </w:rPr>
            </w:pPr>
            <w:r>
              <w:rPr>
                <w:rFonts w:hint="eastAsia" w:ascii="宋体" w:hAnsi="宋体" w:eastAsia="宋体" w:cs="宋体"/>
                <w:color w:val="000000"/>
                <w:sz w:val="18"/>
                <w:szCs w:val="18"/>
              </w:rPr>
              <w:t>提升土地资源的利用</w:t>
            </w:r>
          </w:p>
        </w:tc>
        <w:tc>
          <w:tcPr>
            <w:tcW w:w="334" w:type="pct"/>
            <w:tcBorders>
              <w:top w:val="nil"/>
              <w:left w:val="nil"/>
              <w:bottom w:val="single" w:color="auto" w:sz="4" w:space="0"/>
              <w:right w:val="single" w:color="auto" w:sz="4" w:space="0"/>
            </w:tcBorders>
            <w:vAlign w:val="center"/>
          </w:tcPr>
          <w:p w14:paraId="18211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7B24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1CB67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1FD293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C75B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BF220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2C35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BD47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0DBF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17AE5A1">
            <w:pPr>
              <w:jc w:val="center"/>
              <w:rPr>
                <w:rFonts w:hint="eastAsia" w:ascii="宋体" w:hAnsi="宋体" w:eastAsia="宋体" w:cs="宋体"/>
                <w:color w:val="000000"/>
                <w:sz w:val="18"/>
                <w:szCs w:val="18"/>
              </w:rPr>
            </w:pPr>
          </w:p>
        </w:tc>
      </w:tr>
      <w:tr w14:paraId="61EBEDA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5258BC8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1455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BFC19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17622B1">
            <w:pPr>
              <w:rPr>
                <w:rFonts w:hint="eastAsia" w:ascii="宋体" w:hAnsi="宋体" w:eastAsia="宋体" w:cs="宋体"/>
                <w:color w:val="000000"/>
                <w:sz w:val="18"/>
                <w:szCs w:val="18"/>
              </w:rPr>
            </w:pPr>
            <w:r>
              <w:rPr>
                <w:rFonts w:hint="eastAsia" w:ascii="宋体" w:hAnsi="宋体" w:eastAsia="宋体" w:cs="宋体"/>
                <w:color w:val="000000"/>
                <w:sz w:val="18"/>
                <w:szCs w:val="18"/>
              </w:rPr>
              <w:t>用地单位满意度（%）</w:t>
            </w:r>
          </w:p>
        </w:tc>
        <w:tc>
          <w:tcPr>
            <w:tcW w:w="334" w:type="pct"/>
            <w:tcBorders>
              <w:top w:val="nil"/>
              <w:left w:val="nil"/>
              <w:bottom w:val="single" w:color="auto" w:sz="4" w:space="0"/>
              <w:right w:val="single" w:color="auto" w:sz="4" w:space="0"/>
            </w:tcBorders>
            <w:vAlign w:val="center"/>
          </w:tcPr>
          <w:p w14:paraId="4C1D9E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75BD8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098279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6D730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0690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771CD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EBF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F5B8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5682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8E5C60F">
            <w:pPr>
              <w:jc w:val="center"/>
              <w:rPr>
                <w:rFonts w:hint="eastAsia" w:ascii="宋体" w:hAnsi="宋体" w:eastAsia="宋体" w:cs="宋体"/>
                <w:color w:val="000000"/>
                <w:sz w:val="18"/>
                <w:szCs w:val="18"/>
              </w:rPr>
            </w:pPr>
          </w:p>
        </w:tc>
      </w:tr>
      <w:tr w14:paraId="6FCB8F7C">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3095F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9AC71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7860AB3">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C554FEB">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FE7AA8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558529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09B98C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C40CB1C">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CBCA94A">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CB77DF5">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668066E">
            <w:pPr>
              <w:rPr>
                <w:rFonts w:hint="eastAsia" w:ascii="宋体" w:hAnsi="宋体" w:eastAsia="宋体" w:cs="宋体"/>
                <w:color w:val="000000"/>
                <w:sz w:val="18"/>
                <w:szCs w:val="18"/>
              </w:rPr>
            </w:pPr>
          </w:p>
        </w:tc>
      </w:tr>
    </w:tbl>
    <w:p w14:paraId="6B7983CF">
      <w:pPr>
        <w:jc w:val="center"/>
        <w:rPr>
          <w:rFonts w:ascii="宋体" w:hAnsi="宋体" w:eastAsia="宋体" w:cs="宋体"/>
          <w:b/>
          <w:bCs/>
          <w:sz w:val="28"/>
          <w:szCs w:val="28"/>
          <w:lang w:eastAsia="zh-CN"/>
        </w:rPr>
      </w:pPr>
    </w:p>
    <w:p w14:paraId="6F4C8CF8">
      <w:pPr>
        <w:jc w:val="center"/>
        <w:rPr>
          <w:rFonts w:hint="eastAsia" w:ascii="宋体" w:hAnsi="宋体" w:eastAsia="宋体" w:cs="宋体"/>
          <w:b/>
          <w:bCs/>
          <w:sz w:val="28"/>
          <w:szCs w:val="28"/>
        </w:rPr>
      </w:pPr>
      <w:bookmarkStart w:id="19" w:name="_GoBack"/>
      <w:r>
        <w:rPr>
          <w:rFonts w:hint="eastAsia" w:ascii="宋体" w:hAnsi="宋体" w:eastAsia="宋体" w:cs="宋体"/>
          <w:b/>
          <w:bCs/>
          <w:sz w:val="28"/>
          <w:szCs w:val="28"/>
        </w:rPr>
        <w:t>项目支出绩效自评表</w:t>
      </w:r>
      <w:bookmarkEnd w:id="19"/>
    </w:p>
    <w:p w14:paraId="66C8E8E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78"/>
        <w:gridCol w:w="687"/>
        <w:gridCol w:w="678"/>
        <w:gridCol w:w="984"/>
        <w:gridCol w:w="691"/>
        <w:gridCol w:w="846"/>
        <w:gridCol w:w="756"/>
        <w:gridCol w:w="678"/>
        <w:gridCol w:w="789"/>
        <w:gridCol w:w="709"/>
        <w:gridCol w:w="681"/>
        <w:gridCol w:w="677"/>
        <w:gridCol w:w="679"/>
        <w:gridCol w:w="1094"/>
      </w:tblGrid>
      <w:tr w14:paraId="0715557F">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449C96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4635554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奇财预[2024]87号2024年不动产证办理经费</w:t>
            </w:r>
          </w:p>
        </w:tc>
      </w:tr>
      <w:tr w14:paraId="1103A666">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587D8E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63C8F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c>
          <w:tcPr>
            <w:tcW w:w="708" w:type="pct"/>
            <w:gridSpan w:val="2"/>
            <w:tcBorders>
              <w:top w:val="single" w:color="auto" w:sz="4" w:space="0"/>
              <w:left w:val="nil"/>
              <w:bottom w:val="single" w:color="auto" w:sz="4" w:space="0"/>
              <w:right w:val="single" w:color="auto" w:sz="4" w:space="0"/>
            </w:tcBorders>
            <w:vAlign w:val="center"/>
          </w:tcPr>
          <w:p w14:paraId="30AE6C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E731B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奇台县自然资源局</w:t>
            </w:r>
          </w:p>
        </w:tc>
      </w:tr>
      <w:tr w14:paraId="006F8482">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4135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46C8615">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2607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597447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5CF276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CBA26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C52E1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29F9D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1878FCE">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13B203B">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45049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771A15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983" w:type="pct"/>
            <w:gridSpan w:val="3"/>
            <w:tcBorders>
              <w:top w:val="single" w:color="auto" w:sz="4" w:space="0"/>
              <w:left w:val="nil"/>
              <w:bottom w:val="single" w:color="auto" w:sz="4" w:space="0"/>
              <w:right w:val="single" w:color="auto" w:sz="4" w:space="0"/>
            </w:tcBorders>
            <w:vAlign w:val="center"/>
          </w:tcPr>
          <w:p w14:paraId="3EAEF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708" w:type="pct"/>
            <w:gridSpan w:val="2"/>
            <w:tcBorders>
              <w:top w:val="single" w:color="auto" w:sz="4" w:space="0"/>
              <w:left w:val="nil"/>
              <w:bottom w:val="single" w:color="auto" w:sz="4" w:space="0"/>
              <w:right w:val="single" w:color="auto" w:sz="4" w:space="0"/>
            </w:tcBorders>
            <w:vAlign w:val="center"/>
          </w:tcPr>
          <w:p w14:paraId="5A6B95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29.96</w:t>
            </w:r>
          </w:p>
        </w:tc>
        <w:tc>
          <w:tcPr>
            <w:tcW w:w="671" w:type="pct"/>
            <w:gridSpan w:val="2"/>
            <w:tcBorders>
              <w:top w:val="nil"/>
              <w:left w:val="nil"/>
              <w:bottom w:val="single" w:color="auto" w:sz="4" w:space="0"/>
              <w:right w:val="single" w:color="auto" w:sz="4" w:space="0"/>
            </w:tcBorders>
            <w:vAlign w:val="center"/>
          </w:tcPr>
          <w:p w14:paraId="6C5C9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6C39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99.87%</w:t>
            </w:r>
          </w:p>
        </w:tc>
        <w:tc>
          <w:tcPr>
            <w:tcW w:w="524" w:type="pct"/>
            <w:tcBorders>
              <w:top w:val="nil"/>
              <w:left w:val="nil"/>
              <w:bottom w:val="single" w:color="auto" w:sz="4" w:space="0"/>
              <w:right w:val="single" w:color="auto" w:sz="4" w:space="0"/>
            </w:tcBorders>
            <w:vAlign w:val="center"/>
          </w:tcPr>
          <w:p w14:paraId="099844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0E63C48">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8A48E01">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BE890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44054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983" w:type="pct"/>
            <w:gridSpan w:val="3"/>
            <w:tcBorders>
              <w:top w:val="single" w:color="auto" w:sz="4" w:space="0"/>
              <w:left w:val="nil"/>
              <w:bottom w:val="single" w:color="auto" w:sz="4" w:space="0"/>
              <w:right w:val="single" w:color="auto" w:sz="4" w:space="0"/>
            </w:tcBorders>
            <w:vAlign w:val="center"/>
          </w:tcPr>
          <w:p w14:paraId="190EAD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708" w:type="pct"/>
            <w:gridSpan w:val="2"/>
            <w:tcBorders>
              <w:top w:val="single" w:color="auto" w:sz="4" w:space="0"/>
              <w:left w:val="nil"/>
              <w:bottom w:val="single" w:color="auto" w:sz="4" w:space="0"/>
              <w:right w:val="single" w:color="auto" w:sz="4" w:space="0"/>
            </w:tcBorders>
            <w:vAlign w:val="center"/>
          </w:tcPr>
          <w:p w14:paraId="6329EB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29.96</w:t>
            </w:r>
          </w:p>
        </w:tc>
        <w:tc>
          <w:tcPr>
            <w:tcW w:w="671" w:type="pct"/>
            <w:gridSpan w:val="2"/>
            <w:tcBorders>
              <w:top w:val="nil"/>
              <w:left w:val="nil"/>
              <w:bottom w:val="single" w:color="auto" w:sz="4" w:space="0"/>
              <w:right w:val="single" w:color="auto" w:sz="4" w:space="0"/>
            </w:tcBorders>
            <w:vAlign w:val="center"/>
          </w:tcPr>
          <w:p w14:paraId="5A4871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82C1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FAD2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13218B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BA393E3">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D6D3D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2DDA0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4B6188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7BDF1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CD4C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9E33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CE8FC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D6378EF">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9EA1F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75CF41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B17DC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80B0C46">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C233818">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6E2BF7A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奇台县2023年不动产登记领域民生实事工作方案》，按照方案内容开展民生领域相关工作，以服务民生为主线，以满足群众需求为导向，通过信息共享、部门联动、集成服务，进一步优化不动产登记“一窗受理、并行办理”“网上服务大厅”效能，推动不动产转移登记与水电气联动过户、企业不动产登记一件事联办等落地见效，不断提升不动产登记服务便捷化、高效化。</w:t>
            </w:r>
          </w:p>
        </w:tc>
        <w:tc>
          <w:tcPr>
            <w:tcW w:w="2559" w:type="pct"/>
            <w:gridSpan w:val="7"/>
            <w:tcBorders>
              <w:top w:val="single" w:color="auto" w:sz="4" w:space="0"/>
              <w:left w:val="nil"/>
              <w:bottom w:val="single" w:color="auto" w:sz="4" w:space="0"/>
              <w:right w:val="single" w:color="auto" w:sz="4" w:space="0"/>
            </w:tcBorders>
            <w:vAlign w:val="center"/>
          </w:tcPr>
          <w:p w14:paraId="27C913D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至2024年12月31日，不动产登记数量12000个，不动产电子证照生成率100%，不动产办结时限在5个工作日，不动产证书成本8万元，推动不动产信息共享率70%，增加非税收入金额50万元，通过该项目的实施，推动了不动产转移登记与水电气联动过户、企业不动产登记一件事联办等落地见效，提升了不动产登记服务便捷化、高效化。</w:t>
            </w:r>
          </w:p>
        </w:tc>
      </w:tr>
      <w:tr w14:paraId="6D878FC8">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0AE2CC39">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9C164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B3FFC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70CBF7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BE192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7CD9F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26758D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6BF1C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6CB965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F6DA3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C24B8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7CD20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367D1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0D3EF1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356F3BB">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04A3CA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A9742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7DB4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1B8AC42">
            <w:pPr>
              <w:rPr>
                <w:rFonts w:hint="eastAsia" w:ascii="宋体" w:hAnsi="宋体" w:eastAsia="宋体" w:cs="宋体"/>
                <w:color w:val="000000"/>
                <w:sz w:val="18"/>
                <w:szCs w:val="18"/>
              </w:rPr>
            </w:pPr>
            <w:r>
              <w:rPr>
                <w:rFonts w:hint="eastAsia" w:ascii="宋体" w:hAnsi="宋体" w:eastAsia="宋体" w:cs="宋体"/>
                <w:color w:val="000000"/>
                <w:sz w:val="18"/>
                <w:szCs w:val="18"/>
              </w:rPr>
              <w:t>不动产登记数量</w:t>
            </w:r>
          </w:p>
        </w:tc>
        <w:tc>
          <w:tcPr>
            <w:tcW w:w="334" w:type="pct"/>
            <w:tcBorders>
              <w:top w:val="nil"/>
              <w:left w:val="nil"/>
              <w:bottom w:val="single" w:color="auto" w:sz="4" w:space="0"/>
              <w:right w:val="single" w:color="auto" w:sz="4" w:space="0"/>
            </w:tcBorders>
            <w:vAlign w:val="center"/>
          </w:tcPr>
          <w:p w14:paraId="54B55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B4C0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&gt;=12000个</w:t>
            </w:r>
          </w:p>
        </w:tc>
        <w:tc>
          <w:tcPr>
            <w:tcW w:w="334" w:type="pct"/>
            <w:tcBorders>
              <w:top w:val="nil"/>
              <w:left w:val="nil"/>
              <w:bottom w:val="single" w:color="auto" w:sz="4" w:space="0"/>
              <w:right w:val="single" w:color="auto" w:sz="4" w:space="0"/>
            </w:tcBorders>
            <w:vAlign w:val="center"/>
          </w:tcPr>
          <w:p w14:paraId="3F884B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=12000个</w:t>
            </w:r>
          </w:p>
        </w:tc>
        <w:tc>
          <w:tcPr>
            <w:tcW w:w="328" w:type="pct"/>
            <w:tcBorders>
              <w:top w:val="nil"/>
              <w:left w:val="nil"/>
              <w:bottom w:val="single" w:color="auto" w:sz="4" w:space="0"/>
              <w:right w:val="single" w:color="auto" w:sz="4" w:space="0"/>
            </w:tcBorders>
            <w:vAlign w:val="center"/>
          </w:tcPr>
          <w:p w14:paraId="6ACC7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16A7A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CDD1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38B87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06C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3391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A7205D7">
            <w:pPr>
              <w:jc w:val="center"/>
              <w:rPr>
                <w:rFonts w:hint="eastAsia" w:ascii="宋体" w:hAnsi="宋体" w:eastAsia="宋体" w:cs="宋体"/>
                <w:color w:val="000000"/>
                <w:sz w:val="18"/>
                <w:szCs w:val="18"/>
              </w:rPr>
            </w:pPr>
          </w:p>
        </w:tc>
      </w:tr>
      <w:tr w14:paraId="144DAA36">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9D1129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4C40E6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068E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38F66E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不动产电子证照生成率</w:t>
            </w:r>
          </w:p>
        </w:tc>
        <w:tc>
          <w:tcPr>
            <w:tcW w:w="334" w:type="pct"/>
            <w:tcBorders>
              <w:top w:val="nil"/>
              <w:left w:val="nil"/>
              <w:bottom w:val="single" w:color="auto" w:sz="4" w:space="0"/>
              <w:right w:val="single" w:color="auto" w:sz="4" w:space="0"/>
            </w:tcBorders>
            <w:vAlign w:val="center"/>
          </w:tcPr>
          <w:p w14:paraId="1F6C52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995F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8D0C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C96C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E83B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F4FF7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49DB5D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F93C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26A80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2ACCF7DD">
            <w:pPr>
              <w:jc w:val="center"/>
              <w:rPr>
                <w:rFonts w:hint="eastAsia" w:ascii="宋体" w:hAnsi="宋体" w:eastAsia="宋体" w:cs="宋体"/>
                <w:color w:val="000000"/>
                <w:sz w:val="18"/>
                <w:szCs w:val="18"/>
              </w:rPr>
            </w:pPr>
          </w:p>
        </w:tc>
      </w:tr>
      <w:tr w14:paraId="0911726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28793B1">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639980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A897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561165EA">
            <w:pPr>
              <w:rPr>
                <w:rFonts w:hint="eastAsia" w:ascii="宋体" w:hAnsi="宋体" w:eastAsia="宋体" w:cs="宋体"/>
                <w:color w:val="000000"/>
                <w:sz w:val="18"/>
                <w:szCs w:val="18"/>
              </w:rPr>
            </w:pPr>
            <w:r>
              <w:rPr>
                <w:rFonts w:hint="eastAsia" w:ascii="宋体" w:hAnsi="宋体" w:eastAsia="宋体" w:cs="宋体"/>
                <w:color w:val="000000"/>
                <w:sz w:val="18"/>
                <w:szCs w:val="18"/>
              </w:rPr>
              <w:t>不动产办结时限</w:t>
            </w:r>
          </w:p>
        </w:tc>
        <w:tc>
          <w:tcPr>
            <w:tcW w:w="334" w:type="pct"/>
            <w:tcBorders>
              <w:top w:val="nil"/>
              <w:left w:val="nil"/>
              <w:bottom w:val="single" w:color="auto" w:sz="4" w:space="0"/>
              <w:right w:val="single" w:color="auto" w:sz="4" w:space="0"/>
            </w:tcBorders>
            <w:vAlign w:val="center"/>
          </w:tcPr>
          <w:p w14:paraId="747FA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5F30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&lt;=5工作日</w:t>
            </w:r>
          </w:p>
        </w:tc>
        <w:tc>
          <w:tcPr>
            <w:tcW w:w="334" w:type="pct"/>
            <w:tcBorders>
              <w:top w:val="nil"/>
              <w:left w:val="nil"/>
              <w:bottom w:val="single" w:color="auto" w:sz="4" w:space="0"/>
              <w:right w:val="single" w:color="auto" w:sz="4" w:space="0"/>
            </w:tcBorders>
            <w:vAlign w:val="center"/>
          </w:tcPr>
          <w:p w14:paraId="3ED18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=5工作日</w:t>
            </w:r>
          </w:p>
        </w:tc>
        <w:tc>
          <w:tcPr>
            <w:tcW w:w="328" w:type="pct"/>
            <w:tcBorders>
              <w:top w:val="nil"/>
              <w:left w:val="nil"/>
              <w:bottom w:val="single" w:color="auto" w:sz="4" w:space="0"/>
              <w:right w:val="single" w:color="auto" w:sz="4" w:space="0"/>
            </w:tcBorders>
            <w:vAlign w:val="center"/>
          </w:tcPr>
          <w:p w14:paraId="07E1BF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A8664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0D98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037DC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A670A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03C4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61A4C474">
            <w:pPr>
              <w:jc w:val="center"/>
              <w:rPr>
                <w:rFonts w:hint="eastAsia" w:ascii="宋体" w:hAnsi="宋体" w:eastAsia="宋体" w:cs="宋体"/>
                <w:color w:val="000000"/>
                <w:sz w:val="18"/>
                <w:szCs w:val="18"/>
              </w:rPr>
            </w:pPr>
          </w:p>
        </w:tc>
      </w:tr>
      <w:tr w14:paraId="785A07D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D5DBDB7">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0440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C6B8A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49C834B">
            <w:pPr>
              <w:rPr>
                <w:rFonts w:hint="eastAsia" w:ascii="宋体" w:hAnsi="宋体" w:eastAsia="宋体" w:cs="宋体"/>
                <w:color w:val="000000"/>
                <w:sz w:val="18"/>
                <w:szCs w:val="18"/>
              </w:rPr>
            </w:pPr>
            <w:r>
              <w:rPr>
                <w:rFonts w:hint="eastAsia" w:ascii="宋体" w:hAnsi="宋体" w:eastAsia="宋体" w:cs="宋体"/>
                <w:color w:val="000000"/>
                <w:sz w:val="18"/>
                <w:szCs w:val="18"/>
              </w:rPr>
              <w:t>不动产证书成本</w:t>
            </w:r>
          </w:p>
        </w:tc>
        <w:tc>
          <w:tcPr>
            <w:tcW w:w="334" w:type="pct"/>
            <w:tcBorders>
              <w:top w:val="nil"/>
              <w:left w:val="nil"/>
              <w:bottom w:val="single" w:color="auto" w:sz="4" w:space="0"/>
              <w:right w:val="single" w:color="auto" w:sz="4" w:space="0"/>
            </w:tcBorders>
            <w:vAlign w:val="center"/>
          </w:tcPr>
          <w:p w14:paraId="6365BB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50CE3C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&lt;=8万元</w:t>
            </w:r>
          </w:p>
        </w:tc>
        <w:tc>
          <w:tcPr>
            <w:tcW w:w="334" w:type="pct"/>
            <w:tcBorders>
              <w:top w:val="nil"/>
              <w:left w:val="nil"/>
              <w:bottom w:val="single" w:color="auto" w:sz="4" w:space="0"/>
              <w:right w:val="single" w:color="auto" w:sz="4" w:space="0"/>
            </w:tcBorders>
            <w:vAlign w:val="center"/>
          </w:tcPr>
          <w:p w14:paraId="130346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=8万元</w:t>
            </w:r>
          </w:p>
        </w:tc>
        <w:tc>
          <w:tcPr>
            <w:tcW w:w="328" w:type="pct"/>
            <w:tcBorders>
              <w:top w:val="nil"/>
              <w:left w:val="nil"/>
              <w:bottom w:val="single" w:color="auto" w:sz="4" w:space="0"/>
              <w:right w:val="single" w:color="auto" w:sz="4" w:space="0"/>
            </w:tcBorders>
            <w:vAlign w:val="center"/>
          </w:tcPr>
          <w:p w14:paraId="7FC3F5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BB65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3D9846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15E7E3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C0D8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B01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3550D076">
            <w:pPr>
              <w:jc w:val="center"/>
              <w:rPr>
                <w:rFonts w:hint="eastAsia" w:ascii="宋体" w:hAnsi="宋体" w:eastAsia="宋体" w:cs="宋体"/>
                <w:color w:val="000000"/>
                <w:sz w:val="18"/>
                <w:szCs w:val="18"/>
              </w:rPr>
            </w:pPr>
          </w:p>
        </w:tc>
      </w:tr>
      <w:tr w14:paraId="2DBB2DD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0EBE686">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4F782A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65C8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5DC6D5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推动不动产信息共享率</w:t>
            </w:r>
          </w:p>
        </w:tc>
        <w:tc>
          <w:tcPr>
            <w:tcW w:w="334" w:type="pct"/>
            <w:tcBorders>
              <w:top w:val="nil"/>
              <w:left w:val="nil"/>
              <w:bottom w:val="single" w:color="auto" w:sz="4" w:space="0"/>
              <w:right w:val="single" w:color="auto" w:sz="4" w:space="0"/>
            </w:tcBorders>
            <w:vAlign w:val="center"/>
          </w:tcPr>
          <w:p w14:paraId="145B4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314" w:type="pct"/>
            <w:tcBorders>
              <w:top w:val="nil"/>
              <w:left w:val="nil"/>
              <w:bottom w:val="single" w:color="auto" w:sz="4" w:space="0"/>
              <w:right w:val="single" w:color="auto" w:sz="4" w:space="0"/>
            </w:tcBorders>
            <w:vAlign w:val="center"/>
          </w:tcPr>
          <w:p w14:paraId="0C1F76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&gt;=70%</w:t>
            </w:r>
          </w:p>
        </w:tc>
        <w:tc>
          <w:tcPr>
            <w:tcW w:w="334" w:type="pct"/>
            <w:tcBorders>
              <w:top w:val="nil"/>
              <w:left w:val="nil"/>
              <w:bottom w:val="single" w:color="auto" w:sz="4" w:space="0"/>
              <w:right w:val="single" w:color="auto" w:sz="4" w:space="0"/>
            </w:tcBorders>
            <w:vAlign w:val="center"/>
          </w:tcPr>
          <w:p w14:paraId="2E1356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w:t>
            </w:r>
          </w:p>
        </w:tc>
        <w:tc>
          <w:tcPr>
            <w:tcW w:w="328" w:type="pct"/>
            <w:tcBorders>
              <w:top w:val="nil"/>
              <w:left w:val="nil"/>
              <w:bottom w:val="single" w:color="auto" w:sz="4" w:space="0"/>
              <w:right w:val="single" w:color="auto" w:sz="4" w:space="0"/>
            </w:tcBorders>
            <w:vAlign w:val="center"/>
          </w:tcPr>
          <w:p w14:paraId="36E8C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2FD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342" w:type="pct"/>
            <w:tcBorders>
              <w:top w:val="nil"/>
              <w:left w:val="nil"/>
              <w:bottom w:val="single" w:color="auto" w:sz="4" w:space="0"/>
              <w:right w:val="single" w:color="auto" w:sz="4" w:space="0"/>
            </w:tcBorders>
            <w:vAlign w:val="center"/>
          </w:tcPr>
          <w:p w14:paraId="71BEE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43C39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1C21E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F27E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9D28EC0">
            <w:pPr>
              <w:jc w:val="center"/>
              <w:rPr>
                <w:rFonts w:hint="eastAsia" w:ascii="宋体" w:hAnsi="宋体" w:eastAsia="宋体" w:cs="宋体"/>
                <w:color w:val="000000"/>
                <w:sz w:val="18"/>
                <w:szCs w:val="18"/>
              </w:rPr>
            </w:pPr>
          </w:p>
        </w:tc>
      </w:tr>
      <w:tr w14:paraId="44161A9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0DBA0D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4B68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873F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2" w:type="pct"/>
            <w:tcBorders>
              <w:top w:val="single" w:color="auto" w:sz="4" w:space="0"/>
              <w:left w:val="nil"/>
              <w:bottom w:val="single" w:color="auto" w:sz="4" w:space="0"/>
              <w:right w:val="single" w:color="auto" w:sz="4" w:space="0"/>
            </w:tcBorders>
            <w:vAlign w:val="center"/>
          </w:tcPr>
          <w:p w14:paraId="44643477">
            <w:pPr>
              <w:rPr>
                <w:rFonts w:hint="eastAsia" w:ascii="宋体" w:hAnsi="宋体" w:eastAsia="宋体" w:cs="宋体"/>
                <w:color w:val="000000"/>
                <w:sz w:val="18"/>
                <w:szCs w:val="18"/>
              </w:rPr>
            </w:pPr>
            <w:r>
              <w:rPr>
                <w:rFonts w:hint="eastAsia" w:ascii="宋体" w:hAnsi="宋体" w:eastAsia="宋体" w:cs="宋体"/>
                <w:color w:val="000000"/>
                <w:sz w:val="18"/>
                <w:szCs w:val="18"/>
              </w:rPr>
              <w:t>增加非税收入金额</w:t>
            </w:r>
          </w:p>
        </w:tc>
        <w:tc>
          <w:tcPr>
            <w:tcW w:w="334" w:type="pct"/>
            <w:tcBorders>
              <w:top w:val="nil"/>
              <w:left w:val="nil"/>
              <w:bottom w:val="single" w:color="auto" w:sz="4" w:space="0"/>
              <w:right w:val="single" w:color="auto" w:sz="4" w:space="0"/>
            </w:tcBorders>
            <w:vAlign w:val="center"/>
          </w:tcPr>
          <w:p w14:paraId="533D98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D14A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&gt;=50万元</w:t>
            </w:r>
          </w:p>
        </w:tc>
        <w:tc>
          <w:tcPr>
            <w:tcW w:w="334" w:type="pct"/>
            <w:tcBorders>
              <w:top w:val="nil"/>
              <w:left w:val="nil"/>
              <w:bottom w:val="single" w:color="auto" w:sz="4" w:space="0"/>
              <w:right w:val="single" w:color="auto" w:sz="4" w:space="0"/>
            </w:tcBorders>
            <w:vAlign w:val="center"/>
          </w:tcPr>
          <w:p w14:paraId="1B89E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=50万元</w:t>
            </w:r>
          </w:p>
        </w:tc>
        <w:tc>
          <w:tcPr>
            <w:tcW w:w="328" w:type="pct"/>
            <w:tcBorders>
              <w:top w:val="nil"/>
              <w:left w:val="nil"/>
              <w:bottom w:val="single" w:color="auto" w:sz="4" w:space="0"/>
              <w:right w:val="single" w:color="auto" w:sz="4" w:space="0"/>
            </w:tcBorders>
            <w:vAlign w:val="center"/>
          </w:tcPr>
          <w:p w14:paraId="152C5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186B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97015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2BFAE0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2889F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5E2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5C65AFCC">
            <w:pPr>
              <w:jc w:val="center"/>
              <w:rPr>
                <w:rFonts w:hint="eastAsia" w:ascii="宋体" w:hAnsi="宋体" w:eastAsia="宋体" w:cs="宋体"/>
                <w:color w:val="000000"/>
                <w:sz w:val="18"/>
                <w:szCs w:val="18"/>
              </w:rPr>
            </w:pPr>
          </w:p>
        </w:tc>
      </w:tr>
      <w:tr w14:paraId="083BBBF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1F07323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21EC2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111A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3D93A752">
            <w:pPr>
              <w:rPr>
                <w:rFonts w:hint="eastAsia" w:ascii="宋体" w:hAnsi="宋体" w:eastAsia="宋体" w:cs="宋体"/>
                <w:color w:val="000000"/>
                <w:sz w:val="18"/>
                <w:szCs w:val="18"/>
              </w:rPr>
            </w:pPr>
            <w:r>
              <w:rPr>
                <w:rFonts w:hint="eastAsia" w:ascii="宋体" w:hAnsi="宋体" w:eastAsia="宋体" w:cs="宋体"/>
                <w:color w:val="000000"/>
                <w:sz w:val="18"/>
                <w:szCs w:val="18"/>
              </w:rPr>
              <w:t>老百姓满意度</w:t>
            </w:r>
          </w:p>
        </w:tc>
        <w:tc>
          <w:tcPr>
            <w:tcW w:w="334" w:type="pct"/>
            <w:tcBorders>
              <w:top w:val="nil"/>
              <w:left w:val="nil"/>
              <w:bottom w:val="single" w:color="auto" w:sz="4" w:space="0"/>
              <w:right w:val="single" w:color="auto" w:sz="4" w:space="0"/>
            </w:tcBorders>
            <w:vAlign w:val="center"/>
          </w:tcPr>
          <w:p w14:paraId="6486C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08CC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52CFA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03003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A251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C099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5609B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F0343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B4518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34D270BC">
            <w:pPr>
              <w:jc w:val="center"/>
              <w:rPr>
                <w:rFonts w:hint="eastAsia" w:ascii="宋体" w:hAnsi="宋体" w:eastAsia="宋体" w:cs="宋体"/>
                <w:color w:val="000000"/>
                <w:sz w:val="18"/>
                <w:szCs w:val="18"/>
              </w:rPr>
            </w:pPr>
          </w:p>
        </w:tc>
      </w:tr>
      <w:tr w14:paraId="5C931B74">
        <w:tblPrEx>
          <w:tblCellMar>
            <w:top w:w="0" w:type="dxa"/>
            <w:left w:w="108" w:type="dxa"/>
            <w:bottom w:w="0" w:type="dxa"/>
            <w:right w:w="108" w:type="dxa"/>
          </w:tblCellMar>
        </w:tblPrEx>
        <w:trPr>
          <w:trHeight w:val="520" w:hRule="atLeast"/>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76A764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EBFA8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9BC922C">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024094EE">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29E1401">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05721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5F289A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49769E1">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FC5AED0">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5DD06CDA">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1FECDAD0">
            <w:pPr>
              <w:rPr>
                <w:rFonts w:hint="eastAsia" w:ascii="宋体" w:hAnsi="宋体" w:eastAsia="宋体" w:cs="宋体"/>
                <w:color w:val="000000"/>
                <w:sz w:val="18"/>
                <w:szCs w:val="18"/>
              </w:rPr>
            </w:pPr>
          </w:p>
        </w:tc>
      </w:tr>
    </w:tbl>
    <w:p w14:paraId="261584EA">
      <w:pPr>
        <w:spacing w:after="0" w:line="240" w:lineRule="auto"/>
        <w:ind w:firstLine="643" w:firstLineChars="200"/>
        <w:jc w:val="both"/>
        <w:rPr>
          <w:rFonts w:hint="eastAsia" w:ascii="仿宋_GB2312" w:eastAsia="仿宋_GB2312"/>
          <w:b/>
          <w:bCs/>
          <w:sz w:val="32"/>
          <w:szCs w:val="32"/>
          <w:lang w:eastAsia="zh-CN"/>
        </w:rPr>
      </w:pPr>
    </w:p>
    <w:p w14:paraId="370846D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038BE2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0BE422B5">
      <w:pPr>
        <w:rPr>
          <w:rFonts w:hint="eastAsia"/>
          <w:lang w:eastAsia="zh-CN"/>
        </w:rPr>
      </w:pPr>
      <w:r>
        <w:rPr>
          <w:sz w:val="0"/>
          <w:szCs w:val="0"/>
          <w:lang w:eastAsia="zh-CN"/>
        </w:rPr>
        <w:br w:type="page"/>
      </w:r>
    </w:p>
    <w:p w14:paraId="4A143E3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5A484C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385846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43453C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67EF1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F087C6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398C6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6F36D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3C7C2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5A24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EAF2F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1B739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D166BE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035F4A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F86B7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53E7252">
      <w:pPr>
        <w:rPr>
          <w:rFonts w:hint="eastAsia"/>
          <w:lang w:eastAsia="zh-CN"/>
        </w:rPr>
      </w:pPr>
      <w:r>
        <w:rPr>
          <w:sz w:val="0"/>
          <w:szCs w:val="0"/>
          <w:lang w:eastAsia="zh-CN"/>
        </w:rPr>
        <w:br w:type="page"/>
      </w:r>
    </w:p>
    <w:p w14:paraId="17B463F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E6BF31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E58A2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94E97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5706D4D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C2068F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267A74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D89C0B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8B3D9F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BEBC1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8D67E8"/>
    <w:rsid w:val="00252278"/>
    <w:rsid w:val="00500433"/>
    <w:rsid w:val="0066775E"/>
    <w:rsid w:val="008938BB"/>
    <w:rsid w:val="008D67E8"/>
    <w:rsid w:val="00CC1F6F"/>
    <w:rsid w:val="00CC7C17"/>
    <w:rsid w:val="00F87B52"/>
    <w:rsid w:val="20616AB6"/>
    <w:rsid w:val="66F75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8720</Words>
  <Characters>10069</Characters>
  <Lines>3718</Lines>
  <Paragraphs>2899</Paragraphs>
  <TotalTime>25</TotalTime>
  <ScaleCrop>false</ScaleCrop>
  <LinksUpToDate>false</LinksUpToDate>
  <CharactersWithSpaces>10079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2025-09-17T07:49:00Z</dcterms:created>
  <dc:creator>华为</dc:creator>
  <cp:lastModifiedBy>T</cp:lastModifiedBy>
  <dcterms:modified xsi:type="dcterms:W3CDTF">2025-09-23T03:49:03Z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5AFAA5B783564F3EB2AF37CFC5DB692C_12</vt:lpwstr>
  </property>
</Properties>
</file>