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华文中宋" w:cs="Times New Roman"/>
          <w:b/>
          <w:kern w:val="0"/>
          <w:sz w:val="52"/>
          <w:szCs w:val="52"/>
          <w:highlight w:val="none"/>
        </w:rPr>
      </w:pPr>
    </w:p>
    <w:p>
      <w:pPr>
        <w:spacing w:line="540" w:lineRule="exact"/>
        <w:jc w:val="both"/>
        <w:rPr>
          <w:rFonts w:hint="eastAsia" w:eastAsia="方正小标宋_GBK" w:cs="Times New Roman"/>
          <w:kern w:val="0"/>
          <w:sz w:val="48"/>
          <w:szCs w:val="48"/>
          <w:lang w:val="en-US" w:eastAsia="zh-CN"/>
        </w:rPr>
      </w:pPr>
    </w:p>
    <w:p>
      <w:pPr>
        <w:spacing w:line="540" w:lineRule="exact"/>
        <w:jc w:val="both"/>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2024年</w:t>
      </w:r>
      <w:r>
        <w:rPr>
          <w:rFonts w:hint="default" w:ascii="Times New Roman" w:hAnsi="Times New Roman" w:eastAsia="方正小标宋_GBK" w:cs="Times New Roman"/>
          <w:kern w:val="0"/>
          <w:sz w:val="48"/>
          <w:szCs w:val="48"/>
        </w:rPr>
        <w:t>中央基本公共卫生服务补助（昌州财社【2023】104号）项目支出绩效评价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kern w:val="0"/>
          <w:sz w:val="36"/>
          <w:szCs w:val="36"/>
          <w:highlight w:val="none"/>
        </w:rPr>
      </w:pPr>
    </w:p>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pStyle w:val="13"/>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cs="Times New Roman"/>
          <w:highlight w:val="none"/>
        </w:rPr>
      </w:pPr>
    </w:p>
    <w:p>
      <w:pPr>
        <w:keepNext w:val="0"/>
        <w:keepLines w:val="0"/>
        <w:pageBreakBefore w:val="0"/>
        <w:kinsoku/>
        <w:wordWrap w:val="0"/>
        <w:overflowPunct/>
        <w:topLinePunct/>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仿宋_GB2312" w:cs="Times New Roman"/>
          <w:kern w:val="0"/>
          <w:sz w:val="30"/>
          <w:szCs w:val="30"/>
          <w:highlight w:val="none"/>
        </w:rPr>
      </w:pP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项目名称：2024年基本公共卫生服务补助</w:t>
      </w:r>
    </w:p>
    <w:p>
      <w:pPr>
        <w:keepNext w:val="0"/>
        <w:keepLines w:val="0"/>
        <w:pageBreakBefore w:val="0"/>
        <w:kinsoku/>
        <w:wordWrap w:val="0"/>
        <w:overflowPunct/>
        <w:topLinePunct/>
        <w:autoSpaceDE/>
        <w:autoSpaceDN/>
        <w:bidi w:val="0"/>
        <w:adjustRightInd/>
        <w:snapToGrid/>
        <w:spacing w:line="560" w:lineRule="exact"/>
        <w:ind w:firstLine="1440" w:firstLineChars="400"/>
        <w:jc w:val="right"/>
        <w:textAlignment w:val="auto"/>
        <w:rPr>
          <w:rFonts w:hint="default"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eastAsia="zh-CN"/>
        </w:rPr>
        <w:t>奇台县老奇台镇中心</w:t>
      </w:r>
      <w:r>
        <w:rPr>
          <w:rFonts w:hint="eastAsia" w:eastAsia="仿宋_GB2312" w:cs="Times New Roman"/>
          <w:kern w:val="0"/>
          <w:sz w:val="36"/>
          <w:szCs w:val="36"/>
          <w:highlight w:val="none"/>
          <w:lang w:val="en-US" w:eastAsia="zh-CN"/>
        </w:rPr>
        <w:t>卫生院（奇台县老奇台镇人口和计划生育生殖健康服务站）</w:t>
      </w: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奇台县卫生健康委员会</w:t>
      </w: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eastAsia="zh-CN"/>
        </w:rPr>
        <w:t>董娜</w:t>
      </w:r>
    </w:p>
    <w:p>
      <w:pPr>
        <w:keepNext w:val="0"/>
        <w:keepLines w:val="0"/>
        <w:pageBreakBefore w:val="0"/>
        <w:kinsoku/>
        <w:wordWrap w:val="0"/>
        <w:overflowPunct/>
        <w:topLinePunct/>
        <w:autoSpaceDE/>
        <w:autoSpaceDN/>
        <w:bidi w:val="0"/>
        <w:adjustRightInd/>
        <w:snapToGrid/>
        <w:spacing w:line="560" w:lineRule="exact"/>
        <w:ind w:firstLine="1440" w:firstLineChars="4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27</w:t>
      </w:r>
      <w:r>
        <w:rPr>
          <w:rFonts w:hint="default" w:ascii="Times New Roman" w:hAnsi="Times New Roman" w:eastAsia="仿宋_GB2312" w:cs="Times New Roman"/>
          <w:kern w:val="0"/>
          <w:sz w:val="36"/>
          <w:szCs w:val="36"/>
          <w:highlight w:val="none"/>
        </w:rPr>
        <w:t>日</w:t>
      </w:r>
    </w:p>
    <w:p>
      <w:pPr>
        <w:keepNext w:val="0"/>
        <w:keepLines w:val="0"/>
        <w:pageBreakBefore w:val="0"/>
        <w:kinsoku/>
        <w:wordWrap w:val="0"/>
        <w:overflowPunct/>
        <w:topLinePunct/>
        <w:autoSpaceDE/>
        <w:autoSpaceDN/>
        <w:bidi w:val="0"/>
        <w:adjustRightInd/>
        <w:snapToGrid/>
        <w:spacing w:line="560" w:lineRule="exact"/>
        <w:textAlignment w:val="auto"/>
        <w:rPr>
          <w:rFonts w:hint="default" w:ascii="Times New Roman" w:hAnsi="Times New Roman" w:eastAsia="黑体" w:cs="Times New Roman"/>
          <w:bCs/>
          <w:sz w:val="32"/>
          <w:szCs w:val="32"/>
          <w:highlight w:val="none"/>
        </w:rPr>
        <w:sectPr>
          <w:pgSz w:w="11906" w:h="16838"/>
          <w:pgMar w:top="2098" w:right="1531" w:bottom="1984" w:left="1531" w:header="851" w:footer="992" w:gutter="0"/>
          <w:cols w:space="425" w:num="1"/>
          <w:docGrid w:type="lines" w:linePitch="312" w:charSpace="0"/>
        </w:sectPr>
      </w:pP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（一）项目概况</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lang w:val="en-US" w:eastAsia="zh-CN"/>
        </w:rPr>
        <w:t>项目主要内容</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主要内容：2024年，</w:t>
      </w:r>
      <w:r>
        <w:rPr>
          <w:rFonts w:hint="eastAsia" w:eastAsia="仿宋_GB2312" w:cs="Times New Roman"/>
          <w:sz w:val="32"/>
          <w:szCs w:val="32"/>
          <w:lang w:val="en-US" w:eastAsia="zh-CN"/>
        </w:rPr>
        <w:t>我院公共卫生服务项目主要有</w:t>
      </w:r>
      <w:r>
        <w:rPr>
          <w:rFonts w:hint="default" w:ascii="Times New Roman" w:hAnsi="Times New Roman" w:eastAsia="仿宋_GB2312" w:cs="Times New Roman"/>
          <w:sz w:val="32"/>
          <w:szCs w:val="32"/>
          <w:lang w:val="en-US" w:eastAsia="zh-CN"/>
        </w:rPr>
        <w:t>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w:t>
      </w:r>
      <w:r>
        <w:rPr>
          <w:rFonts w:hint="eastAsia" w:eastAsia="仿宋_GB2312" w:cs="Times New Roman"/>
          <w:sz w:val="32"/>
          <w:szCs w:val="32"/>
          <w:lang w:val="en-US" w:eastAsia="zh-CN"/>
        </w:rPr>
        <w:t>。</w:t>
      </w:r>
    </w:p>
    <w:p>
      <w:pPr>
        <w:spacing w:line="560" w:lineRule="exact"/>
        <w:ind w:firstLine="640" w:firstLineChars="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实施情况：截至2024年12月31日</w:t>
      </w:r>
      <w:r>
        <w:rPr>
          <w:rFonts w:hint="eastAsia" w:eastAsia="仿宋_GB2312" w:cs="Times New Roman"/>
          <w:sz w:val="32"/>
          <w:szCs w:val="32"/>
          <w:lang w:eastAsia="zh-CN"/>
        </w:rPr>
        <w:t>，</w:t>
      </w:r>
      <w:r>
        <w:rPr>
          <w:rFonts w:hint="eastAsia" w:eastAsia="仿宋_GB2312" w:cs="Times New Roman"/>
          <w:sz w:val="32"/>
          <w:szCs w:val="32"/>
          <w:lang w:val="en-US" w:eastAsia="zh-CN"/>
        </w:rPr>
        <w:t>我院居民电子健康档案建档人数初预算服务人数为7493人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年末实际管理人数为6120人，使用率为71.63%；高血压患者年初预算管理人数为977人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年末实际管理人数为918人，管理率81.92%；2型糖尿病患者年初预算管理人数为327人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年末实际管理人数为310人，管理率83.87%；老年人中医药健康管理人数年初预算管理人数为1114人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年末实际管理人数为994人，管理率82.15%；7岁以下儿童健康管理人数年初预算管理人数82人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年末实际管理人数为65人，管理率93.85%；</w:t>
      </w:r>
      <w:r>
        <w:rPr>
          <w:rFonts w:hint="eastAsia" w:eastAsia="仿宋_GB2312" w:cs="Times New Roman"/>
          <w:sz w:val="32"/>
          <w:szCs w:val="32"/>
          <w:lang w:val="en-US" w:eastAsia="zh-CN"/>
        </w:rPr>
        <w:tab/>
      </w:r>
      <w:r>
        <w:rPr>
          <w:rFonts w:hint="eastAsia" w:eastAsia="仿宋_GB2312" w:cs="Times New Roman"/>
          <w:sz w:val="32"/>
          <w:szCs w:val="32"/>
          <w:lang w:val="en-US" w:eastAsia="zh-CN"/>
        </w:rPr>
        <w:t>孕产妇年初预算管理人数为8人</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年末实际管理人数为7人，管理率87.5%。</w:t>
      </w:r>
      <w:r>
        <w:rPr>
          <w:rFonts w:hint="eastAsia" w:ascii="Times New Roman" w:hAnsi="Times New Roman" w:eastAsia="仿宋_GB2312" w:cs="Times New Roman"/>
          <w:sz w:val="32"/>
          <w:szCs w:val="32"/>
          <w:lang w:val="en-US" w:eastAsia="zh-CN"/>
        </w:rPr>
        <w:t>资金拨付率达到100%，资金发放准确率100%，有效</w:t>
      </w:r>
      <w:r>
        <w:rPr>
          <w:rFonts w:hint="eastAsia" w:eastAsia="仿宋_GB2312" w:cs="Times New Roman"/>
          <w:sz w:val="32"/>
          <w:szCs w:val="32"/>
          <w:lang w:val="en-US" w:eastAsia="zh-CN"/>
        </w:rPr>
        <w:t>提升</w:t>
      </w:r>
      <w:r>
        <w:rPr>
          <w:rFonts w:hint="eastAsia" w:ascii="Times New Roman" w:hAnsi="Times New Roman" w:eastAsia="仿宋_GB2312" w:cs="Times New Roman"/>
          <w:sz w:val="32"/>
          <w:szCs w:val="32"/>
          <w:lang w:val="en-US" w:eastAsia="zh-CN"/>
        </w:rPr>
        <w:t>基本公共卫生服务能力，促进了我院公共卫生事业发展。</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70</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年中追加资金28.81万元，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98.81</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仿宋_GB2312" w:hAnsi="仿宋_GB2312" w:eastAsia="仿宋_GB2312" w:cs="仿宋_GB2312"/>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70</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年中追加资金28.81万元，</w:t>
      </w:r>
      <w:r>
        <w:rPr>
          <w:rFonts w:hint="default" w:ascii="Times New Roman" w:hAnsi="Times New Roman" w:eastAsia="仿宋_GB2312" w:cs="Times New Roman"/>
          <w:sz w:val="32"/>
          <w:szCs w:val="32"/>
          <w:highlight w:val="none"/>
          <w:lang w:val="en-US" w:eastAsia="zh-CN"/>
        </w:rPr>
        <w:t>全年预算数</w:t>
      </w:r>
      <w:r>
        <w:rPr>
          <w:rFonts w:hint="eastAsia" w:eastAsia="仿宋_GB2312" w:cs="Times New Roman"/>
          <w:sz w:val="32"/>
          <w:szCs w:val="32"/>
          <w:highlight w:val="none"/>
          <w:lang w:val="en-US" w:eastAsia="zh-CN"/>
        </w:rPr>
        <w:t>98.81</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98.81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基本公卫的宣传、检查、试剂耗材等费用，</w:t>
      </w:r>
      <w:r>
        <w:rPr>
          <w:rFonts w:hint="default" w:ascii="Times New Roman" w:hAnsi="Times New Roman" w:eastAsia="仿宋_GB2312" w:cs="Times New Roman"/>
          <w:sz w:val="32"/>
          <w:szCs w:val="32"/>
          <w:highlight w:val="none"/>
          <w:lang w:val="en-US" w:eastAsia="zh-CN"/>
        </w:rPr>
        <w:t>提高妇女儿童健康水平，推进基本公共卫生服务项目惠民政策的规范实施，提升基本公共卫生服务水平</w:t>
      </w:r>
      <w:r>
        <w:rPr>
          <w:rFonts w:hint="eastAsia" w:eastAsia="仿宋_GB2312" w:cs="Times New Roman"/>
          <w:sz w:val="32"/>
          <w:szCs w:val="32"/>
          <w:highlight w:val="none"/>
          <w:lang w:val="en-US" w:eastAsia="zh-CN"/>
        </w:rPr>
        <w:t>与能力</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总体目标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宋体" w:hAnsi="宋体" w:eastAsia="宋体" w:cs="宋体"/>
          <w:i w:val="0"/>
          <w:caps w:val="0"/>
          <w:color w:val="333333"/>
          <w:spacing w:val="0"/>
          <w:sz w:val="21"/>
          <w:szCs w:val="21"/>
          <w:shd w:val="clear" w:fill="FFFFFF"/>
        </w:rPr>
      </w:pPr>
      <w:r>
        <w:rPr>
          <w:rFonts w:hint="eastAsia" w:ascii="Times New Roman" w:hAnsi="Times New Roman" w:eastAsia="仿宋_GB2312" w:cs="Times New Roman"/>
          <w:sz w:val="32"/>
          <w:szCs w:val="32"/>
          <w:highlight w:val="none"/>
          <w:lang w:val="en-US" w:eastAsia="zh-CN"/>
        </w:rPr>
        <w:t>免费向城乡居民提供基本公共卫生服务，居民电子健康档案建人数7493人 ,7岁以下儿童健康管理人数82人，孕产妇系统管理人数8人，以提高居民健康水平为落脚点，全面推进基本公共卫生服务项目惠民政策的规范实施。城乡居民公共卫生差距不断缩小，基本公共卫生服务水平不断提高</w:t>
      </w:r>
      <w:r>
        <w:rPr>
          <w:rFonts w:hint="eastAsia" w:ascii="宋体" w:hAnsi="宋体" w:eastAsia="宋体" w:cs="宋体"/>
          <w:i w:val="0"/>
          <w:caps w:val="0"/>
          <w:color w:val="333333"/>
          <w:spacing w:val="0"/>
          <w:sz w:val="21"/>
          <w:szCs w:val="21"/>
          <w:shd w:val="clear" w:fill="FFFFFF"/>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2.阶段性目标</w:t>
      </w:r>
    </w:p>
    <w:p>
      <w:pPr>
        <w:numPr>
          <w:ilvl w:val="0"/>
          <w:numId w:val="0"/>
        </w:numPr>
        <w:spacing w:line="560" w:lineRule="exact"/>
        <w:ind w:firstLine="640" w:firstLineChars="200"/>
        <w:rPr>
          <w:rFonts w:hint="default" w:ascii="Times New Roman" w:hAnsi="Times New Roman" w:eastAsia="黑体" w:cs="Times New Roman"/>
          <w:b w:val="0"/>
          <w:bCs/>
          <w:lang w:val="en-US" w:eastAsia="zh-CN"/>
        </w:rPr>
      </w:pPr>
      <w:r>
        <w:rPr>
          <w:rFonts w:hint="eastAsia" w:ascii="Times New Roman" w:hAnsi="Times New Roman" w:eastAsia="仿宋_GB2312" w:cs="Times New Roman"/>
          <w:sz w:val="32"/>
          <w:szCs w:val="32"/>
          <w:highlight w:val="none"/>
          <w:lang w:val="en-US" w:eastAsia="zh-CN"/>
        </w:rPr>
        <w:t>截止2024年12月31日，我单位建立居民电子健康档案6120人次，管理率达到80.29%，管理7岁以下儿童65人次，完成率：93.84%，同时管理孕产妇7人，完成率87.5%，高血压管理918人，管理率达到了81.92%，糖尿病管理310人，管理率达到了83.87%老年人中医药管理994人，管理率82.15%，通过提升管理能力，为我辖区的居民提供了健康的保障，同时城乡居民公共卫生差距不断地缩小</w:t>
      </w:r>
      <w:r>
        <w:rPr>
          <w:rFonts w:hint="eastAsia"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eastAsia="仿宋_GB2312" w:cs="Times New Roman"/>
          <w:sz w:val="32"/>
          <w:szCs w:val="32"/>
          <w:highlight w:val="none"/>
          <w:lang w:val="en-US" w:eastAsia="zh-CN"/>
        </w:rPr>
        <w:t>产出指标，成本指标，效益指标，满意度指标</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在未来的工作中，我们将继续完善绩效评价体系，不断提升评价工作的质量和水平，以更好地服务于项目的管理和优化。</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评估政策成效：</w:t>
      </w:r>
      <w:r>
        <w:rPr>
          <w:rFonts w:hint="default" w:ascii="Times New Roman" w:hAnsi="Times New Roman" w:eastAsia="仿宋_GB2312" w:cs="Times New Roman"/>
          <w:sz w:val="32"/>
          <w:szCs w:val="32"/>
          <w:highlight w:val="none"/>
        </w:rPr>
        <w:t>通过对项目预算执行情况及各项绩效目标达成程度的分析，全面、客观地评估项目在预定周期内的实施效果，包括</w:t>
      </w:r>
      <w:r>
        <w:rPr>
          <w:rFonts w:hint="eastAsia" w:eastAsia="仿宋_GB2312" w:cs="Times New Roman"/>
          <w:sz w:val="32"/>
          <w:szCs w:val="32"/>
          <w:highlight w:val="none"/>
          <w:lang w:val="en-US" w:eastAsia="zh-CN"/>
        </w:rPr>
        <w:t>产出指标，成本指标，效益指标，满意度指标</w:t>
      </w:r>
      <w:r>
        <w:rPr>
          <w:rFonts w:hint="default"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rPr>
        <w:t>，为项目后续的改进与优化提供科学依据。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）强化项目管理责任</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宋体" w:cs="Times New Roman"/>
          <w:sz w:val="32"/>
          <w:szCs w:val="32"/>
          <w:highlight w:val="none"/>
          <w:lang w:eastAsia="zh-CN"/>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rPr>
        <w:t>绩效评价的对象</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仿宋" w:hAnsi="仿宋" w:eastAsia="仿宋" w:cs="仿宋"/>
          <w:sz w:val="32"/>
          <w:szCs w:val="32"/>
        </w:rPr>
        <w:t>本项目预算绩效评价报告的评价对象是</w:t>
      </w:r>
      <w:r>
        <w:rPr>
          <w:rFonts w:hint="eastAsia" w:ascii="仿宋" w:hAnsi="仿宋" w:eastAsia="仿宋" w:cs="仿宋"/>
          <w:kern w:val="0"/>
          <w:sz w:val="32"/>
          <w:szCs w:val="32"/>
          <w:highlight w:val="none"/>
        </w:rPr>
        <w:t>2024年基本公共卫生服务补助</w:t>
      </w:r>
      <w:r>
        <w:rPr>
          <w:rFonts w:hint="default" w:ascii="Times New Roman" w:hAnsi="Times New Roman" w:eastAsia="仿宋_GB2312" w:cs="Times New Roman"/>
          <w:sz w:val="32"/>
          <w:szCs w:val="32"/>
        </w:rPr>
        <w:t>预算的投资及其预算执行情况。该项目由</w:t>
      </w:r>
      <w:r>
        <w:rPr>
          <w:rFonts w:hint="default" w:ascii="Times New Roman" w:hAnsi="Times New Roman" w:eastAsia="仿宋_GB2312" w:cs="Times New Roman"/>
          <w:sz w:val="32"/>
          <w:szCs w:val="32"/>
          <w:lang w:val="en-US" w:eastAsia="zh-CN"/>
        </w:rPr>
        <w:t>奇台县</w:t>
      </w:r>
      <w:r>
        <w:rPr>
          <w:rFonts w:hint="eastAsia" w:eastAsia="仿宋_GB2312" w:cs="Times New Roman"/>
          <w:sz w:val="32"/>
          <w:szCs w:val="32"/>
          <w:lang w:val="en-US" w:eastAsia="zh-CN"/>
        </w:rPr>
        <w:t>老奇台镇卫生院</w:t>
      </w:r>
      <w:r>
        <w:rPr>
          <w:rFonts w:hint="default" w:ascii="Times New Roman" w:hAnsi="Times New Roman" w:eastAsia="仿宋_GB2312" w:cs="Times New Roman"/>
          <w:sz w:val="32"/>
          <w:szCs w:val="32"/>
        </w:rPr>
        <w:t>负责实施，旨在</w:t>
      </w:r>
      <w:r>
        <w:rPr>
          <w:rFonts w:hint="default" w:ascii="Times New Roman" w:hAnsi="Times New Roman" w:eastAsia="仿宋_GB2312" w:cs="Times New Roman"/>
          <w:sz w:val="32"/>
          <w:szCs w:val="32"/>
          <w:lang w:val="en-US" w:eastAsia="zh-CN"/>
        </w:rPr>
        <w:t>2024年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项目预算涵盖从2024年1月1日至2024年12月31日的全部资金</w:t>
      </w:r>
      <w:r>
        <w:rPr>
          <w:rFonts w:hint="default" w:ascii="Times New Roman" w:hAnsi="Times New Roman" w:eastAsia="仿宋_GB2312" w:cs="Times New Roman"/>
          <w:sz w:val="32"/>
          <w:szCs w:val="32"/>
        </w:rPr>
        <w:t>投入与支出，涉及资金总额</w:t>
      </w:r>
      <w:r>
        <w:rPr>
          <w:rFonts w:hint="default" w:ascii="Times New Roman" w:hAnsi="Times New Roman" w:eastAsia="仿宋_GB2312" w:cs="Times New Roman"/>
          <w:sz w:val="32"/>
          <w:szCs w:val="32"/>
          <w:lang w:val="en-US" w:eastAsia="zh-CN"/>
        </w:rPr>
        <w:t>为</w:t>
      </w:r>
      <w:r>
        <w:rPr>
          <w:rFonts w:hint="eastAsia" w:eastAsia="仿宋_GB2312" w:cs="Times New Roman"/>
          <w:sz w:val="32"/>
          <w:szCs w:val="32"/>
          <w:lang w:val="en-US" w:eastAsia="zh-CN"/>
        </w:rPr>
        <w:t>98.81</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rPr>
        <w:t>绩效评价的范围</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（二）绩效评价原则、评价指标体系（详情见表1）、评价方法、评价标准。</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绩效评价原则</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本次项目绩效评价遵循以下基本原则：</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（1）科学公正。绩效评价应当运用科学合理的方法，按照规范的程序，对项目绩效进行客观、公正的反映。</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（3）激励约束。绩效评价结果应与预算安排、政策调整、改进管理实质性挂钩，体现奖优罚劣和激励相容导向，有效要安排、低效要压减、无效要问责。</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（4）公开透明。绩效评价结果应依法依规公开，并自觉接受社会监督。</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评价指标体系</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（1）确定评价指标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（2）确定权重</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确定各个指标相对于项目总体绩效的权重分值。在绩效评价指标体系中，</w:t>
      </w:r>
      <w:r>
        <w:rPr>
          <w:rFonts w:hint="default" w:ascii="Times New Roman" w:hAnsi="Times New Roman" w:eastAsia="仿宋_GB2312" w:cs="Times New Roman"/>
          <w:sz w:val="32"/>
          <w:szCs w:val="32"/>
          <w:lang w:val="en-US" w:eastAsia="zh-CN"/>
        </w:rPr>
        <w:t>项目决策权重20分，项目过程</w:t>
      </w:r>
      <w:r>
        <w:rPr>
          <w:rFonts w:hint="default" w:ascii="Times New Roman" w:hAnsi="Times New Roman" w:eastAsia="仿宋_GB2312" w:cs="Times New Roman"/>
          <w:sz w:val="32"/>
          <w:szCs w:val="32"/>
        </w:rPr>
        <w:t>权重为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w:t>
      </w:r>
      <w:r>
        <w:rPr>
          <w:rFonts w:hint="default" w:ascii="Times New Roman" w:hAnsi="Times New Roman" w:eastAsia="仿宋_GB2312" w:cs="Times New Roman"/>
          <w:sz w:val="32"/>
          <w:szCs w:val="32"/>
          <w:lang w:val="en-US" w:eastAsia="zh-CN"/>
        </w:rPr>
        <w:t>项目产出权重为40分，</w:t>
      </w:r>
      <w:r>
        <w:rPr>
          <w:rFonts w:hint="default" w:ascii="Times New Roman" w:hAnsi="Times New Roman" w:eastAsia="仿宋_GB2312" w:cs="Times New Roman"/>
          <w:sz w:val="32"/>
          <w:szCs w:val="32"/>
        </w:rPr>
        <w:t>项目效益权重为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（3）确定指标标准值</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绩效评价总分值100分，根据综合评分结果，90（含）-100分为优、80（含）-90分为良、60（含）-80分为中、60分以下为差。</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）其他评价方法。</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评价标准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sz w:val="32"/>
          <w:szCs w:val="32"/>
          <w:lang w:val="en-US" w:eastAsia="zh-CN"/>
        </w:rPr>
        <w:t>计划标准</w:t>
      </w:r>
      <w:r>
        <w:rPr>
          <w:rFonts w:hint="default" w:ascii="Times New Roman" w:hAnsi="Times New Roman" w:eastAsia="仿宋_GB2312" w:cs="Times New Roman"/>
          <w:sz w:val="32"/>
          <w:szCs w:val="32"/>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（三）绩效评价工作过程</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t>1.前期准备阶段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w:t>
      </w:r>
      <w:r>
        <w:rPr>
          <w:rFonts w:hint="eastAsia" w:eastAsia="仿宋_GB2312" w:cs="Times New Roman"/>
          <w:sz w:val="32"/>
          <w:szCs w:val="32"/>
          <w:highlight w:val="none"/>
          <w:lang w:val="en-US" w:eastAsia="zh-CN"/>
        </w:rPr>
        <w:t>院</w:t>
      </w:r>
      <w:r>
        <w:rPr>
          <w:rFonts w:hint="eastAsia" w:eastAsia="仿宋_GB2312" w:cs="Times New Roman"/>
          <w:sz w:val="32"/>
          <w:szCs w:val="32"/>
          <w:highlight w:val="none"/>
          <w:lang w:eastAsia="zh-CN"/>
        </w:rPr>
        <w:t>长</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各科室</w:t>
      </w:r>
      <w:r>
        <w:rPr>
          <w:rFonts w:hint="eastAsia" w:eastAsia="仿宋_GB2312" w:cs="Times New Roman"/>
          <w:sz w:val="32"/>
          <w:szCs w:val="32"/>
          <w:highlight w:val="none"/>
          <w:lang w:eastAsia="zh-CN"/>
        </w:rPr>
        <w:t>主任</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2.</w:t>
      </w:r>
      <w:r>
        <w:rPr>
          <w:rFonts w:hint="default" w:ascii="Times New Roman" w:hAnsi="Times New Roman" w:eastAsia="仿宋_GB2312" w:cs="Times New Roman"/>
          <w:b/>
          <w:bCs/>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3.</w:t>
      </w:r>
      <w:r>
        <w:rPr>
          <w:rFonts w:hint="default" w:ascii="Times New Roman" w:hAnsi="Times New Roman" w:eastAsia="仿宋_GB2312" w:cs="Times New Roman"/>
          <w:b/>
          <w:bCs/>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w:t>
      </w:r>
      <w:r>
        <w:rPr>
          <w:rFonts w:hint="eastAsia" w:eastAsia="仿宋_GB2312" w:cs="Times New Roman"/>
          <w:sz w:val="32"/>
          <w:szCs w:val="32"/>
          <w:highlight w:val="none"/>
          <w:lang w:eastAsia="zh-CN"/>
        </w:rPr>
        <w:t>各类支出票据</w:t>
      </w:r>
      <w:r>
        <w:rPr>
          <w:rFonts w:hint="default" w:ascii="Times New Roman" w:hAnsi="Times New Roman" w:eastAsia="仿宋_GB2312" w:cs="Times New Roman"/>
          <w:sz w:val="32"/>
          <w:szCs w:val="32"/>
          <w:highlight w:val="none"/>
          <w:lang w:eastAsia="zh-CN"/>
        </w:rPr>
        <w:t>等。在数据收集过程中，注重数据的质量与完整性，为后续的数据分析提供了有力支持。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4.</w:t>
      </w:r>
      <w:r>
        <w:rPr>
          <w:rFonts w:hint="default" w:ascii="Times New Roman" w:hAnsi="Times New Roman" w:eastAsia="仿宋_GB2312" w:cs="Times New Roman"/>
          <w:b/>
          <w:bCs/>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5.</w:t>
      </w:r>
      <w:r>
        <w:rPr>
          <w:rFonts w:hint="default" w:ascii="Times New Roman" w:hAnsi="Times New Roman" w:eastAsia="仿宋_GB2312" w:cs="Times New Roman"/>
          <w:b/>
          <w:bCs/>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highlight w:val="none"/>
          <w:lang w:eastAsia="zh-CN"/>
        </w:rPr>
      </w:pPr>
      <w:r>
        <w:rPr>
          <w:rFonts w:hint="eastAsia" w:eastAsia="仿宋_GB2312" w:cs="Times New Roman"/>
          <w:b/>
          <w:bCs/>
          <w:sz w:val="32"/>
          <w:szCs w:val="32"/>
          <w:highlight w:val="none"/>
          <w:lang w:val="en-US" w:eastAsia="zh-CN"/>
        </w:rPr>
        <w:t>6.</w:t>
      </w:r>
      <w:r>
        <w:rPr>
          <w:rFonts w:hint="default" w:ascii="Times New Roman" w:hAnsi="Times New Roman" w:eastAsia="仿宋_GB2312" w:cs="Times New Roman"/>
          <w:b/>
          <w:bCs/>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综合评价情况及评价结论（附相关评分表）</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评价情况</w:t>
      </w:r>
    </w:p>
    <w:p>
      <w:pP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2024年中央基本公共卫生服务补助（昌州财社【2023】104号）</w:t>
      </w:r>
      <w:r>
        <w:rPr>
          <w:rFonts w:hint="eastAsia" w:eastAsia="仿宋_GB2312" w:cs="Times New Roman"/>
          <w:sz w:val="32"/>
          <w:szCs w:val="32"/>
          <w:highlight w:val="none"/>
          <w:lang w:eastAsia="zh-CN"/>
        </w:rPr>
        <w:t>预算的投资在</w:t>
      </w:r>
      <w:r>
        <w:rPr>
          <w:rFonts w:hint="eastAsia" w:eastAsia="仿宋_GB2312" w:cs="Times New Roman"/>
          <w:sz w:val="32"/>
          <w:szCs w:val="32"/>
          <w:highlight w:val="none"/>
          <w:u w:val="none"/>
          <w:lang w:val="en-US" w:eastAsia="zh-CN"/>
        </w:rPr>
        <w:t>7岁以下儿童健康管理人数、孕产妇系统管理人数、2型糖尿病患者管理人数、老年人中医药健康管理人数、居民电子健康档案使用率、孕产妇系统管理率、2型糖尿病患者管理率、老年人中医药健康管理率</w:t>
      </w:r>
      <w:r>
        <w:rPr>
          <w:rFonts w:hint="eastAsia" w:eastAsia="仿宋_GB2312" w:cs="Times New Roman"/>
          <w:sz w:val="32"/>
          <w:szCs w:val="32"/>
          <w:highlight w:val="none"/>
          <w:lang w:eastAsia="zh-CN"/>
        </w:rPr>
        <w:t>指标等方面表现出色，达到了预期的标准与要求。</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奇台县老奇台镇中心卫生院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eastAsia="仿宋_GB2312" w:cs="Times New Roman"/>
          <w:sz w:val="32"/>
          <w:szCs w:val="32"/>
          <w:highlight w:val="none"/>
          <w:lang w:eastAsia="zh-CN"/>
        </w:rPr>
        <w:t>居民健康基本公共卫生服务水平</w:t>
      </w:r>
      <w:r>
        <w:rPr>
          <w:rFonts w:hint="default" w:ascii="Times New Roman" w:hAnsi="Times New Roman" w:eastAsia="仿宋_GB2312" w:cs="Times New Roman"/>
          <w:sz w:val="32"/>
          <w:szCs w:val="32"/>
          <w:highlight w:val="none"/>
        </w:rPr>
        <w:t>等方面的提升，为项目的利益相关者带来了实实在在的利益。</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t>综上所述，2024年中央基本公共卫生服务补助（昌州财社【2023】104号）在绩效评价中表现出色，达到了项目的预期目标，并在多个方面取得了显著的成效。</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评价结论</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eastAsia="仿宋_GB2312" w:cs="Times New Roman"/>
          <w:sz w:val="32"/>
          <w:szCs w:val="32"/>
          <w:lang w:val="en-US" w:eastAsia="zh-CN"/>
        </w:rPr>
        <w:t>98.5</w:t>
      </w:r>
      <w:r>
        <w:rPr>
          <w:rFonts w:hint="default" w:ascii="Times New Roman" w:hAnsi="Times New Roman" w:eastAsia="仿宋_GB2312" w:cs="Times New Roman"/>
          <w:sz w:val="32"/>
          <w:szCs w:val="32"/>
        </w:rPr>
        <w:t>分，属于</w:t>
      </w:r>
      <w:r>
        <w:rPr>
          <w:rFonts w:hint="eastAsia" w:eastAsia="仿宋_GB2312" w:cs="Times New Roman"/>
          <w:sz w:val="32"/>
          <w:szCs w:val="32"/>
          <w:lang w:eastAsia="zh-CN"/>
        </w:rPr>
        <w:t>良好</w:t>
      </w:r>
      <w:r>
        <w:rPr>
          <w:rFonts w:hint="default" w:ascii="Times New Roman" w:hAnsi="Times New Roman" w:eastAsia="仿宋_GB2312" w:cs="Times New Roman"/>
          <w:sz w:val="32"/>
          <w:szCs w:val="32"/>
        </w:rPr>
        <w:t>。其中，项目决策类指标权重为</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rPr>
        <w:t>分，得分</w:t>
      </w:r>
      <w:r>
        <w:rPr>
          <w:rFonts w:hint="default" w:ascii="Times New Roman" w:hAnsi="Times New Roman" w:eastAsia="仿宋_GB2312" w:cs="Times New Roman"/>
          <w:sz w:val="32"/>
          <w:szCs w:val="32"/>
          <w:highlight w:val="none"/>
        </w:rPr>
        <w:t>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%。项目过程类指标权重为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%。项目产出类指标权重为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rPr>
        <w:t>分，得分为</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rPr>
        <w:t>分，得分率为</w:t>
      </w:r>
      <w:r>
        <w:rPr>
          <w:rFonts w:hint="eastAsia" w:eastAsia="仿宋_GB2312" w:cs="Times New Roman"/>
          <w:sz w:val="32"/>
          <w:szCs w:val="32"/>
          <w:highlight w:val="none"/>
          <w:lang w:val="en-US" w:eastAsia="zh-CN"/>
        </w:rPr>
        <w:t>98.5</w:t>
      </w:r>
      <w:r>
        <w:rPr>
          <w:rFonts w:hint="default" w:ascii="Times New Roman" w:hAnsi="Times New Roman" w:eastAsia="仿宋_GB2312" w:cs="Times New Roman"/>
          <w:sz w:val="32"/>
          <w:szCs w:val="32"/>
          <w:highlight w:val="none"/>
        </w:rPr>
        <w:t>%。项目效益类指标权重为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rPr>
        <w:t>分，得分率为</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具体打分情况详见：附件1综合评分表</w:t>
      </w:r>
      <w:r>
        <w:rPr>
          <w:rFonts w:hint="default" w:ascii="Times New Roman" w:hAnsi="Times New Roman" w:eastAsia="仿宋_GB2312" w:cs="Times New Roman"/>
          <w:sz w:val="32"/>
          <w:szCs w:val="32"/>
          <w:lang w:eastAsia="zh-CN"/>
        </w:rPr>
        <w:t>。</w:t>
      </w:r>
    </w:p>
    <w:p>
      <w:pPr>
        <w:pStyle w:val="13"/>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7"/>
        <w:tblW w:w="9056" w:type="dxa"/>
        <w:jc w:val="center"/>
        <w:tblInd w:w="0" w:type="dxa"/>
        <w:tblLayout w:type="fixed"/>
        <w:tblCellMar>
          <w:top w:w="0" w:type="dxa"/>
          <w:left w:w="108" w:type="dxa"/>
          <w:bottom w:w="0" w:type="dxa"/>
          <w:right w:w="108" w:type="dxa"/>
        </w:tblCellMar>
      </w:tblPr>
      <w:tblGrid>
        <w:gridCol w:w="2745"/>
        <w:gridCol w:w="2199"/>
        <w:gridCol w:w="1784"/>
        <w:gridCol w:w="2328"/>
      </w:tblGrid>
      <w:tr>
        <w:tblPrEx>
          <w:tblLayout w:type="fixed"/>
          <w:tblCellMar>
            <w:top w:w="0" w:type="dxa"/>
            <w:left w:w="108" w:type="dxa"/>
            <w:bottom w:w="0" w:type="dxa"/>
            <w:right w:w="108" w:type="dxa"/>
          </w:tblCellMar>
        </w:tblPrEx>
        <w:trPr>
          <w:trHeight w:val="90" w:hRule="atLeast"/>
          <w:tblHeader/>
          <w:jc w:val="center"/>
        </w:trPr>
        <w:tc>
          <w:tcPr>
            <w:tcW w:w="2745"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99"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1784"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32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keepNext w:val="0"/>
              <w:keepLines w:val="0"/>
              <w:pageBreakBefore w:val="0"/>
              <w:kinsoku/>
              <w:wordWrap/>
              <w:overflowPunct/>
              <w:topLinePunct w:val="0"/>
              <w:autoSpaceDE/>
              <w:autoSpaceDN/>
              <w:bidi w:val="0"/>
              <w:adjustRightInd/>
              <w:snapToGrid/>
              <w:spacing w:line="500" w:lineRule="exact"/>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489"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38.5</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b w:val="0"/>
                <w:bCs w:val="0"/>
                <w:color w:val="auto"/>
                <w:highlight w:val="none"/>
                <w:lang w:val="en-US" w:eastAsia="zh-CN"/>
              </w:rPr>
              <w:t>98.5</w:t>
            </w:r>
            <w:r>
              <w:rPr>
                <w:rFonts w:hint="default" w:ascii="Times New Roman" w:hAnsi="Times New Roman" w:eastAsia="仿宋_GB2312" w:cs="Times New Roman"/>
                <w:b w:val="0"/>
                <w:bCs w:val="0"/>
                <w:color w:val="auto"/>
                <w:highlight w:val="none"/>
              </w:rPr>
              <w:t>%</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9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bookmarkStart w:id="2" w:name="_GoBack"/>
            <w:bookmarkEnd w:id="2"/>
          </w:p>
        </w:tc>
        <w:tc>
          <w:tcPr>
            <w:tcW w:w="1784"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98.5</w:t>
            </w:r>
          </w:p>
        </w:tc>
        <w:tc>
          <w:tcPr>
            <w:tcW w:w="232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rPr>
                <w:rFonts w:hint="default" w:ascii="Times New Roman" w:hAnsi="Times New Roman" w:eastAsia="仿宋_GB2312" w:cs="Times New Roman"/>
                <w:b/>
                <w:bCs/>
                <w:color w:val="000000"/>
                <w:sz w:val="21"/>
                <w:szCs w:val="21"/>
                <w:highlight w:val="none"/>
                <w:lang w:val="en-US"/>
              </w:rPr>
            </w:pPr>
            <w:r>
              <w:rPr>
                <w:rFonts w:hint="eastAsia" w:eastAsia="仿宋_GB2312" w:cs="Times New Roman"/>
                <w:b/>
                <w:bCs/>
                <w:color w:val="000000"/>
                <w:sz w:val="21"/>
                <w:szCs w:val="21"/>
                <w:highlight w:val="none"/>
                <w:lang w:val="en-US" w:eastAsia="zh-CN"/>
              </w:rPr>
              <w:t>98.5%</w:t>
            </w:r>
          </w:p>
        </w:tc>
      </w:tr>
    </w:tbl>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（一）项目决策情况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项目决策类指标包括项目立项、绩效目标和资金投入三方面的内容，由6个三级指标构成，权重分值为20分，实际得分20分，得分率为100%。</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卫生院实际情况制定</w:t>
      </w:r>
      <w:r>
        <w:rPr>
          <w:rFonts w:hint="default" w:ascii="Times New Roman" w:hAnsi="Times New Roman" w:eastAsia="仿宋_GB2312" w:cs="Times New Roman"/>
          <w:sz w:val="32"/>
          <w:szCs w:val="32"/>
          <w:lang w:val="en-US" w:eastAsia="zh-CN"/>
        </w:rPr>
        <w:t>工作计划和经费预算，经过与部门项目分管领导沟通、筛选确定经费预算计划，确定最终预算方案。项目的审批文件、材料符合相关要求，项目事前经过必要的</w:t>
      </w:r>
      <w:r>
        <w:rPr>
          <w:rFonts w:hint="default" w:ascii="Times New Roman" w:hAnsi="Times New Roman" w:eastAsia="仿宋_GB2312" w:cs="Times New Roman"/>
          <w:sz w:val="32"/>
          <w:szCs w:val="32"/>
          <w:highlight w:val="none"/>
          <w:lang w:val="en-US" w:eastAsia="zh-CN"/>
        </w:rPr>
        <w:t>集体决策</w:t>
      </w:r>
      <w:r>
        <w:rPr>
          <w:rFonts w:hint="default" w:ascii="Times New Roman" w:hAnsi="Times New Roman" w:eastAsia="仿宋_GB2312" w:cs="Times New Roman"/>
          <w:sz w:val="32"/>
          <w:szCs w:val="32"/>
          <w:lang w:val="en-US" w:eastAsia="zh-CN"/>
        </w:rPr>
        <w:t>，保障了程序的规范性。</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在预算编制过程中，</w:t>
      </w:r>
      <w:r>
        <w:rPr>
          <w:rFonts w:hint="default" w:ascii="Times New Roman" w:hAnsi="Times New Roman" w:eastAsia="仿宋_GB2312" w:cs="Times New Roman"/>
          <w:sz w:val="32"/>
          <w:szCs w:val="32"/>
          <w:lang w:val="en-US" w:eastAsia="zh-CN"/>
        </w:rPr>
        <w:t>还</w:t>
      </w:r>
      <w:r>
        <w:rPr>
          <w:rFonts w:hint="default" w:ascii="Times New Roman" w:hAnsi="Times New Roman" w:eastAsia="仿宋_GB2312" w:cs="Times New Roman"/>
          <w:sz w:val="32"/>
          <w:szCs w:val="32"/>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default" w:ascii="楷体" w:hAnsi="楷体" w:eastAsia="楷体" w:cs="楷体"/>
          <w:b/>
          <w:bCs/>
          <w:sz w:val="32"/>
          <w:szCs w:val="32"/>
        </w:rPr>
        <w:t>项目过程情况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w:t>
      </w:r>
      <w:r>
        <w:rPr>
          <w:rFonts w:hint="default" w:ascii="Times New Roman" w:hAnsi="Times New Roman" w:eastAsia="仿宋_GB2312" w:cs="Times New Roman"/>
          <w:sz w:val="32"/>
          <w:szCs w:val="32"/>
          <w:highlight w:val="none"/>
          <w:lang w:val="en-US" w:eastAsia="zh-CN"/>
        </w:rPr>
        <w:t>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eastAsia="仿宋_GB2312" w:cs="Times New Roman"/>
          <w:sz w:val="32"/>
          <w:szCs w:val="32"/>
          <w:lang w:val="en-US" w:eastAsia="zh-CN"/>
        </w:rPr>
        <w:t>98.81</w:t>
      </w:r>
      <w:r>
        <w:rPr>
          <w:rFonts w:hint="default" w:ascii="Times New Roman" w:hAnsi="Times New Roman" w:eastAsia="仿宋_GB2312" w:cs="Times New Roman"/>
          <w:sz w:val="32"/>
          <w:szCs w:val="32"/>
          <w:lang w:val="en-US" w:eastAsia="zh-CN"/>
        </w:rPr>
        <w:t>万元，财政资金及时足额到位，到位率</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eastAsia="仿宋_GB2312" w:cs="Times New Roman"/>
          <w:sz w:val="32"/>
          <w:szCs w:val="32"/>
          <w:lang w:val="en-US" w:eastAsia="zh-CN"/>
        </w:rPr>
        <w:t>98.81万元</w:t>
      </w:r>
      <w:r>
        <w:rPr>
          <w:rFonts w:hint="default" w:ascii="Times New Roman" w:hAnsi="Times New Roman" w:eastAsia="仿宋_GB2312" w:cs="Times New Roman"/>
          <w:sz w:val="32"/>
          <w:szCs w:val="32"/>
          <w:lang w:val="en-US" w:eastAsia="zh-CN"/>
        </w:rPr>
        <w:t>，预算执行率为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cs="Times New Roman"/>
          <w:sz w:val="32"/>
          <w:szCs w:val="32"/>
          <w:highlight w:val="none"/>
          <w:lang w:eastAsia="zh-CN"/>
        </w:rPr>
        <w:t>依据《国家基本公共卫生服务规范（第三版）》</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根据</w:t>
      </w:r>
      <w:r>
        <w:rPr>
          <w:rFonts w:hint="eastAsia" w:eastAsia="仿宋_GB2312" w:cs="Times New Roman"/>
          <w:sz w:val="32"/>
          <w:szCs w:val="32"/>
          <w:highlight w:val="none"/>
          <w:lang w:eastAsia="zh-CN"/>
        </w:rPr>
        <w:t>《国家基本公共卫生服务规范（第三版）》</w:t>
      </w:r>
      <w:r>
        <w:rPr>
          <w:rFonts w:hint="default" w:ascii="Times New Roman" w:hAnsi="Times New Roman" w:eastAsia="仿宋_GB2312" w:cs="Times New Roman"/>
          <w:sz w:val="32"/>
          <w:szCs w:val="32"/>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在制度设计上，我们注重了制度的科学性与可操作性，确保制度能够切实指导项目的执行与管理。</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三</w:t>
      </w: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rPr>
        <w:t>项目产出</w:t>
      </w:r>
      <w:r>
        <w:rPr>
          <w:rFonts w:hint="default" w:ascii="Times New Roman" w:hAnsi="Times New Roman" w:eastAsia="楷体" w:cs="Times New Roman"/>
          <w:b/>
          <w:bCs/>
          <w:sz w:val="32"/>
          <w:szCs w:val="32"/>
          <w:lang w:val="en-US" w:eastAsia="zh-CN"/>
        </w:rPr>
        <w:t>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w:t>
      </w:r>
      <w:r>
        <w:rPr>
          <w:rFonts w:hint="eastAsia" w:eastAsia="仿宋_GB2312" w:cs="Times New Roman"/>
          <w:sz w:val="32"/>
          <w:szCs w:val="32"/>
          <w:lang w:val="en-US" w:eastAsia="zh-CN"/>
        </w:rPr>
        <w:t>三</w:t>
      </w:r>
      <w:r>
        <w:rPr>
          <w:rFonts w:hint="default" w:ascii="Times New Roman" w:hAnsi="Times New Roman" w:eastAsia="仿宋_GB2312" w:cs="Times New Roman"/>
          <w:sz w:val="32"/>
          <w:szCs w:val="32"/>
          <w:lang w:val="en-US" w:eastAsia="zh-CN"/>
        </w:rPr>
        <w:t>方面的内容，由</w:t>
      </w:r>
      <w:r>
        <w:rPr>
          <w:rFonts w:hint="eastAsia"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分，实际</w:t>
      </w:r>
      <w:r>
        <w:rPr>
          <w:rFonts w:hint="default" w:ascii="Times New Roman" w:hAnsi="Times New Roman" w:eastAsia="仿宋_GB2312" w:cs="Times New Roman"/>
          <w:sz w:val="32"/>
          <w:szCs w:val="32"/>
          <w:highlight w:val="none"/>
          <w:lang w:val="en-US" w:eastAsia="zh-CN"/>
        </w:rPr>
        <w:t>得分</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98.5</w:t>
      </w:r>
      <w:r>
        <w:rPr>
          <w:rFonts w:hint="default" w:ascii="Times New Roman" w:hAnsi="Times New Roman" w:eastAsia="仿宋_GB2312" w:cs="Times New Roman"/>
          <w:sz w:val="32"/>
          <w:szCs w:val="32"/>
          <w:highlight w:val="none"/>
          <w:lang w:val="en-US" w:eastAsia="zh-CN"/>
        </w:rPr>
        <w:t>%。具体产出指标完成情况如下：</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：高血压患者管理人数指标值</w:t>
      </w:r>
      <w:r>
        <w:rPr>
          <w:rFonts w:hint="eastAsia" w:ascii="Times New Roman" w:hAnsi="Times New Roman" w:eastAsia="仿宋_GB2312" w:cs="Times New Roman"/>
          <w:sz w:val="32"/>
          <w:szCs w:val="32"/>
          <w:highlight w:val="none"/>
          <w:lang w:val="en-US" w:eastAsia="zh-CN"/>
        </w:rPr>
        <w:t>：977人</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918人</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81.92</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；偏差率：18.08%，</w:t>
      </w:r>
      <w:r>
        <w:rPr>
          <w:rFonts w:hint="default" w:ascii="Times New Roman" w:hAnsi="Times New Roman" w:eastAsia="仿宋_GB2312" w:cs="Times New Roman"/>
          <w:sz w:val="32"/>
          <w:szCs w:val="32"/>
          <w:highlight w:val="none"/>
          <w:lang w:val="en-US" w:eastAsia="zh-CN"/>
        </w:rPr>
        <w:t>偏差原因：由于辖区居民身体原因，高血压人数在不断变化。改正措施：加强人员监管，确定人员情况</w:t>
      </w:r>
      <w:r>
        <w:rPr>
          <w:rFonts w:hint="eastAsia"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w:t>
      </w:r>
      <w:r>
        <w:rPr>
          <w:rFonts w:hint="eastAsia" w:ascii="Times New Roman" w:hAnsi="Times New Roman" w:eastAsia="仿宋_GB2312" w:cs="Times New Roman"/>
          <w:sz w:val="32"/>
          <w:szCs w:val="32"/>
          <w:highlight w:val="none"/>
          <w:lang w:val="en-US" w:eastAsia="zh-CN"/>
        </w:rPr>
        <w:t>居民电子健康档案建档人数</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：749</w:t>
      </w:r>
      <w:r>
        <w:rPr>
          <w:rFonts w:hint="eastAsia"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人</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6120人</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80.29</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，偏差率：19.71%，</w:t>
      </w:r>
      <w:r>
        <w:rPr>
          <w:rFonts w:hint="default" w:ascii="Times New Roman" w:hAnsi="Times New Roman" w:eastAsia="仿宋_GB2312" w:cs="Times New Roman"/>
          <w:sz w:val="32"/>
          <w:szCs w:val="32"/>
          <w:highlight w:val="none"/>
          <w:lang w:val="en-US" w:eastAsia="zh-CN"/>
        </w:rPr>
        <w:t>偏差原因：因为人数会存在变动，辖区居民存在流动情况。改正措施：加强监管，确定人员情况</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指标3：</w:t>
      </w:r>
      <w:r>
        <w:rPr>
          <w:rFonts w:hint="eastAsia" w:ascii="Times New Roman" w:hAnsi="Times New Roman" w:eastAsia="仿宋_GB2312" w:cs="Times New Roman"/>
          <w:sz w:val="32"/>
          <w:szCs w:val="32"/>
          <w:highlight w:val="none"/>
          <w:lang w:val="en-US" w:eastAsia="zh-CN"/>
        </w:rPr>
        <w:t>7岁以下儿童健康管理指标值82人，</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6</w:t>
      </w:r>
      <w:r>
        <w:rPr>
          <w:rFonts w:hint="eastAsia" w:ascii="Times New Roman" w:hAnsi="Times New Roman" w:eastAsia="仿宋_GB2312" w:cs="Times New Roman"/>
          <w:sz w:val="32"/>
          <w:szCs w:val="32"/>
          <w:highlight w:val="none"/>
          <w:lang w:val="en-US" w:eastAsia="zh-CN"/>
        </w:rPr>
        <w:t>5人，</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93.85%，偏差率：6.15 %，</w:t>
      </w:r>
      <w:r>
        <w:rPr>
          <w:rFonts w:hint="eastAsia" w:eastAsia="仿宋_GB2312" w:cs="Times New Roman"/>
          <w:sz w:val="32"/>
          <w:szCs w:val="32"/>
          <w:highlight w:val="none"/>
          <w:lang w:val="en-US" w:eastAsia="zh-CN"/>
        </w:rPr>
        <w:t>偏差原因：</w:t>
      </w:r>
      <w:r>
        <w:rPr>
          <w:rFonts w:hint="default" w:ascii="Times New Roman" w:hAnsi="Times New Roman" w:eastAsia="仿宋_GB2312" w:cs="Times New Roman"/>
          <w:sz w:val="32"/>
          <w:szCs w:val="32"/>
          <w:highlight w:val="none"/>
          <w:lang w:val="en-US" w:eastAsia="zh-CN"/>
        </w:rPr>
        <w:t>因为儿童年龄存在变化，辖区居民存在流动情况。改正措施：加强监管，确定人员情况</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指标4：</w:t>
      </w:r>
      <w:r>
        <w:rPr>
          <w:rFonts w:hint="eastAsia" w:ascii="Times New Roman" w:hAnsi="Times New Roman" w:eastAsia="仿宋_GB2312" w:cs="Times New Roman"/>
          <w:sz w:val="32"/>
          <w:szCs w:val="32"/>
          <w:highlight w:val="none"/>
          <w:lang w:val="en-US" w:eastAsia="zh-CN"/>
        </w:rPr>
        <w:t>孕产妇系统管理人数指标值8人，</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7人，</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87.5%，偏差率：12.05%，</w:t>
      </w:r>
      <w:r>
        <w:rPr>
          <w:rFonts w:hint="eastAsia" w:eastAsia="仿宋_GB2312" w:cs="Times New Roman"/>
          <w:sz w:val="32"/>
          <w:szCs w:val="32"/>
          <w:highlight w:val="none"/>
          <w:lang w:val="en-US" w:eastAsia="zh-CN"/>
        </w:rPr>
        <w:t>偏差原因：</w:t>
      </w:r>
      <w:r>
        <w:rPr>
          <w:rFonts w:hint="default" w:ascii="Times New Roman" w:hAnsi="Times New Roman" w:eastAsia="仿宋_GB2312" w:cs="Times New Roman"/>
          <w:sz w:val="32"/>
          <w:szCs w:val="32"/>
          <w:highlight w:val="none"/>
          <w:lang w:val="en-US" w:eastAsia="zh-CN"/>
        </w:rPr>
        <w:t>因为孕产妇情况存在变动，辖区居民存在流动情况。改正措施：加强监管，确定人员情况</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指标5：</w:t>
      </w:r>
      <w:r>
        <w:rPr>
          <w:rFonts w:hint="eastAsia" w:ascii="Times New Roman" w:hAnsi="Times New Roman" w:eastAsia="仿宋_GB2312" w:cs="Times New Roman"/>
          <w:sz w:val="32"/>
          <w:szCs w:val="32"/>
          <w:highlight w:val="none"/>
          <w:lang w:val="en-US" w:eastAsia="zh-CN"/>
        </w:rPr>
        <w:t>2型糖尿病患者管理人数指标值327人，</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310人，</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83.87%，偏差率：16.13%，</w:t>
      </w:r>
      <w:r>
        <w:rPr>
          <w:rFonts w:hint="default" w:ascii="Times New Roman" w:hAnsi="Times New Roman" w:eastAsia="仿宋_GB2312" w:cs="Times New Roman"/>
          <w:sz w:val="32"/>
          <w:szCs w:val="32"/>
          <w:highlight w:val="none"/>
          <w:lang w:val="en-US" w:eastAsia="zh-CN"/>
        </w:rPr>
        <w:t>偏差原因：因为糖尿病患者人数会存在变动，辖区居民存在流动情况。改正措施：加强监管，确定人员情况</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指标6：</w:t>
      </w:r>
      <w:r>
        <w:rPr>
          <w:rFonts w:hint="eastAsia" w:ascii="Times New Roman" w:hAnsi="Times New Roman" w:eastAsia="仿宋_GB2312" w:cs="Times New Roman"/>
          <w:sz w:val="32"/>
          <w:szCs w:val="32"/>
          <w:highlight w:val="none"/>
          <w:lang w:val="en-US" w:eastAsia="zh-CN"/>
        </w:rPr>
        <w:t>老年人中医药健康管理指标值1114人，</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994人，</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82.15%，偏差率17.85 %，</w:t>
      </w:r>
      <w:r>
        <w:rPr>
          <w:rFonts w:hint="default" w:ascii="Times New Roman" w:hAnsi="Times New Roman" w:eastAsia="仿宋_GB2312" w:cs="Times New Roman"/>
          <w:sz w:val="32"/>
          <w:szCs w:val="32"/>
          <w:highlight w:val="none"/>
          <w:lang w:val="en-US" w:eastAsia="zh-CN"/>
        </w:rPr>
        <w:t>偏差原因：因为老年人人数会存在变动，辖区居民存在流动情况。改正措施：加强监管，确定人员情况</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 2 \* GB3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质量指标：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eastAsia" w:ascii="Times New Roman" w:hAnsi="Times New Roman" w:eastAsia="仿宋_GB2312" w:cs="Times New Roman"/>
          <w:sz w:val="32"/>
          <w:szCs w:val="32"/>
          <w:highlight w:val="none"/>
          <w:lang w:val="en-US" w:eastAsia="zh-CN"/>
        </w:rPr>
        <w:t>居民电子健康档案建档使用率年初指标值40%，年末使用率为71.63%，</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179.07%，偏差率：-79.07 %，</w:t>
      </w:r>
      <w:r>
        <w:rPr>
          <w:rFonts w:hint="default" w:ascii="Times New Roman" w:hAnsi="Times New Roman" w:eastAsia="仿宋_GB2312" w:cs="Times New Roman"/>
          <w:sz w:val="32"/>
          <w:szCs w:val="32"/>
          <w:highlight w:val="none"/>
          <w:lang w:val="en-US" w:eastAsia="zh-CN"/>
        </w:rPr>
        <w:t>偏差原因：</w:t>
      </w:r>
      <w:r>
        <w:rPr>
          <w:rFonts w:hint="eastAsia" w:ascii="Times New Roman" w:hAnsi="Times New Roman" w:eastAsia="仿宋_GB2312" w:cs="Times New Roman"/>
          <w:sz w:val="32"/>
          <w:szCs w:val="32"/>
          <w:highlight w:val="none"/>
          <w:lang w:val="en-US" w:eastAsia="zh-CN"/>
        </w:rPr>
        <w:t>年初设置参数过低，同时</w:t>
      </w:r>
      <w:r>
        <w:rPr>
          <w:rFonts w:hint="default" w:ascii="Times New Roman" w:hAnsi="Times New Roman" w:eastAsia="仿宋_GB2312" w:cs="Times New Roman"/>
          <w:sz w:val="32"/>
          <w:szCs w:val="32"/>
          <w:highlight w:val="none"/>
          <w:lang w:val="en-US" w:eastAsia="zh-CN"/>
        </w:rPr>
        <w:t>辖区人数会存在变动，辖区居民存在流动情况。改正措施：加强监管，</w:t>
      </w:r>
      <w:r>
        <w:rPr>
          <w:rFonts w:hint="eastAsia" w:ascii="Times New Roman" w:hAnsi="Times New Roman" w:eastAsia="仿宋_GB2312" w:cs="Times New Roman"/>
          <w:sz w:val="32"/>
          <w:szCs w:val="32"/>
          <w:highlight w:val="none"/>
          <w:lang w:val="en-US" w:eastAsia="zh-CN"/>
        </w:rPr>
        <w:t>认真设置预算参数，</w:t>
      </w:r>
      <w:r>
        <w:rPr>
          <w:rFonts w:hint="default" w:ascii="Times New Roman" w:hAnsi="Times New Roman" w:eastAsia="仿宋_GB2312" w:cs="Times New Roman"/>
          <w:sz w:val="32"/>
          <w:szCs w:val="32"/>
          <w:highlight w:val="none"/>
          <w:lang w:val="en-US" w:eastAsia="zh-CN"/>
        </w:rPr>
        <w:t>确定人员情况</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w:t>
      </w:r>
      <w:r>
        <w:rPr>
          <w:rFonts w:hint="eastAsia" w:ascii="Times New Roman" w:hAnsi="Times New Roman" w:eastAsia="仿宋_GB2312" w:cs="Times New Roman"/>
          <w:sz w:val="32"/>
          <w:szCs w:val="32"/>
          <w:highlight w:val="none"/>
          <w:lang w:val="en-US" w:eastAsia="zh-CN"/>
        </w:rPr>
        <w:t>高血压患者年初预算管理</w:t>
      </w:r>
      <w:r>
        <w:rPr>
          <w:rFonts w:hint="default" w:ascii="Times New Roman" w:hAnsi="Times New Roman" w:eastAsia="仿宋_GB2312" w:cs="Times New Roman"/>
          <w:sz w:val="32"/>
          <w:szCs w:val="32"/>
          <w:highlight w:val="none"/>
          <w:lang w:val="en-US" w:eastAsia="zh-CN"/>
        </w:rPr>
        <w:t>率</w:t>
      </w:r>
      <w:r>
        <w:rPr>
          <w:rFonts w:hint="eastAsia" w:ascii="Times New Roman" w:hAnsi="Times New Roman" w:eastAsia="仿宋_GB2312" w:cs="Times New Roman"/>
          <w:sz w:val="32"/>
          <w:szCs w:val="32"/>
          <w:highlight w:val="none"/>
          <w:lang w:val="en-US" w:eastAsia="zh-CN"/>
        </w:rPr>
        <w:t>82%，年末完成率81.92%，</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99.9%，偏差率：0.1%，基本符合情况；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指标3：</w:t>
      </w:r>
      <w:r>
        <w:rPr>
          <w:rFonts w:hint="eastAsia" w:ascii="Times New Roman" w:hAnsi="Times New Roman" w:eastAsia="仿宋_GB2312" w:cs="Times New Roman"/>
          <w:sz w:val="32"/>
          <w:szCs w:val="32"/>
          <w:highlight w:val="none"/>
          <w:lang w:val="en-US" w:eastAsia="zh-CN"/>
        </w:rPr>
        <w:t>2型糖尿病患者预算管理</w:t>
      </w:r>
      <w:r>
        <w:rPr>
          <w:rFonts w:hint="default" w:ascii="Times New Roman" w:hAnsi="Times New Roman" w:eastAsia="仿宋_GB2312" w:cs="Times New Roman"/>
          <w:sz w:val="32"/>
          <w:szCs w:val="32"/>
          <w:highlight w:val="none"/>
          <w:lang w:val="en-US" w:eastAsia="zh-CN"/>
        </w:rPr>
        <w:t>率</w:t>
      </w:r>
      <w:r>
        <w:rPr>
          <w:rFonts w:hint="eastAsia" w:ascii="Times New Roman" w:hAnsi="Times New Roman" w:eastAsia="仿宋_GB2312" w:cs="Times New Roman"/>
          <w:sz w:val="32"/>
          <w:szCs w:val="32"/>
          <w:highlight w:val="none"/>
          <w:lang w:val="en-US" w:eastAsia="zh-CN"/>
        </w:rPr>
        <w:t>82%，年末完成率83.87%，</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102.28%；偏差率：-2.28 %，</w:t>
      </w:r>
      <w:r>
        <w:rPr>
          <w:rFonts w:hint="default" w:ascii="Times New Roman" w:hAnsi="Times New Roman" w:eastAsia="仿宋_GB2312" w:cs="Times New Roman"/>
          <w:sz w:val="32"/>
          <w:szCs w:val="32"/>
          <w:highlight w:val="none"/>
          <w:lang w:val="en-US" w:eastAsia="zh-CN"/>
        </w:rPr>
        <w:t>偏差原因：因为糖尿病患者人数会存在变动，辖区居民存在流动情况。改正措施：加强监管，确定人员情况</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指标4:</w:t>
      </w:r>
      <w:r>
        <w:rPr>
          <w:rFonts w:hint="eastAsia" w:ascii="Times New Roman" w:hAnsi="Times New Roman" w:eastAsia="仿宋_GB2312" w:cs="Times New Roman"/>
          <w:sz w:val="32"/>
          <w:szCs w:val="32"/>
          <w:highlight w:val="none"/>
          <w:lang w:val="en-US" w:eastAsia="zh-CN"/>
        </w:rPr>
        <w:t>老年人中医药健康管理人数预算管理</w:t>
      </w:r>
      <w:r>
        <w:rPr>
          <w:rFonts w:hint="default" w:ascii="Times New Roman" w:hAnsi="Times New Roman" w:eastAsia="仿宋_GB2312" w:cs="Times New Roman"/>
          <w:sz w:val="32"/>
          <w:szCs w:val="32"/>
          <w:highlight w:val="none"/>
          <w:lang w:val="en-US" w:eastAsia="zh-CN"/>
        </w:rPr>
        <w:t>率</w:t>
      </w:r>
      <w:r>
        <w:rPr>
          <w:rFonts w:hint="eastAsia" w:ascii="Times New Roman" w:hAnsi="Times New Roman" w:eastAsia="仿宋_GB2312" w:cs="Times New Roman"/>
          <w:sz w:val="32"/>
          <w:szCs w:val="32"/>
          <w:highlight w:val="none"/>
          <w:lang w:val="en-US" w:eastAsia="zh-CN"/>
        </w:rPr>
        <w:t>90%，年末完成率82.15%，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91.28%，偏差率：8.72 %，</w:t>
      </w:r>
      <w:r>
        <w:rPr>
          <w:rFonts w:hint="default" w:ascii="Times New Roman" w:hAnsi="Times New Roman" w:eastAsia="仿宋_GB2312" w:cs="Times New Roman"/>
          <w:sz w:val="32"/>
          <w:szCs w:val="32"/>
          <w:highlight w:val="none"/>
          <w:lang w:val="en-US" w:eastAsia="zh-CN"/>
        </w:rPr>
        <w:t>偏差原因：因为老年人人数会存在变动，辖区居民存在流动情况。改正措施：加强监管，确定人员情况</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指标5：</w:t>
      </w:r>
      <w:r>
        <w:rPr>
          <w:rFonts w:hint="eastAsia" w:ascii="Times New Roman" w:hAnsi="Times New Roman" w:eastAsia="仿宋_GB2312" w:cs="Times New Roman"/>
          <w:sz w:val="32"/>
          <w:szCs w:val="32"/>
          <w:highlight w:val="none"/>
          <w:lang w:val="en-US" w:eastAsia="zh-CN"/>
        </w:rPr>
        <w:t>7岁以下儿童健康管理预算管理</w:t>
      </w:r>
      <w:r>
        <w:rPr>
          <w:rFonts w:hint="default" w:ascii="Times New Roman" w:hAnsi="Times New Roman" w:eastAsia="仿宋_GB2312" w:cs="Times New Roman"/>
          <w:sz w:val="32"/>
          <w:szCs w:val="32"/>
          <w:highlight w:val="none"/>
          <w:lang w:val="en-US" w:eastAsia="zh-CN"/>
        </w:rPr>
        <w:t>率</w:t>
      </w:r>
      <w:r>
        <w:rPr>
          <w:rFonts w:hint="eastAsia" w:ascii="Times New Roman" w:hAnsi="Times New Roman" w:eastAsia="仿宋_GB2312" w:cs="Times New Roman"/>
          <w:sz w:val="32"/>
          <w:szCs w:val="32"/>
          <w:highlight w:val="none"/>
          <w:lang w:val="en-US" w:eastAsia="zh-CN"/>
        </w:rPr>
        <w:t>90%，年末完成率93.85%，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104.28%，偏差率：4.28 %，</w:t>
      </w:r>
      <w:r>
        <w:rPr>
          <w:rFonts w:hint="default" w:ascii="Times New Roman" w:hAnsi="Times New Roman" w:eastAsia="仿宋_GB2312" w:cs="Times New Roman"/>
          <w:sz w:val="32"/>
          <w:szCs w:val="32"/>
          <w:highlight w:val="none"/>
          <w:lang w:val="en-US" w:eastAsia="zh-CN"/>
        </w:rPr>
        <w:t>偏差原因：因为儿童年龄存在变化，辖区居民存在流动情况。改正措施：加强监管，确定人员情况</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ab/>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指标6：</w:t>
      </w:r>
      <w:r>
        <w:rPr>
          <w:rFonts w:hint="eastAsia" w:ascii="Times New Roman" w:hAnsi="Times New Roman" w:eastAsia="仿宋_GB2312" w:cs="Times New Roman"/>
          <w:sz w:val="32"/>
          <w:szCs w:val="32"/>
          <w:highlight w:val="none"/>
          <w:lang w:val="en-US" w:eastAsia="zh-CN"/>
        </w:rPr>
        <w:t>孕产妇年初预算管理预算管理</w:t>
      </w:r>
      <w:r>
        <w:rPr>
          <w:rFonts w:hint="default" w:ascii="Times New Roman" w:hAnsi="Times New Roman" w:eastAsia="仿宋_GB2312" w:cs="Times New Roman"/>
          <w:sz w:val="32"/>
          <w:szCs w:val="32"/>
          <w:highlight w:val="none"/>
          <w:lang w:val="en-US" w:eastAsia="zh-CN"/>
        </w:rPr>
        <w:t>率</w:t>
      </w:r>
      <w:r>
        <w:rPr>
          <w:rFonts w:hint="eastAsia" w:ascii="Times New Roman" w:hAnsi="Times New Roman" w:eastAsia="仿宋_GB2312" w:cs="Times New Roman"/>
          <w:sz w:val="32"/>
          <w:szCs w:val="32"/>
          <w:highlight w:val="none"/>
          <w:lang w:val="en-US" w:eastAsia="zh-CN"/>
        </w:rPr>
        <w:t>90%，年末完成率87.5%，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97.22%，偏差率：2.78%，</w:t>
      </w:r>
      <w:r>
        <w:rPr>
          <w:rFonts w:hint="eastAsia" w:eastAsia="仿宋_GB2312" w:cs="Times New Roman"/>
          <w:sz w:val="32"/>
          <w:szCs w:val="32"/>
          <w:highlight w:val="none"/>
          <w:lang w:val="en-US" w:eastAsia="zh-CN"/>
        </w:rPr>
        <w:t>偏差原因：</w:t>
      </w:r>
      <w:r>
        <w:rPr>
          <w:rFonts w:hint="default" w:ascii="Times New Roman" w:hAnsi="Times New Roman" w:eastAsia="仿宋_GB2312" w:cs="Times New Roman"/>
          <w:sz w:val="32"/>
          <w:szCs w:val="32"/>
          <w:highlight w:val="none"/>
          <w:lang w:val="en-US" w:eastAsia="zh-CN"/>
        </w:rPr>
        <w:t>因为孕产妇情况存在变动，辖区居民存在流动情况。改正措施：加强监管，确定人员情况</w:t>
      </w:r>
      <w:r>
        <w:rPr>
          <w:rFonts w:hint="eastAsia" w:ascii="Times New Roman" w:hAnsi="Times New Roman" w:eastAsia="仿宋_GB2312" w:cs="Times New Roman"/>
          <w:sz w:val="32"/>
          <w:szCs w:val="32"/>
          <w:highlight w:val="none"/>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3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③</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时效指标：</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资金发放及时率</w:t>
      </w:r>
      <w:r>
        <w:rPr>
          <w:rFonts w:hint="eastAsia" w:ascii="宋体" w:hAnsi="宋体" w:eastAsia="宋体" w:cs="宋体"/>
          <w:sz w:val="32"/>
          <w:szCs w:val="32"/>
          <w:highlight w:val="none"/>
          <w:lang w:eastAsia="zh-CN"/>
        </w:rPr>
        <w:t>≧</w:t>
      </w:r>
      <w:r>
        <w:rPr>
          <w:rFonts w:hint="eastAsia" w:eastAsia="仿宋_GB2312" w:cs="Times New Roman"/>
          <w:sz w:val="32"/>
          <w:szCs w:val="32"/>
          <w:highlight w:val="none"/>
          <w:lang w:val="en-US" w:eastAsia="zh-CN"/>
        </w:rPr>
        <w:t>90%,实际指标完成100%,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bookmarkStart w:id="0" w:name="OLE_LINK13"/>
      <w:r>
        <w:rPr>
          <w:rFonts w:hint="default" w:ascii="Times New Roman" w:hAnsi="Times New Roman" w:eastAsia="仿宋_GB2312" w:cs="Times New Roman"/>
          <w:sz w:val="32"/>
          <w:szCs w:val="32"/>
          <w:highlight w:val="none"/>
        </w:rPr>
        <w:t>指标1：项目预算控制率，指标值：</w:t>
      </w:r>
      <w:r>
        <w:rPr>
          <w:rFonts w:hint="eastAsia" w:ascii="宋体" w:hAnsi="宋体" w:eastAsia="宋体" w:cs="宋体"/>
          <w:sz w:val="32"/>
          <w:szCs w:val="32"/>
          <w:highlight w:val="none"/>
          <w:lang w:eastAsia="zh-CN"/>
        </w:rPr>
        <w:t>≧</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rPr>
        <w:t>0%，实际完成值：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bookmarkEnd w:id="0"/>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（四）项目效益情况</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个三级指标构成，权重分为20分，实际得分20分，得分率为100%。具体效益指标及满意度指标完成情况如下：</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eastAsia="zh-CN"/>
        </w:rPr>
        <w:t>1.</w:t>
      </w:r>
      <w:r>
        <w:rPr>
          <w:rFonts w:hint="default" w:ascii="Times New Roman" w:hAnsi="Times New Roman" w:eastAsia="仿宋_GB2312" w:cs="Times New Roman"/>
          <w:b/>
          <w:bCs/>
          <w:sz w:val="32"/>
          <w:szCs w:val="32"/>
          <w:lang w:val="en-US" w:eastAsia="zh-CN"/>
        </w:rPr>
        <w:t>实施效益</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①</w:t>
      </w:r>
      <w:r>
        <w:rPr>
          <w:rFonts w:hint="default" w:ascii="Times New Roman" w:hAnsi="Times New Roman" w:eastAsia="仿宋_GB2312" w:cs="Times New Roman"/>
          <w:sz w:val="32"/>
          <w:szCs w:val="32"/>
        </w:rPr>
        <w:t>经济效益指标：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eastAsia" w:eastAsia="仿宋_GB2312" w:cs="Times New Roman"/>
          <w:sz w:val="32"/>
          <w:szCs w:val="32"/>
          <w:highlight w:val="none"/>
          <w:lang w:val="en-US" w:eastAsia="zh-CN"/>
        </w:rPr>
        <w:t>2024年本项目未设置经济</w:t>
      </w:r>
      <w:r>
        <w:rPr>
          <w:rFonts w:hint="default" w:eastAsia="仿宋_GB2312" w:cs="Times New Roman"/>
          <w:sz w:val="32"/>
          <w:szCs w:val="32"/>
          <w:highlight w:val="none"/>
          <w:lang w:val="en-US" w:eastAsia="zh-CN"/>
        </w:rPr>
        <w:t>效益指标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1:缩小城乡居民公共卫生差距: 指标值:不断缩小,完成值:不断缩小.</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③生态效益指标：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eastAsia" w:eastAsia="仿宋_GB2312" w:cs="Times New Roman"/>
          <w:sz w:val="32"/>
          <w:szCs w:val="32"/>
          <w:lang w:val="en-US" w:eastAsia="zh-CN"/>
        </w:rPr>
        <w:t>:</w:t>
      </w:r>
      <w:r>
        <w:rPr>
          <w:rFonts w:hint="eastAsia" w:eastAsia="仿宋_GB2312" w:cs="Times New Roman"/>
          <w:sz w:val="32"/>
          <w:szCs w:val="32"/>
          <w:highlight w:val="none"/>
          <w:lang w:val="en-US" w:eastAsia="zh-CN"/>
        </w:rPr>
        <w:t>2024年本项目未设置经济</w:t>
      </w:r>
      <w:r>
        <w:rPr>
          <w:rFonts w:hint="default" w:eastAsia="仿宋_GB2312" w:cs="Times New Roman"/>
          <w:sz w:val="32"/>
          <w:szCs w:val="32"/>
          <w:highlight w:val="none"/>
          <w:lang w:val="en-US" w:eastAsia="zh-CN"/>
        </w:rPr>
        <w:t>效益指标</w:t>
      </w:r>
      <w:r>
        <w:rPr>
          <w:rFonts w:hint="eastAsia" w:eastAsia="仿宋_GB2312" w:cs="Times New Roman"/>
          <w:sz w:val="32"/>
          <w:szCs w:val="32"/>
          <w:highlight w:val="none"/>
          <w:lang w:val="en-US" w:eastAsia="zh-CN"/>
        </w:rPr>
        <w:t>.</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2.满意度</w:t>
      </w:r>
    </w:p>
    <w:p>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指标1：</w:t>
      </w:r>
      <w:r>
        <w:rPr>
          <w:rFonts w:hint="eastAsia" w:eastAsia="仿宋_GB2312" w:cs="Times New Roman"/>
          <w:sz w:val="32"/>
          <w:szCs w:val="32"/>
          <w:lang w:val="en-US" w:eastAsia="zh-CN"/>
        </w:rPr>
        <w:t>服务对象</w:t>
      </w:r>
      <w:r>
        <w:rPr>
          <w:rFonts w:hint="default" w:ascii="Times New Roman" w:hAnsi="Times New Roman" w:eastAsia="仿宋_GB2312" w:cs="Times New Roman"/>
          <w:sz w:val="32"/>
          <w:szCs w:val="32"/>
          <w:lang w:val="en-US" w:eastAsia="zh-CN"/>
        </w:rPr>
        <w:t>满意度：</w:t>
      </w:r>
      <w:r>
        <w:rPr>
          <w:rFonts w:hint="default" w:ascii="Times New Roman" w:hAnsi="Times New Roman" w:eastAsia="仿宋_GB2312" w:cs="Times New Roman"/>
          <w:sz w:val="32"/>
          <w:szCs w:val="32"/>
        </w:rPr>
        <w:t>指标值：</w:t>
      </w:r>
      <w:r>
        <w:rPr>
          <w:rFonts w:hint="eastAsia" w:eastAsia="仿宋_GB2312" w:cs="Times New Roman"/>
          <w:sz w:val="32"/>
          <w:szCs w:val="32"/>
          <w:lang w:val="en-US" w:eastAsia="zh-CN"/>
        </w:rPr>
        <w:t>≥90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实际完成值：</w:t>
      </w:r>
      <w:r>
        <w:rPr>
          <w:rFonts w:hint="eastAsia" w:eastAsia="仿宋_GB2312" w:cs="Times New Roman"/>
          <w:sz w:val="32"/>
          <w:szCs w:val="32"/>
          <w:lang w:val="en-US" w:eastAsia="zh-CN"/>
        </w:rPr>
        <w:t>90</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eastAsia" w:eastAsia="仿宋_GB2312" w:cs="Times New Roman"/>
          <w:sz w:val="32"/>
          <w:szCs w:val="32"/>
          <w:lang w:eastAsia="zh-CN"/>
        </w:rPr>
        <w:t>。</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Hans"/>
        </w:rPr>
      </w:pPr>
      <w:r>
        <w:rPr>
          <w:rFonts w:hint="eastAsia" w:ascii="楷体" w:hAnsi="楷体" w:eastAsia="楷体" w:cs="楷体"/>
          <w:b/>
          <w:bCs/>
          <w:sz w:val="32"/>
          <w:szCs w:val="32"/>
          <w:lang w:val="en-US" w:eastAsia="zh-CN"/>
        </w:rPr>
        <w:t>（五）</w:t>
      </w:r>
      <w:r>
        <w:rPr>
          <w:rFonts w:hint="eastAsia" w:ascii="楷体" w:hAnsi="楷体" w:eastAsia="楷体" w:cs="楷体"/>
          <w:b/>
          <w:bCs/>
          <w:sz w:val="32"/>
          <w:szCs w:val="32"/>
          <w:lang w:val="en-US" w:eastAsia="zh-Hans"/>
        </w:rPr>
        <w:t>预算执行进度与绩效指标总体完成率偏差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eastAsia="仿宋_GB2312" w:cs="Times New Roman"/>
          <w:kern w:val="2"/>
          <w:sz w:val="32"/>
          <w:szCs w:val="32"/>
          <w:highlight w:val="none"/>
          <w:lang w:val="en-US" w:eastAsia="zh-CN" w:bidi="ar-SA"/>
        </w:rPr>
      </w:pPr>
      <w:r>
        <w:rPr>
          <w:rFonts w:hint="default" w:ascii="Times New Roman" w:hAnsi="Times New Roman" w:eastAsia="仿宋_GB2312" w:cs="Times New Roman"/>
          <w:sz w:val="32"/>
          <w:szCs w:val="32"/>
          <w:lang w:val="en-US" w:eastAsia="zh-CN"/>
        </w:rPr>
        <w:t>2024年基本公共卫生服务补助</w:t>
      </w:r>
      <w:r>
        <w:rPr>
          <w:rFonts w:hint="default" w:ascii="Times New Roman" w:hAnsi="Times New Roman" w:eastAsia="仿宋_GB2312" w:cs="Times New Roman"/>
          <w:sz w:val="32"/>
          <w:szCs w:val="32"/>
        </w:rPr>
        <w:t>年初预算</w:t>
      </w:r>
      <w:r>
        <w:rPr>
          <w:rFonts w:hint="eastAsia" w:eastAsia="仿宋_GB2312" w:cs="Times New Roman"/>
          <w:sz w:val="32"/>
          <w:szCs w:val="32"/>
          <w:lang w:val="en-US" w:eastAsia="zh-CN"/>
        </w:rPr>
        <w:t>70</w:t>
      </w:r>
      <w:r>
        <w:rPr>
          <w:rFonts w:hint="default" w:ascii="Times New Roman" w:hAnsi="Times New Roman" w:eastAsia="仿宋_GB2312" w:cs="Times New Roman"/>
          <w:sz w:val="32"/>
          <w:szCs w:val="32"/>
        </w:rPr>
        <w:t>万元，全年预算</w:t>
      </w:r>
      <w:r>
        <w:rPr>
          <w:rFonts w:hint="eastAsia" w:eastAsia="仿宋_GB2312" w:cs="Times New Roman"/>
          <w:sz w:val="32"/>
          <w:szCs w:val="32"/>
          <w:lang w:val="en-US" w:eastAsia="zh-CN"/>
        </w:rPr>
        <w:t>98.81</w:t>
      </w:r>
      <w:r>
        <w:rPr>
          <w:rFonts w:hint="default" w:ascii="Times New Roman" w:hAnsi="Times New Roman" w:eastAsia="仿宋_GB2312" w:cs="Times New Roman"/>
          <w:sz w:val="32"/>
          <w:szCs w:val="32"/>
        </w:rPr>
        <w:t>万元，实际支出</w:t>
      </w:r>
      <w:r>
        <w:rPr>
          <w:rFonts w:hint="eastAsia" w:eastAsia="仿宋_GB2312" w:cs="Times New Roman"/>
          <w:sz w:val="32"/>
          <w:szCs w:val="32"/>
          <w:lang w:val="en-US" w:eastAsia="zh-CN"/>
        </w:rPr>
        <w:t>98.81</w:t>
      </w:r>
      <w:r>
        <w:rPr>
          <w:rFonts w:hint="default" w:ascii="Times New Roman" w:hAnsi="Times New Roman" w:eastAsia="仿宋_GB2312" w:cs="Times New Roman"/>
          <w:sz w:val="32"/>
          <w:szCs w:val="32"/>
        </w:rPr>
        <w:t>万元，预算执行率为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rPr>
        <w:t>%，项目绩效指标总体完成率为</w:t>
      </w:r>
      <w:r>
        <w:rPr>
          <w:rFonts w:hint="eastAsia" w:eastAsia="仿宋_GB2312" w:cs="Times New Roman"/>
          <w:sz w:val="32"/>
          <w:szCs w:val="32"/>
          <w:lang w:val="en-US" w:eastAsia="zh-CN"/>
        </w:rPr>
        <w:t>98.98</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.总体偏差率1.02%</w:t>
      </w:r>
      <w:r>
        <w:rPr>
          <w:rFonts w:hint="eastAsia"/>
          <w:lang w:eastAsia="zh-CN"/>
        </w:rPr>
        <w:t>，</w:t>
      </w:r>
      <w:r>
        <w:rPr>
          <w:rFonts w:hint="eastAsia" w:eastAsia="仿宋_GB2312" w:cs="Times New Roman"/>
          <w:kern w:val="2"/>
          <w:sz w:val="32"/>
          <w:szCs w:val="32"/>
          <w:highlight w:val="none"/>
          <w:lang w:val="en-US" w:eastAsia="zh-CN" w:bidi="ar-SA"/>
        </w:rPr>
        <w:t>偏差原因：部分指标年初时预估较低，导致部分指标超额完成 ，部分指标年初预估较高，以致未完成目标指标，导致出现偏差，整改措施：做好数据统计，认真分析数据报告，研究后确立目标指标，年末时尽力达成目标指标，减少偏差。</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主要经验及做法、存在的问题及原因分析</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rPr>
        <w:t>（一）主要经验及做法</w:t>
      </w:r>
    </w:p>
    <w:p>
      <w:pPr>
        <w:spacing w:line="560" w:lineRule="exact"/>
        <w:ind w:firstLine="643" w:firstLineChars="200"/>
        <w:rPr>
          <w:rFonts w:hint="default" w:ascii="Times New Roman" w:hAnsi="Times New Roman" w:eastAsia="仿宋_GB2312" w:cs="Times New Roman"/>
          <w:sz w:val="32"/>
          <w:szCs w:val="32"/>
        </w:rPr>
      </w:pPr>
      <w:r>
        <w:rPr>
          <w:rFonts w:hint="eastAsia" w:ascii="仿宋_GB2312" w:hAnsi="楷体_GB2312" w:eastAsia="仿宋_GB2312" w:cs="楷体_GB2312"/>
          <w:b/>
          <w:bCs/>
          <w:sz w:val="32"/>
          <w:szCs w:val="32"/>
          <w:lang w:val="en-US" w:eastAsia="zh-CN"/>
        </w:rPr>
        <w:t>1.</w:t>
      </w:r>
      <w:r>
        <w:rPr>
          <w:rFonts w:hint="eastAsia" w:ascii="仿宋_GB2312" w:hAnsi="楷体_GB2312" w:eastAsia="仿宋_GB2312" w:cs="楷体_GB2312"/>
          <w:b/>
          <w:bCs/>
          <w:sz w:val="32"/>
          <w:szCs w:val="32"/>
        </w:rPr>
        <w:t>高度重视、高位推动</w:t>
      </w:r>
      <w:r>
        <w:rPr>
          <w:rFonts w:hint="eastAsia" w:ascii="仿宋_GB2312" w:hAnsi="楷体_GB2312" w:eastAsia="仿宋_GB2312" w:cs="楷体_GB2312"/>
          <w:sz w:val="32"/>
          <w:szCs w:val="32"/>
        </w:rPr>
        <w:t>。</w:t>
      </w: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3"/>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楷体" w:hAnsi="楷体" w:eastAsia="楷体" w:cs="楷体"/>
          <w:b/>
          <w:bCs/>
          <w:sz w:val="32"/>
          <w:szCs w:val="32"/>
          <w:lang w:eastAsia="zh-CN"/>
        </w:rPr>
      </w:pPr>
      <w:r>
        <w:rPr>
          <w:rFonts w:hint="default" w:ascii="楷体" w:hAnsi="楷体" w:eastAsia="楷体" w:cs="楷体"/>
          <w:b/>
          <w:bCs/>
          <w:sz w:val="32"/>
          <w:szCs w:val="32"/>
          <w:lang w:eastAsia="zh-CN"/>
        </w:rPr>
        <w:t>（</w:t>
      </w:r>
      <w:r>
        <w:rPr>
          <w:rFonts w:hint="default" w:ascii="楷体" w:hAnsi="楷体" w:eastAsia="楷体" w:cs="楷体"/>
          <w:b/>
          <w:bCs/>
          <w:sz w:val="32"/>
          <w:szCs w:val="32"/>
          <w:lang w:val="en-US" w:eastAsia="zh-CN"/>
        </w:rPr>
        <w:t>二</w:t>
      </w:r>
      <w:r>
        <w:rPr>
          <w:rFonts w:hint="default" w:ascii="楷体" w:hAnsi="楷体" w:eastAsia="楷体" w:cs="楷体"/>
          <w:b/>
          <w:bCs/>
          <w:sz w:val="32"/>
          <w:szCs w:val="32"/>
          <w:lang w:eastAsia="zh-CN"/>
        </w:rPr>
        <w:t>）</w:t>
      </w:r>
      <w:r>
        <w:rPr>
          <w:rFonts w:hint="default" w:ascii="楷体" w:hAnsi="楷体" w:eastAsia="楷体" w:cs="楷体"/>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有关建议</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其他需要说</w:t>
      </w:r>
      <w:bookmarkStart w:id="1" w:name="page8"/>
      <w:bookmarkEnd w:id="1"/>
      <w:r>
        <w:rPr>
          <w:rFonts w:hint="eastAsia" w:ascii="黑体" w:hAnsi="黑体" w:eastAsia="黑体" w:cs="黑体"/>
          <w:sz w:val="32"/>
          <w:szCs w:val="32"/>
        </w:rPr>
        <w:t>明的问题</w:t>
      </w:r>
    </w:p>
    <w:p>
      <w:pPr>
        <w:pStyle w:val="10"/>
        <w:spacing w:after="0" w:line="560" w:lineRule="exact"/>
        <w:ind w:left="0" w:leftChars="0" w:firstLine="640" w:firstLineChars="20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0"/>
        <w:keepNext w:val="0"/>
        <w:keepLines w:val="0"/>
        <w:pageBreakBefore w:val="0"/>
        <w:widowControl w:val="0"/>
        <w:kinsoku/>
        <w:wordWrap w:val="0"/>
        <w:overflowPunct/>
        <w:topLinePunct/>
        <w:autoSpaceDE/>
        <w:autoSpaceDN/>
        <w:bidi w:val="0"/>
        <w:adjustRightInd/>
        <w:snapToGrid/>
        <w:spacing w:after="0" w:line="560" w:lineRule="exact"/>
        <w:ind w:left="0" w:leftChars="0" w:firstLine="640"/>
        <w:textAlignment w:val="auto"/>
        <w:rPr>
          <w:rFonts w:hint="eastAsia" w:ascii="Times New Roman" w:hAnsi="Times New Roman" w:eastAsia="黑体" w:cs="Times New Roman"/>
          <w:sz w:val="32"/>
          <w:szCs w:val="32"/>
          <w:highlight w:val="none"/>
          <w:lang w:val="en-US" w:eastAsia="zh-CN"/>
        </w:rPr>
        <w:sectPr>
          <w:footerReference r:id="rId3" w:type="default"/>
          <w:pgSz w:w="11906" w:h="16838"/>
          <w:pgMar w:top="2098" w:right="1531" w:bottom="1984" w:left="1531"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keepNext w:val="0"/>
        <w:keepLines w:val="0"/>
        <w:pageBreakBefore w:val="0"/>
        <w:kinsoku/>
        <w:wordWrap/>
        <w:overflowPunct/>
        <w:topLinePunct w:val="0"/>
        <w:autoSpaceDE/>
        <w:autoSpaceDN/>
        <w:bidi w:val="0"/>
        <w:adjustRightInd/>
        <w:snapToGrid/>
        <w:spacing w:line="500" w:lineRule="exact"/>
        <w:ind w:firstLine="562"/>
        <w:jc w:val="center"/>
        <w:rPr>
          <w:rFonts w:hint="eastAsia" w:ascii="仿宋_GB2312" w:hAnsi="仿宋_GB2312" w:eastAsia="仿宋_GB2312" w:cs="仿宋_GB2312"/>
          <w:sz w:val="28"/>
          <w:szCs w:val="40"/>
          <w:highlight w:val="none"/>
        </w:rPr>
      </w:pPr>
      <w:r>
        <w:rPr>
          <w:rFonts w:hint="eastAsia" w:ascii="仿宋_GB2312" w:hAnsi="仿宋_GB2312" w:eastAsia="仿宋_GB2312" w:cs="仿宋_GB2312"/>
          <w:b/>
          <w:bCs/>
          <w:sz w:val="28"/>
          <w:szCs w:val="40"/>
          <w:highlight w:val="none"/>
          <w:lang w:val="en-US" w:eastAsia="zh-CN"/>
        </w:rPr>
        <w:t>2024年基本公共卫生服务补助资金预算的投资</w:t>
      </w:r>
      <w:r>
        <w:rPr>
          <w:rFonts w:hint="eastAsia" w:ascii="仿宋_GB2312" w:hAnsi="仿宋_GB2312" w:eastAsia="仿宋_GB2312" w:cs="仿宋_GB2312"/>
          <w:b/>
          <w:bCs/>
          <w:sz w:val="28"/>
          <w:szCs w:val="40"/>
          <w:highlight w:val="none"/>
        </w:rPr>
        <w:t>项目绩效评价指标体系及综合评分表</w:t>
      </w:r>
    </w:p>
    <w:tbl>
      <w:tblPr>
        <w:tblStyle w:val="17"/>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98.5</w:t>
            </w:r>
          </w:p>
        </w:tc>
      </w:tr>
    </w:tbl>
    <w:p>
      <w:pPr>
        <w:keepNext w:val="0"/>
        <w:keepLines w:val="0"/>
        <w:pageBreakBefore w:val="0"/>
        <w:kinsoku/>
        <w:wordWrap/>
        <w:overflowPunct/>
        <w:topLinePunct w:val="0"/>
        <w:autoSpaceDE/>
        <w:autoSpaceDN/>
        <w:bidi w:val="0"/>
        <w:adjustRightInd/>
        <w:snapToGrid/>
        <w:spacing w:line="500" w:lineRule="exact"/>
        <w:rPr>
          <w:rFonts w:hint="eastAsia" w:ascii="Times New Roman" w:hAnsi="Times New Roman" w:eastAsia="黑体" w:cs="Times New Roman"/>
          <w:sz w:val="32"/>
          <w:szCs w:val="32"/>
          <w:highlight w:val="none"/>
          <w:lang w:val="en-US" w:eastAsia="zh-CN"/>
        </w:rPr>
      </w:pPr>
    </w:p>
    <w:p>
      <w:pPr>
        <w:keepNext w:val="0"/>
        <w:keepLines w:val="0"/>
        <w:pageBreakBefore w:val="0"/>
        <w:kinsoku/>
        <w:wordWrap/>
        <w:overflowPunct/>
        <w:topLinePunct w:val="0"/>
        <w:autoSpaceDE/>
        <w:autoSpaceDN/>
        <w:bidi w:val="0"/>
        <w:adjustRightInd/>
        <w:snapToGrid/>
        <w:spacing w:line="5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tbl>
      <w:tblPr>
        <w:tblStyle w:val="17"/>
        <w:tblW w:w="13725" w:type="dxa"/>
        <w:tblInd w:w="0" w:type="dxa"/>
        <w:shd w:val="clear" w:color="auto" w:fill="auto"/>
        <w:tblLayout w:type="fixed"/>
        <w:tblCellMar>
          <w:top w:w="0" w:type="dxa"/>
          <w:left w:w="0" w:type="dxa"/>
          <w:bottom w:w="0" w:type="dxa"/>
          <w:right w:w="0" w:type="dxa"/>
        </w:tblCellMar>
      </w:tblPr>
      <w:tblGrid>
        <w:gridCol w:w="1080"/>
        <w:gridCol w:w="1080"/>
        <w:gridCol w:w="1080"/>
        <w:gridCol w:w="1080"/>
        <w:gridCol w:w="1005"/>
        <w:gridCol w:w="630"/>
        <w:gridCol w:w="1500"/>
        <w:gridCol w:w="1335"/>
        <w:gridCol w:w="870"/>
        <w:gridCol w:w="780"/>
        <w:gridCol w:w="885"/>
        <w:gridCol w:w="615"/>
        <w:gridCol w:w="705"/>
        <w:gridCol w:w="1080"/>
      </w:tblGrid>
      <w:tr>
        <w:tblPrEx>
          <w:tblLayout w:type="fixed"/>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2024年基本公共卫生服务补助</w:t>
            </w:r>
          </w:p>
        </w:tc>
      </w:tr>
      <w:tr>
        <w:tblPrEx>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奇台县老奇台镇中心卫生院</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奇台县老奇台镇中心卫生院</w:t>
            </w:r>
          </w:p>
        </w:tc>
      </w:tr>
      <w:tr>
        <w:tblPrEx>
          <w:tblLayout w:type="fixed"/>
          <w:tblCellMar>
            <w:top w:w="0" w:type="dxa"/>
            <w:left w:w="0" w:type="dxa"/>
            <w:bottom w:w="0" w:type="dxa"/>
            <w:right w:w="0"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98.81</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98.81</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98.81</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98.81</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免费向城乡居民提供基本公共卫生服务，居民电子健康档案建人数7493人 ,7岁以下儿童健康管理人数82人，孕产妇系统管理人数8人，以提高居民健康水平为落脚点，全面推进基本公共卫生服务项目惠民政策的规范实施。城乡居民公共卫生差距不断缩小，基本公共卫生服务水平不断提高。</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单位2024年开展了相关的公卫活动，2024年建立居民电子健康档案6120人次，管理率达到80.29%，管理7岁以下儿童65人次，同时管理孕产妇7人，高血压管理918人，管理率达到了81.92%，糖尿病管理310人，管理率达到了83.87%老年人中医药管理994人，管理率82.15%，通过提升管理能力，为我辖区的居民提供了健康的保障，同时城乡居民公共卫生差距不断地缩小。</w:t>
            </w:r>
          </w:p>
        </w:tc>
      </w:tr>
      <w:tr>
        <w:tblPrEx>
          <w:shd w:val="clear" w:color="auto" w:fill="auto"/>
          <w:tblLayout w:type="fixed"/>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高血压患者管理人数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&gt;=977人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=918人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偏差原因：由于辖区居民身体原因，高血压人数在不断变化。改正措施：加强人员监管，确定人员情况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居民电子健康档案建档人数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&gt;=7493人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=6120人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2.54</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偏差原因：因为人数会存在变动，辖区居民存在流动情况。改正措施：加强监管，确定人员情况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7岁以下儿童健康管理人数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&gt;=82人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=65人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3.38</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偏差原因：因为儿童年龄存在变化，辖区居民存在流动情况。改正措施：加强监管，确定人员情况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孕产妇系统管理人数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偏差原因：因为孕产妇情况存在变动，辖区居民存在流动情况。改正措施：加强监管，确定人员情况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2型糖尿病患者管理人数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&gt;=327人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=310人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2.39</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偏差原因：因为糖尿病患者人数会存在变动，辖区居民存在流动情况。改正措施：加强监管，确定人员情况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老年人中医药健康管理人数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&gt;=1114人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=994人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2.22</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偏差原因：因为老年人人数会存在变动，辖区居民存在流动情况。改正措施：加强监管，确定人员情况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高血压患者管理率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&gt;=82%</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=81.92%</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偏差原因：因为高血压患者人数会存在变动，辖区居民存在流动情况。改正措施：加强监管，确定人员情况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居民电子健康档案使用率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=71.63%</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0.42</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偏差原因：因为辖区人数会存在变动，辖区居民存在流动情况。改正措施：加强监管，确定人员情况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7岁以下儿童健康管理率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=93.85%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1.91</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偏差原因：因为儿童年龄存在变化，辖区居民存在流动情况。改正措施：加强监管，确定人员情况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孕产妇系统管理率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1.86</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偏差原因：因为孕产妇情况存在变动，辖区居民存在流动情况。改正措施：加强监管，确定人员情况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2型糖尿病患者管理率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&gt;=82%</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=83.87%</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偏差原因：因为糖尿病患者人数会存在变动，辖区居民存在流动情况。改正措施：加强监管，确定人员情况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老年人中医药管理率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=82.15%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1.56</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偏差原因：因为老年人人数会存在变动，辖区居民存在流动情况。改正措施：加强监管，确定人员情况</w:t>
            </w: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资金发放及时率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生态环境成本指标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缩小城乡居民公共卫生差距</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不断缩小</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不断缩小</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87.72分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70" w:hRule="atLeast"/>
        </w:trPr>
        <w:tc>
          <w:tcPr>
            <w:tcW w:w="2160" w:type="dxa"/>
            <w:gridSpan w:val="2"/>
            <w:tcBorders>
              <w:top w:val="single" w:color="000000" w:sz="4" w:space="0"/>
              <w:left w:val="nil"/>
              <w:bottom w:val="nil"/>
              <w:right w:val="nil"/>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3165" w:type="dxa"/>
            <w:gridSpan w:val="3"/>
            <w:tcBorders>
              <w:top w:val="single" w:color="000000" w:sz="4" w:space="0"/>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335" w:type="dxa"/>
            <w:gridSpan w:val="4"/>
            <w:tcBorders>
              <w:top w:val="single" w:color="000000" w:sz="4" w:space="0"/>
              <w:left w:val="nil"/>
              <w:bottom w:val="nil"/>
              <w:right w:val="nil"/>
            </w:tcBorders>
            <w:shd w:val="clear" w:color="auto" w:fill="auto"/>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4065" w:type="dxa"/>
            <w:gridSpan w:val="5"/>
            <w:tcBorders>
              <w:top w:val="single" w:color="000000" w:sz="4" w:space="0"/>
              <w:left w:val="nil"/>
              <w:bottom w:val="nil"/>
              <w:right w:val="nil"/>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270" w:hRule="atLeast"/>
        </w:trPr>
        <w:tc>
          <w:tcPr>
            <w:tcW w:w="2160" w:type="dxa"/>
            <w:gridSpan w:val="2"/>
            <w:tcBorders>
              <w:top w:val="nil"/>
              <w:left w:val="nil"/>
              <w:bottom w:val="nil"/>
              <w:right w:val="nil"/>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3165" w:type="dxa"/>
            <w:gridSpan w:val="3"/>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335" w:type="dxa"/>
            <w:gridSpan w:val="4"/>
            <w:tcBorders>
              <w:top w:val="nil"/>
              <w:left w:val="nil"/>
              <w:bottom w:val="nil"/>
              <w:right w:val="nil"/>
            </w:tcBorders>
            <w:shd w:val="clear" w:color="auto" w:fill="auto"/>
            <w:noWrap/>
            <w:tcMar>
              <w:top w:w="15" w:type="dxa"/>
              <w:left w:w="15" w:type="dxa"/>
              <w:right w:w="15" w:type="dxa"/>
            </w:tcMar>
            <w:vAlign w:val="center"/>
          </w:tcPr>
          <w:p>
            <w:pPr>
              <w:jc w:val="right"/>
              <w:rPr>
                <w:rFonts w:hint="eastAsia" w:ascii="宋体" w:hAnsi="宋体" w:eastAsia="宋体" w:cs="宋体"/>
                <w:i w:val="0"/>
                <w:color w:val="000000"/>
                <w:sz w:val="20"/>
                <w:szCs w:val="20"/>
                <w:u w:val="none"/>
              </w:rPr>
            </w:pPr>
          </w:p>
        </w:tc>
        <w:tc>
          <w:tcPr>
            <w:tcW w:w="4065" w:type="dxa"/>
            <w:gridSpan w:val="5"/>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bl>
    <w:p>
      <w:pPr>
        <w:keepNext w:val="0"/>
        <w:keepLines w:val="0"/>
        <w:pageBreakBefore w:val="0"/>
        <w:kinsoku/>
        <w:wordWrap/>
        <w:overflowPunct/>
        <w:topLinePunct w:val="0"/>
        <w:autoSpaceDE/>
        <w:autoSpaceDN/>
        <w:bidi w:val="0"/>
        <w:adjustRightInd/>
        <w:snapToGrid/>
        <w:spacing w:line="500" w:lineRule="exact"/>
        <w:rPr>
          <w:rFonts w:hint="default" w:ascii="Times New Roman" w:hAnsi="Times New Roman" w:cs="Times New Roman"/>
          <w:highlight w:val="none"/>
        </w:rPr>
      </w:pPr>
    </w:p>
    <w:sectPr>
      <w:footerReference r:id="rId4" w:type="default"/>
      <w:pgSz w:w="16838" w:h="11906" w:orient="landscape"/>
      <w:pgMar w:top="118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6018"/>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5D50E0"/>
    <w:rsid w:val="01610122"/>
    <w:rsid w:val="02510197"/>
    <w:rsid w:val="029A3A86"/>
    <w:rsid w:val="03104C5C"/>
    <w:rsid w:val="03EC461B"/>
    <w:rsid w:val="043E66D1"/>
    <w:rsid w:val="04A06AE1"/>
    <w:rsid w:val="04A4232A"/>
    <w:rsid w:val="06926D57"/>
    <w:rsid w:val="06EA182C"/>
    <w:rsid w:val="071A5591"/>
    <w:rsid w:val="07397B77"/>
    <w:rsid w:val="07F35C6F"/>
    <w:rsid w:val="086A3084"/>
    <w:rsid w:val="0AAE274B"/>
    <w:rsid w:val="0AD007F3"/>
    <w:rsid w:val="0D082A6E"/>
    <w:rsid w:val="0E3C619F"/>
    <w:rsid w:val="0F2F5BD4"/>
    <w:rsid w:val="0F6273CA"/>
    <w:rsid w:val="100F38EC"/>
    <w:rsid w:val="11170296"/>
    <w:rsid w:val="11641C95"/>
    <w:rsid w:val="12A41D58"/>
    <w:rsid w:val="12C66037"/>
    <w:rsid w:val="12C705FB"/>
    <w:rsid w:val="12CD1ABC"/>
    <w:rsid w:val="132374F0"/>
    <w:rsid w:val="133B07D3"/>
    <w:rsid w:val="13471461"/>
    <w:rsid w:val="13B90F01"/>
    <w:rsid w:val="13F90F39"/>
    <w:rsid w:val="155E4C4D"/>
    <w:rsid w:val="169B3A7C"/>
    <w:rsid w:val="181066D2"/>
    <w:rsid w:val="1C671E73"/>
    <w:rsid w:val="1D322C47"/>
    <w:rsid w:val="1EA1074C"/>
    <w:rsid w:val="208E4638"/>
    <w:rsid w:val="22290DFD"/>
    <w:rsid w:val="22F865B5"/>
    <w:rsid w:val="23616034"/>
    <w:rsid w:val="23696C97"/>
    <w:rsid w:val="239443CD"/>
    <w:rsid w:val="24480FA2"/>
    <w:rsid w:val="24BD3695"/>
    <w:rsid w:val="24D42689"/>
    <w:rsid w:val="25227A45"/>
    <w:rsid w:val="26107A2B"/>
    <w:rsid w:val="26AC3A6A"/>
    <w:rsid w:val="26DB3710"/>
    <w:rsid w:val="27A640CA"/>
    <w:rsid w:val="29EE25DA"/>
    <w:rsid w:val="2A073DC2"/>
    <w:rsid w:val="2B1277CC"/>
    <w:rsid w:val="2B5F4F5F"/>
    <w:rsid w:val="2B9D7E25"/>
    <w:rsid w:val="2C7C7A3B"/>
    <w:rsid w:val="2D217FC5"/>
    <w:rsid w:val="2F364819"/>
    <w:rsid w:val="2F7E38B9"/>
    <w:rsid w:val="2F897353"/>
    <w:rsid w:val="2FD63906"/>
    <w:rsid w:val="317E2440"/>
    <w:rsid w:val="33AD33ED"/>
    <w:rsid w:val="359A71EC"/>
    <w:rsid w:val="37215DAE"/>
    <w:rsid w:val="38CA40DD"/>
    <w:rsid w:val="395F2B56"/>
    <w:rsid w:val="3989662F"/>
    <w:rsid w:val="3B482032"/>
    <w:rsid w:val="3BBA0580"/>
    <w:rsid w:val="3BECE841"/>
    <w:rsid w:val="3C957764"/>
    <w:rsid w:val="3CDE204C"/>
    <w:rsid w:val="3D0A1709"/>
    <w:rsid w:val="3D363C36"/>
    <w:rsid w:val="3E9C3F6D"/>
    <w:rsid w:val="3FF7797D"/>
    <w:rsid w:val="42F16CBA"/>
    <w:rsid w:val="46690BD8"/>
    <w:rsid w:val="46E22723"/>
    <w:rsid w:val="47931F43"/>
    <w:rsid w:val="495F468E"/>
    <w:rsid w:val="49AA691D"/>
    <w:rsid w:val="49F70BF1"/>
    <w:rsid w:val="4ADF60DF"/>
    <w:rsid w:val="4B4340EE"/>
    <w:rsid w:val="4BA547C3"/>
    <w:rsid w:val="4C230E60"/>
    <w:rsid w:val="4F694CC2"/>
    <w:rsid w:val="503D507A"/>
    <w:rsid w:val="50942AC9"/>
    <w:rsid w:val="50FD0400"/>
    <w:rsid w:val="510C0C3F"/>
    <w:rsid w:val="51FA74D0"/>
    <w:rsid w:val="52AA4A52"/>
    <w:rsid w:val="530C01FF"/>
    <w:rsid w:val="539D3AD1"/>
    <w:rsid w:val="53B764C9"/>
    <w:rsid w:val="547F1728"/>
    <w:rsid w:val="54F20DD2"/>
    <w:rsid w:val="573A37A0"/>
    <w:rsid w:val="578B4632"/>
    <w:rsid w:val="594C6863"/>
    <w:rsid w:val="59943D66"/>
    <w:rsid w:val="59957788"/>
    <w:rsid w:val="59E051FD"/>
    <w:rsid w:val="59E15E56"/>
    <w:rsid w:val="59E6355E"/>
    <w:rsid w:val="5AD83820"/>
    <w:rsid w:val="5B821531"/>
    <w:rsid w:val="5BFF6039"/>
    <w:rsid w:val="5D76195E"/>
    <w:rsid w:val="5D76A616"/>
    <w:rsid w:val="5D7F20B9"/>
    <w:rsid w:val="5DAC7D0E"/>
    <w:rsid w:val="5F0F6834"/>
    <w:rsid w:val="5F98B5AF"/>
    <w:rsid w:val="5FFE8511"/>
    <w:rsid w:val="5FFEACE2"/>
    <w:rsid w:val="609D5BF6"/>
    <w:rsid w:val="61073070"/>
    <w:rsid w:val="61B9080E"/>
    <w:rsid w:val="61DF3FED"/>
    <w:rsid w:val="62606CE8"/>
    <w:rsid w:val="62BA3A21"/>
    <w:rsid w:val="62FB3C34"/>
    <w:rsid w:val="642A0B61"/>
    <w:rsid w:val="642B176B"/>
    <w:rsid w:val="643EE26D"/>
    <w:rsid w:val="64AF3043"/>
    <w:rsid w:val="65067DBA"/>
    <w:rsid w:val="656019A0"/>
    <w:rsid w:val="65E810C8"/>
    <w:rsid w:val="65F242EE"/>
    <w:rsid w:val="666D7E19"/>
    <w:rsid w:val="68376930"/>
    <w:rsid w:val="68F91E38"/>
    <w:rsid w:val="6B3158B9"/>
    <w:rsid w:val="6BA02A3F"/>
    <w:rsid w:val="6C105349"/>
    <w:rsid w:val="6C1E5A53"/>
    <w:rsid w:val="6DF6764B"/>
    <w:rsid w:val="6F5C41AC"/>
    <w:rsid w:val="6FAF6C78"/>
    <w:rsid w:val="6FF05449"/>
    <w:rsid w:val="70147A34"/>
    <w:rsid w:val="70F80C27"/>
    <w:rsid w:val="716167CC"/>
    <w:rsid w:val="718A7AD1"/>
    <w:rsid w:val="72721E6A"/>
    <w:rsid w:val="72A44BC2"/>
    <w:rsid w:val="7317C656"/>
    <w:rsid w:val="734ED73F"/>
    <w:rsid w:val="73C82B32"/>
    <w:rsid w:val="73F94DAE"/>
    <w:rsid w:val="74220495"/>
    <w:rsid w:val="74343FFF"/>
    <w:rsid w:val="747D1B6F"/>
    <w:rsid w:val="749E5641"/>
    <w:rsid w:val="76271066"/>
    <w:rsid w:val="76885262"/>
    <w:rsid w:val="77FD8BE9"/>
    <w:rsid w:val="78000AED"/>
    <w:rsid w:val="78036054"/>
    <w:rsid w:val="79A9BD3F"/>
    <w:rsid w:val="7AC5270E"/>
    <w:rsid w:val="7B776F12"/>
    <w:rsid w:val="7BFFFDD0"/>
    <w:rsid w:val="7C336E5F"/>
    <w:rsid w:val="7C8D4919"/>
    <w:rsid w:val="7CB244A3"/>
    <w:rsid w:val="7D7A5F86"/>
    <w:rsid w:val="7E2E692B"/>
    <w:rsid w:val="7E4B683A"/>
    <w:rsid w:val="7E5E656D"/>
    <w:rsid w:val="7E8F2BCB"/>
    <w:rsid w:val="7F37BB4E"/>
    <w:rsid w:val="7FEF918E"/>
    <w:rsid w:val="7FF4FB6F"/>
    <w:rsid w:val="7FF7FF27"/>
    <w:rsid w:val="7FFDF714"/>
    <w:rsid w:val="7FFE136B"/>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3"/>
    <w:qFormat/>
    <w:uiPriority w:val="0"/>
    <w:rPr>
      <w:b/>
      <w:bCs/>
    </w:rPr>
  </w:style>
  <w:style w:type="paragraph" w:styleId="4">
    <w:name w:val="annotation text"/>
    <w:basedOn w:val="1"/>
    <w:link w:val="22"/>
    <w:qFormat/>
    <w:uiPriority w:val="0"/>
    <w:pPr>
      <w:jc w:val="left"/>
    </w:pPr>
  </w:style>
  <w:style w:type="paragraph" w:styleId="5">
    <w:name w:val="Body Text First Indent"/>
    <w:basedOn w:val="6"/>
    <w:qFormat/>
    <w:uiPriority w:val="0"/>
    <w:pPr>
      <w:spacing w:after="0"/>
      <w:ind w:firstLine="200" w:firstLineChars="200"/>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20"/>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Body Text First Indent 2"/>
    <w:basedOn w:val="7"/>
    <w:qFormat/>
    <w:uiPriority w:val="0"/>
    <w:pPr>
      <w:ind w:firstLine="420" w:firstLineChars="200"/>
    </w:p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4"/>
    <w:link w:val="8"/>
    <w:qFormat/>
    <w:uiPriority w:val="0"/>
    <w:rPr>
      <w:rFonts w:ascii="Times New Roman" w:hAnsi="Times New Roman" w:eastAsia="宋体" w:cs="Times New Roman"/>
      <w:kern w:val="2"/>
      <w:sz w:val="18"/>
      <w:szCs w:val="18"/>
    </w:rPr>
  </w:style>
  <w:style w:type="character" w:customStyle="1" w:styleId="21">
    <w:name w:val="页眉 字符"/>
    <w:basedOn w:val="14"/>
    <w:link w:val="11"/>
    <w:qFormat/>
    <w:uiPriority w:val="0"/>
    <w:rPr>
      <w:rFonts w:ascii="Times New Roman" w:hAnsi="Times New Roman" w:eastAsia="宋体" w:cs="Times New Roman"/>
      <w:kern w:val="2"/>
      <w:sz w:val="18"/>
      <w:szCs w:val="18"/>
    </w:rPr>
  </w:style>
  <w:style w:type="character" w:customStyle="1" w:styleId="22">
    <w:name w:val="批注文字 字符"/>
    <w:basedOn w:val="14"/>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3"/>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2260</Words>
  <Characters>2389</Characters>
  <Lines>58</Lines>
  <Paragraphs>16</Paragraphs>
  <TotalTime>15</TotalTime>
  <ScaleCrop>false</ScaleCrop>
  <LinksUpToDate>false</LinksUpToDate>
  <CharactersWithSpaces>2390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2025-05-14T08:56:26Z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4F5A461F2E34448D86D3FEA152C7CDB9_13</vt:lpwstr>
  </property>
  <property fmtid="{D5CDD505-2E9C-101B-9397-08002B2CF9AE}" pid="4" name="KSOTemplateDocerSaveRecord">
    <vt:lpwstr>eyJoZGlkIjoiMTQzNWQ5NDViZTg3MTNhYzExM2FjMDgzOTAxNTk5ZDIifQ==</vt:lpwstr>
  </property>
</Properties>
</file>