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CB74B">
      <w:pPr>
        <w:spacing w:line="540" w:lineRule="exact"/>
        <w:jc w:val="center"/>
        <w:rPr>
          <w:rFonts w:hint="default" w:ascii="Times New Roman" w:hAnsi="Times New Roman" w:eastAsia="华文中宋" w:cs="Times New Roman"/>
          <w:b/>
          <w:kern w:val="0"/>
          <w:sz w:val="52"/>
          <w:szCs w:val="52"/>
          <w:highlight w:val="none"/>
        </w:rPr>
      </w:pPr>
    </w:p>
    <w:p w14:paraId="14B88342">
      <w:pPr>
        <w:spacing w:line="540" w:lineRule="exact"/>
        <w:rPr>
          <w:rFonts w:hint="default" w:ascii="Times New Roman" w:hAnsi="Times New Roman" w:eastAsia="华文中宋" w:cs="Times New Roman"/>
          <w:b/>
          <w:kern w:val="0"/>
          <w:sz w:val="52"/>
          <w:szCs w:val="52"/>
          <w:highlight w:val="none"/>
        </w:rPr>
      </w:pPr>
    </w:p>
    <w:p w14:paraId="23BE6216">
      <w:pPr>
        <w:spacing w:line="540" w:lineRule="exact"/>
        <w:jc w:val="center"/>
        <w:rPr>
          <w:rFonts w:hint="default" w:ascii="Times New Roman" w:hAnsi="Times New Roman" w:eastAsia="华文中宋" w:cs="Times New Roman"/>
          <w:b/>
          <w:kern w:val="0"/>
          <w:sz w:val="52"/>
          <w:szCs w:val="52"/>
          <w:highlight w:val="none"/>
        </w:rPr>
      </w:pPr>
    </w:p>
    <w:p w14:paraId="1D93F9CC">
      <w:pPr>
        <w:spacing w:line="540" w:lineRule="exact"/>
        <w:jc w:val="center"/>
        <w:rPr>
          <w:rFonts w:hint="default" w:ascii="Times New Roman" w:hAnsi="Times New Roman" w:eastAsia="华文中宋" w:cs="Times New Roman"/>
          <w:b/>
          <w:kern w:val="0"/>
          <w:sz w:val="52"/>
          <w:szCs w:val="52"/>
          <w:highlight w:val="none"/>
        </w:rPr>
      </w:pPr>
    </w:p>
    <w:p w14:paraId="647192A8">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object>
          <v:shape id="_x0000_i1025" o:spt="75" type="#_x0000_t75" style="height:682.5pt;width:429pt;" o:ole="t" filled="f" o:preferrelative="t" stroked="f" coordsize="21600,21600">
            <v:path/>
            <v:fill on="f" focussize="0,0"/>
            <v:stroke on="f"/>
            <v:imagedata r:id="rId6" o:title=""/>
            <o:lock v:ext="edit" aspectratio="t"/>
            <w10:wrap type="none"/>
            <w10:anchorlock/>
          </v:shape>
          <o:OLEObject Type="Embed" ProgID="Word.Document.12" ShapeID="_x0000_i1025" DrawAspect="Content" ObjectID="_1468075725" r:id="rId5">
            <o:LockedField>false</o:LockedField>
          </o:OLEObject>
        </w:object>
      </w:r>
      <w:r>
        <w:rPr>
          <w:rFonts w:hint="default" w:ascii="Times New Roman" w:hAnsi="Times New Roman" w:eastAsia="方正小标宋_GBK" w:cs="Times New Roman"/>
          <w:kern w:val="0"/>
          <w:sz w:val="48"/>
          <w:szCs w:val="48"/>
          <w:highlight w:val="none"/>
        </w:rPr>
        <w:object>
          <v:shape id="_x0000_i1026" o:spt="75" type="#_x0000_t75" style="height:628.8pt;width:395.25pt;" o:ole="t" filled="f" o:preferrelative="t" stroked="f" coordsize="21600,21600">
            <v:path/>
            <v:fill on="f" focussize="0,0"/>
            <v:stroke on="f"/>
            <v:imagedata r:id="rId8" o:title=""/>
            <o:lock v:ext="edit" aspectratio="t"/>
            <w10:wrap type="none"/>
            <w10:anchorlock/>
          </v:shape>
          <o:OLEObject Type="Embed" ProgID="Word.Document.12" ShapeID="_x0000_i1026" DrawAspect="Content" ObjectID="_1468075726" r:id="rId7">
            <o:LockedField>false</o:LockedField>
          </o:OLEObject>
        </w:object>
      </w:r>
    </w:p>
    <w:p w14:paraId="08BE7C54">
      <w:pPr>
        <w:spacing w:line="540" w:lineRule="exact"/>
        <w:jc w:val="center"/>
        <w:rPr>
          <w:rFonts w:hint="default" w:ascii="Times New Roman" w:hAnsi="Times New Roman" w:eastAsia="方正小标宋_GBK" w:cs="Times New Roman"/>
          <w:kern w:val="0"/>
          <w:sz w:val="48"/>
          <w:szCs w:val="48"/>
          <w:highlight w:val="none"/>
        </w:rPr>
      </w:pPr>
      <w:r>
        <w:rPr>
          <w:rFonts w:hint="eastAsia" w:eastAsia="方正小标宋_GBK" w:cs="Times New Roman"/>
          <w:kern w:val="0"/>
          <w:sz w:val="48"/>
          <w:szCs w:val="48"/>
          <w:highlight w:val="none"/>
          <w:lang w:val="en-US" w:eastAsia="zh-CN"/>
        </w:rPr>
        <w:t>昌州财教[2023]90号2024年城乡义务教育补助经费预算[中央直达资金]-校舍安全</w:t>
      </w:r>
      <w:r>
        <w:rPr>
          <w:rFonts w:hint="default" w:ascii="Times New Roman" w:hAnsi="Times New Roman" w:eastAsia="方正小标宋_GBK" w:cs="Times New Roman"/>
          <w:kern w:val="0"/>
          <w:sz w:val="48"/>
          <w:szCs w:val="48"/>
          <w:highlight w:val="none"/>
        </w:rPr>
        <w:t>项目支出绩效评价报告</w:t>
      </w:r>
    </w:p>
    <w:p w14:paraId="1CE26E37">
      <w:pPr>
        <w:spacing w:line="540" w:lineRule="exact"/>
        <w:jc w:val="center"/>
        <w:rPr>
          <w:rFonts w:hint="default" w:ascii="Times New Roman" w:hAnsi="Times New Roman" w:eastAsia="华文中宋" w:cs="Times New Roman"/>
          <w:b/>
          <w:kern w:val="0"/>
          <w:sz w:val="52"/>
          <w:szCs w:val="52"/>
          <w:highlight w:val="none"/>
        </w:rPr>
      </w:pPr>
    </w:p>
    <w:p w14:paraId="2F957701">
      <w:pPr>
        <w:spacing w:line="540" w:lineRule="exact"/>
        <w:jc w:val="center"/>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14:paraId="7490494D">
      <w:pPr>
        <w:spacing w:line="540" w:lineRule="exact"/>
        <w:jc w:val="center"/>
        <w:rPr>
          <w:rFonts w:hint="default" w:ascii="Times New Roman" w:hAnsi="Times New Roman" w:eastAsia="仿宋_GB2312" w:cs="Times New Roman"/>
          <w:kern w:val="0"/>
          <w:sz w:val="30"/>
          <w:szCs w:val="30"/>
          <w:highlight w:val="none"/>
        </w:rPr>
      </w:pPr>
    </w:p>
    <w:p w14:paraId="2D6E727E">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w:t>
      </w:r>
      <w:r>
        <w:rPr>
          <w:rFonts w:hint="eastAsia" w:eastAsia="仿宋_GB2312" w:cs="Times New Roman"/>
          <w:kern w:val="0"/>
          <w:sz w:val="36"/>
          <w:szCs w:val="36"/>
          <w:highlight w:val="none"/>
          <w:lang w:val="en-US" w:eastAsia="zh-CN"/>
        </w:rPr>
        <w:t>昌</w:t>
      </w:r>
      <w:r>
        <w:rPr>
          <w:rFonts w:hint="default" w:ascii="Times New Roman" w:hAnsi="Times New Roman" w:eastAsia="仿宋_GB2312" w:cs="Times New Roman"/>
          <w:kern w:val="0"/>
          <w:sz w:val="36"/>
          <w:szCs w:val="36"/>
          <w:highlight w:val="none"/>
        </w:rPr>
        <w:t>州财教[2023]90号2024年城乡义务教育补助经费预算[中央直达资金]-校舍安全</w:t>
      </w:r>
    </w:p>
    <w:p w14:paraId="13FAD283">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val="en-US" w:eastAsia="zh-CN"/>
        </w:rPr>
        <w:t>奇台县第四中学</w:t>
      </w:r>
    </w:p>
    <w:p w14:paraId="6FE2CD31">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val="en-US" w:eastAsia="zh-CN"/>
        </w:rPr>
        <w:t>奇台县教育局</w:t>
      </w:r>
    </w:p>
    <w:p w14:paraId="16676122">
      <w:pPr>
        <w:spacing w:line="700" w:lineRule="exact"/>
        <w:ind w:firstLine="1440" w:firstLineChars="400"/>
        <w:jc w:val="left"/>
        <w:rPr>
          <w:rFonts w:hint="eastAsia"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项目负责人（签章）：李祥</w:t>
      </w:r>
    </w:p>
    <w:p w14:paraId="11E231FD">
      <w:pPr>
        <w:spacing w:line="700" w:lineRule="exact"/>
        <w:ind w:firstLine="1440" w:firstLineChars="400"/>
        <w:jc w:val="left"/>
        <w:rPr>
          <w:rStyle w:val="16"/>
          <w:rFonts w:hint="default" w:ascii="Times New Roman" w:hAnsi="Times New Roman" w:eastAsia="黑体" w:cs="Times New Roman"/>
          <w:b w:val="0"/>
          <w:spacing w:val="-4"/>
          <w:sz w:val="32"/>
          <w:szCs w:val="32"/>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5</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7</w:t>
      </w:r>
      <w:r>
        <w:rPr>
          <w:rFonts w:hint="default" w:ascii="Times New Roman" w:hAnsi="Times New Roman" w:eastAsia="仿宋_GB2312" w:cs="Times New Roman"/>
          <w:kern w:val="0"/>
          <w:sz w:val="36"/>
          <w:szCs w:val="36"/>
          <w:highlight w:val="none"/>
        </w:rPr>
        <w:t>日</w:t>
      </w:r>
    </w:p>
    <w:p w14:paraId="522C026B">
      <w:pPr>
        <w:spacing w:line="540" w:lineRule="exact"/>
        <w:ind w:firstLine="640"/>
        <w:rPr>
          <w:rStyle w:val="16"/>
          <w:rFonts w:hint="default" w:ascii="Times New Roman" w:hAnsi="Times New Roman" w:eastAsia="黑体" w:cs="Times New Roman"/>
          <w:b w:val="0"/>
          <w:spacing w:val="-4"/>
          <w:sz w:val="32"/>
          <w:szCs w:val="32"/>
          <w:highlight w:val="none"/>
        </w:rPr>
      </w:pPr>
    </w:p>
    <w:p w14:paraId="70603DEF">
      <w:pPr>
        <w:spacing w:line="540" w:lineRule="exact"/>
        <w:ind w:firstLine="640"/>
        <w:rPr>
          <w:rStyle w:val="16"/>
          <w:rFonts w:hint="default" w:ascii="Times New Roman" w:hAnsi="Times New Roman" w:eastAsia="黑体" w:cs="Times New Roman"/>
          <w:b w:val="0"/>
          <w:spacing w:val="-4"/>
          <w:sz w:val="32"/>
          <w:szCs w:val="32"/>
          <w:highlight w:val="none"/>
        </w:rPr>
      </w:pPr>
    </w:p>
    <w:p w14:paraId="705F2C2B">
      <w:pPr>
        <w:spacing w:line="540" w:lineRule="exact"/>
        <w:ind w:firstLine="640"/>
        <w:rPr>
          <w:rStyle w:val="16"/>
          <w:rFonts w:hint="default" w:ascii="Times New Roman" w:hAnsi="Times New Roman" w:eastAsia="黑体" w:cs="Times New Roman"/>
          <w:b w:val="0"/>
          <w:spacing w:val="-4"/>
          <w:sz w:val="32"/>
          <w:szCs w:val="32"/>
          <w:highlight w:val="none"/>
        </w:rPr>
      </w:pPr>
    </w:p>
    <w:p w14:paraId="4E39CCC1">
      <w:pPr>
        <w:spacing w:line="560" w:lineRule="exact"/>
        <w:ind w:firstLine="640" w:firstLineChars="200"/>
        <w:rPr>
          <w:rFonts w:hint="default" w:ascii="Times New Roman" w:hAnsi="Times New Roman" w:eastAsia="黑体" w:cs="Times New Roman"/>
          <w:bCs/>
          <w:sz w:val="32"/>
          <w:szCs w:val="32"/>
          <w:highlight w:val="none"/>
        </w:rPr>
      </w:pPr>
    </w:p>
    <w:p w14:paraId="7FD269DE">
      <w:pPr>
        <w:spacing w:line="560" w:lineRule="exact"/>
        <w:ind w:firstLine="640" w:firstLineChars="200"/>
        <w:rPr>
          <w:rFonts w:hint="default" w:ascii="Times New Roman" w:hAnsi="Times New Roman" w:eastAsia="黑体" w:cs="Times New Roman"/>
          <w:bCs/>
          <w:sz w:val="32"/>
          <w:szCs w:val="32"/>
          <w:highlight w:val="none"/>
        </w:rPr>
      </w:pPr>
    </w:p>
    <w:p w14:paraId="1DC25B86">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14:paraId="3C6BACCF">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14:paraId="3B08D3B9">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7620251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根据自治区财政厅《关于提前下达2024年城乡义务教育补助经费预算(中央直达资金)的通知》(新财教[2023]243号)</w:t>
      </w:r>
      <w:r>
        <w:rPr>
          <w:rFonts w:hint="eastAsia" w:eastAsia="仿宋_GB2312" w:cs="Times New Roman"/>
          <w:sz w:val="32"/>
          <w:szCs w:val="32"/>
          <w:highlight w:val="none"/>
          <w:lang w:val="en-US" w:eastAsia="zh-CN"/>
        </w:rPr>
        <w:t>文件，奇台县第四中学致力于校园文件建设，发挥校园文化育人功能，保障学校的正常运转，支持公办学校维修改造、抗震加固、改扩建校舍及其附属设施建设，对学校的基础环境改善具有重要意义。</w:t>
      </w:r>
    </w:p>
    <w:p w14:paraId="2DA92D05">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14:paraId="7CA5DB7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项目主要内容：依据昌州财教[2023]90号2024年城乡义务教育补助经费预算[中央直达资金]-校舍安全，本项目拟投入180万元用于义务教育学校校舍安全资金补助，</w:t>
      </w:r>
      <w:r>
        <w:rPr>
          <w:rFonts w:hint="eastAsia" w:eastAsia="仿宋_GB2312" w:cs="Times New Roman"/>
          <w:sz w:val="32"/>
          <w:szCs w:val="32"/>
          <w:highlight w:val="none"/>
          <w:lang w:val="en-US" w:eastAsia="zh-CN"/>
        </w:rPr>
        <w:t>进行</w:t>
      </w:r>
      <w:r>
        <w:rPr>
          <w:rFonts w:hint="default" w:ascii="Times New Roman" w:hAnsi="Times New Roman" w:eastAsia="仿宋_GB2312" w:cs="Times New Roman"/>
          <w:sz w:val="32"/>
          <w:szCs w:val="32"/>
          <w:highlight w:val="none"/>
          <w:lang w:val="en-US" w:eastAsia="zh-CN"/>
        </w:rPr>
        <w:t>消防改造面积5600平方米，</w:t>
      </w:r>
      <w:r>
        <w:rPr>
          <w:rFonts w:hint="eastAsia" w:eastAsia="仿宋_GB2312" w:cs="Times New Roman"/>
          <w:sz w:val="32"/>
          <w:szCs w:val="32"/>
          <w:highlight w:val="none"/>
          <w:lang w:val="en-US" w:eastAsia="zh-CN"/>
        </w:rPr>
        <w:t>使</w:t>
      </w:r>
      <w:r>
        <w:rPr>
          <w:rFonts w:hint="default" w:ascii="Times New Roman" w:hAnsi="Times New Roman" w:eastAsia="仿宋_GB2312" w:cs="Times New Roman"/>
          <w:sz w:val="32"/>
          <w:szCs w:val="32"/>
          <w:highlight w:val="none"/>
          <w:lang w:val="en-US" w:eastAsia="zh-CN"/>
        </w:rPr>
        <w:t>受益人数</w:t>
      </w:r>
      <w:r>
        <w:rPr>
          <w:rFonts w:hint="eastAsia" w:eastAsia="仿宋_GB2312" w:cs="Times New Roman"/>
          <w:sz w:val="32"/>
          <w:szCs w:val="32"/>
          <w:highlight w:val="none"/>
          <w:lang w:val="en-US" w:eastAsia="zh-CN"/>
        </w:rPr>
        <w:t>达</w:t>
      </w:r>
      <w:r>
        <w:rPr>
          <w:rFonts w:hint="default" w:ascii="Times New Roman" w:hAnsi="Times New Roman" w:eastAsia="仿宋_GB2312" w:cs="Times New Roman"/>
          <w:sz w:val="32"/>
          <w:szCs w:val="32"/>
          <w:highlight w:val="none"/>
          <w:lang w:val="en-US" w:eastAsia="zh-CN"/>
        </w:rPr>
        <w:t>1875人，</w:t>
      </w:r>
      <w:r>
        <w:rPr>
          <w:rFonts w:hint="eastAsia" w:eastAsia="仿宋_GB2312" w:cs="Times New Roman"/>
          <w:sz w:val="32"/>
          <w:szCs w:val="32"/>
          <w:highlight w:val="none"/>
          <w:lang w:val="en-US" w:eastAsia="zh-CN"/>
        </w:rPr>
        <w:t>保障学生的学习环境得到改善，教师的办公基础设施得到保障。</w:t>
      </w:r>
    </w:p>
    <w:p w14:paraId="109A18E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项目实施情况：</w:t>
      </w:r>
      <w:r>
        <w:rPr>
          <w:rFonts w:hint="eastAsia" w:ascii="Times New Roman" w:hAnsi="Times New Roman" w:eastAsia="仿宋_GB2312" w:cs="Times New Roman"/>
          <w:sz w:val="32"/>
          <w:szCs w:val="32"/>
          <w:highlight w:val="none"/>
          <w:lang w:val="en-US" w:eastAsia="zh-CN"/>
        </w:rPr>
        <w:t>通过资金的投入奇台县第四中学完成了消防改造面积5600平方米，竣工验收合格率达到100%，项目资金支付率100%，受益人数达到1875人，项目的实施有效提高了学生学习环境，促进了学校基础设施的建设。</w:t>
      </w:r>
    </w:p>
    <w:p w14:paraId="3A27FA4C">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2FDAAC0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620B5C82">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180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180</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中央财政拨款资金</w:t>
      </w:r>
      <w:r>
        <w:rPr>
          <w:rFonts w:hint="default" w:ascii="Times New Roman" w:hAnsi="Times New Roman" w:eastAsia="仿宋_GB2312" w:cs="Times New Roman"/>
          <w:sz w:val="32"/>
          <w:szCs w:val="32"/>
          <w:highlight w:val="none"/>
          <w:lang w:val="en-US" w:eastAsia="zh-CN"/>
        </w:rPr>
        <w:t>。</w:t>
      </w:r>
    </w:p>
    <w:p w14:paraId="049BD2A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3A97613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180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180</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180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完成了消防改造面积5600平方米</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有效提高了学生学习环境，促进了学校基础设施的建设</w:t>
      </w:r>
      <w:r>
        <w:rPr>
          <w:rFonts w:hint="default" w:ascii="Times New Roman" w:hAnsi="Times New Roman" w:eastAsia="仿宋_GB2312" w:cs="Times New Roman"/>
          <w:sz w:val="32"/>
          <w:szCs w:val="32"/>
          <w:highlight w:val="none"/>
          <w:lang w:val="en-US" w:eastAsia="zh-CN"/>
        </w:rPr>
        <w:t>。</w:t>
      </w:r>
    </w:p>
    <w:p w14:paraId="2CD1568D">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14:paraId="0FA8A7B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14:paraId="6B4E6CB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依据昌州财教[2023]90号2024年城乡义务教育补助经费预算[中央直达资金]-校舍安全，本项目拟投入180万元用于义务教育学校校舍安全资金补助，消防改造面积5600平方米，竣工验收合格率100%，项目资金支付率100%，按计划开工和完工，项目预算控制率100%，受益人数1875人，使学生和老师满意度大于等于90%</w:t>
      </w:r>
      <w:r>
        <w:rPr>
          <w:rFonts w:hint="eastAsia" w:ascii="Times New Roman" w:hAnsi="Times New Roman" w:eastAsia="仿宋_GB2312" w:cs="Times New Roman"/>
          <w:sz w:val="32"/>
          <w:szCs w:val="32"/>
          <w:highlight w:val="none"/>
          <w:lang w:val="en-US" w:eastAsia="zh-CN"/>
        </w:rPr>
        <w:t>。</w:t>
      </w:r>
    </w:p>
    <w:p w14:paraId="457DF245">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14:paraId="524DCFC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截止2024年8月31日支付53.08万元，消防改造工程数量</w:t>
      </w:r>
      <w:r>
        <w:rPr>
          <w:rFonts w:hint="eastAsia" w:eastAsia="仿宋_GB2312" w:cs="Times New Roman"/>
          <w:sz w:val="32"/>
          <w:szCs w:val="32"/>
          <w:highlight w:val="none"/>
          <w:lang w:val="en-US" w:eastAsia="zh-CN"/>
        </w:rPr>
        <w:t>1个</w:t>
      </w:r>
      <w:r>
        <w:rPr>
          <w:rFonts w:hint="default" w:ascii="Times New Roman" w:hAnsi="Times New Roman" w:eastAsia="仿宋_GB2312" w:cs="Times New Roman"/>
          <w:sz w:val="32"/>
          <w:szCs w:val="32"/>
          <w:highlight w:val="none"/>
          <w:lang w:val="en-US" w:eastAsia="zh-CN"/>
        </w:rPr>
        <w:t>，竣工验收合格率达到100%，项目资金支付率29.49%，</w:t>
      </w:r>
      <w:r>
        <w:rPr>
          <w:rFonts w:hint="eastAsia"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lang w:val="en-US" w:eastAsia="zh-CN"/>
        </w:rPr>
        <w:t>按计划开工，项目预算控制率</w:t>
      </w:r>
      <w:r>
        <w:rPr>
          <w:rFonts w:hint="eastAsia" w:eastAsia="仿宋_GB2312" w:cs="Times New Roman"/>
          <w:sz w:val="32"/>
          <w:szCs w:val="32"/>
          <w:highlight w:val="none"/>
          <w:lang w:val="en-US" w:eastAsia="zh-CN"/>
        </w:rPr>
        <w:t>29.49</w:t>
      </w:r>
      <w:r>
        <w:rPr>
          <w:rFonts w:hint="default" w:ascii="Times New Roman" w:hAnsi="Times New Roman" w:eastAsia="仿宋_GB2312" w:cs="Times New Roman"/>
          <w:sz w:val="32"/>
          <w:szCs w:val="32"/>
          <w:highlight w:val="none"/>
          <w:lang w:val="en-US" w:eastAsia="zh-CN"/>
        </w:rPr>
        <w:t>%，通过本项目的实施，得到提高学生学习环境66.67%</w:t>
      </w:r>
      <w:r>
        <w:rPr>
          <w:rFonts w:hint="eastAsia" w:ascii="Times New Roman" w:hAnsi="Times New Roman" w:eastAsia="仿宋_GB2312" w:cs="Times New Roman"/>
          <w:sz w:val="32"/>
          <w:szCs w:val="32"/>
          <w:highlight w:val="none"/>
          <w:lang w:val="en-US" w:eastAsia="zh-CN"/>
        </w:rPr>
        <w:t>。</w:t>
      </w:r>
    </w:p>
    <w:p w14:paraId="191DB8D3">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01E881D5">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14:paraId="49A8ADD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4A546F2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w:t>
      </w:r>
      <w:r>
        <w:rPr>
          <w:rFonts w:hint="eastAsia" w:ascii="Times New Roman" w:hAnsi="Times New Roman" w:eastAsia="仿宋_GB2312" w:cs="Times New Roman"/>
          <w:sz w:val="32"/>
          <w:szCs w:val="32"/>
          <w:highlight w:val="none"/>
          <w:lang w:val="en-US" w:eastAsia="zh-CN"/>
        </w:rPr>
        <w:t>，如消防改造面积、消防改造工程数量、资金的支付等多方面进行了预测，使项目更加完整</w:t>
      </w:r>
      <w:r>
        <w:rPr>
          <w:rFonts w:hint="eastAsia" w:eastAsia="仿宋_GB2312" w:cs="Times New Roman"/>
          <w:sz w:val="32"/>
          <w:szCs w:val="32"/>
          <w:highlight w:val="none"/>
          <w:lang w:val="en-US" w:eastAsia="zh-CN"/>
        </w:rPr>
        <w:t>，监管更加严格。</w:t>
      </w:r>
    </w:p>
    <w:p w14:paraId="618D1A0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评价数据的完整性:涵盖多个渠道，项目实施单位的监测数据、实地</w:t>
      </w:r>
      <w:r>
        <w:rPr>
          <w:rFonts w:hint="eastAsia" w:eastAsia="仿宋_GB2312" w:cs="Times New Roman"/>
          <w:sz w:val="32"/>
          <w:szCs w:val="32"/>
          <w:highlight w:val="none"/>
          <w:lang w:val="en-US" w:eastAsia="zh-CN"/>
        </w:rPr>
        <w:t>勘察数据</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师生的</w:t>
      </w:r>
      <w:r>
        <w:rPr>
          <w:rFonts w:hint="default" w:ascii="Times New Roman" w:hAnsi="Times New Roman" w:eastAsia="仿宋_GB2312" w:cs="Times New Roman"/>
          <w:sz w:val="32"/>
          <w:szCs w:val="32"/>
          <w:highlight w:val="none"/>
          <w:lang w:val="en-US" w:eastAsia="zh-CN"/>
        </w:rPr>
        <w:t>问卷调查数据等，确保从不同角度获取与</w:t>
      </w:r>
      <w:r>
        <w:rPr>
          <w:rFonts w:hint="eastAsia" w:ascii="Times New Roman" w:hAnsi="Times New Roman" w:eastAsia="仿宋_GB2312" w:cs="Times New Roman"/>
          <w:sz w:val="32"/>
          <w:szCs w:val="32"/>
          <w:highlight w:val="none"/>
          <w:lang w:val="en-US" w:eastAsia="zh-CN"/>
        </w:rPr>
        <w:t>校舍安全</w:t>
      </w:r>
      <w:r>
        <w:rPr>
          <w:rFonts w:hint="default" w:ascii="Times New Roman" w:hAnsi="Times New Roman" w:eastAsia="仿宋_GB2312" w:cs="Times New Roman"/>
          <w:sz w:val="32"/>
          <w:szCs w:val="32"/>
          <w:highlight w:val="none"/>
          <w:lang w:val="en-US" w:eastAsia="zh-CN"/>
        </w:rPr>
        <w:t>绩效相关的信息。</w:t>
      </w:r>
    </w:p>
    <w:p w14:paraId="5F2A636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对收集的数据进行严格的审核和验证，确保数据的真实性、准确性和一致性。同时，建立数据管理系统，对数据进行规范存储和管理，便于随时查询和使用，为评价工作提供可靠的数据支持。</w:t>
      </w:r>
    </w:p>
    <w:p w14:paraId="7F5CC21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w:t>
      </w:r>
      <w:r>
        <w:rPr>
          <w:rFonts w:hint="eastAsia" w:ascii="Times New Roman" w:hAnsi="Times New Roman" w:eastAsia="仿宋_GB2312" w:cs="Times New Roman"/>
          <w:sz w:val="32"/>
          <w:szCs w:val="32"/>
          <w:highlight w:val="none"/>
          <w:lang w:val="en-US" w:eastAsia="zh-CN"/>
        </w:rPr>
        <w:t>数量、质量、</w:t>
      </w:r>
      <w:r>
        <w:rPr>
          <w:rFonts w:hint="default" w:ascii="Times New Roman" w:hAnsi="Times New Roman" w:eastAsia="仿宋_GB2312" w:cs="Times New Roman"/>
          <w:sz w:val="32"/>
          <w:szCs w:val="32"/>
          <w:highlight w:val="none"/>
          <w:lang w:val="en-US" w:eastAsia="zh-CN"/>
        </w:rPr>
        <w:t>社会效益</w:t>
      </w:r>
      <w:r>
        <w:rPr>
          <w:rFonts w:hint="eastAsia" w:ascii="Times New Roman" w:hAnsi="Times New Roman" w:eastAsia="仿宋_GB2312" w:cs="Times New Roman"/>
          <w:sz w:val="32"/>
          <w:szCs w:val="32"/>
          <w:highlight w:val="none"/>
          <w:lang w:val="en-US" w:eastAsia="zh-CN"/>
        </w:rPr>
        <w:t>、满意度</w:t>
      </w:r>
      <w:r>
        <w:rPr>
          <w:rFonts w:hint="default" w:ascii="Times New Roman" w:hAnsi="Times New Roman" w:eastAsia="仿宋_GB2312" w:cs="Times New Roman"/>
          <w:sz w:val="32"/>
          <w:szCs w:val="32"/>
          <w:highlight w:val="none"/>
          <w:lang w:val="en-US" w:eastAsia="zh-CN"/>
        </w:rPr>
        <w:t>多个维度，力求全方位反映项目的绩效状况。同时，对于每个指标的评价标准和数据来源均进行了明确说明，确保评价结果的客观性和可追溯性。</w:t>
      </w:r>
    </w:p>
    <w:p w14:paraId="13F025F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3552892">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3079A9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3FAA85D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w:t>
      </w:r>
      <w:r>
        <w:rPr>
          <w:rFonts w:hint="eastAsia" w:eastAsia="仿宋_GB2312" w:cs="Times New Roman"/>
          <w:sz w:val="32"/>
          <w:szCs w:val="32"/>
          <w:highlight w:val="none"/>
          <w:lang w:val="en-US" w:eastAsia="zh-CN"/>
        </w:rPr>
        <w:t>数量、质量、</w:t>
      </w:r>
      <w:r>
        <w:rPr>
          <w:rFonts w:hint="default" w:ascii="Times New Roman" w:hAnsi="Times New Roman" w:eastAsia="仿宋_GB2312" w:cs="Times New Roman"/>
          <w:sz w:val="32"/>
          <w:szCs w:val="32"/>
          <w:highlight w:val="none"/>
        </w:rPr>
        <w:t>社会效益、</w:t>
      </w:r>
      <w:r>
        <w:rPr>
          <w:rFonts w:hint="eastAsia" w:eastAsia="仿宋_GB2312" w:cs="Times New Roman"/>
          <w:sz w:val="32"/>
          <w:szCs w:val="32"/>
          <w:highlight w:val="none"/>
          <w:lang w:val="en-US" w:eastAsia="zh-CN"/>
        </w:rPr>
        <w:t>满意度</w:t>
      </w:r>
      <w:r>
        <w:rPr>
          <w:rFonts w:hint="default" w:ascii="Times New Roman" w:hAnsi="Times New Roman" w:eastAsia="仿宋_GB2312" w:cs="Times New Roman"/>
          <w:sz w:val="32"/>
          <w:szCs w:val="32"/>
          <w:highlight w:val="none"/>
        </w:rPr>
        <w:t>等多维度指标，为项目后续的改进与优化提供科学依据</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从而</w:t>
      </w:r>
      <w:r>
        <w:rPr>
          <w:rFonts w:hint="default" w:ascii="Times New Roman" w:hAnsi="Times New Roman" w:eastAsia="仿宋_GB2312" w:cs="Times New Roman"/>
          <w:sz w:val="32"/>
          <w:szCs w:val="32"/>
          <w:highlight w:val="none"/>
        </w:rPr>
        <w:t>判断政策目标的实现程度。</w:t>
      </w:r>
    </w:p>
    <w:p w14:paraId="3DC76E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217F27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为后续资金分配、资源投入方向提供科学依据，使资源得到更合理有效的利用</w:t>
      </w:r>
      <w:r>
        <w:rPr>
          <w:rFonts w:hint="eastAsia" w:eastAsia="仿宋_GB2312" w:cs="Times New Roman"/>
          <w:sz w:val="32"/>
          <w:szCs w:val="32"/>
          <w:highlight w:val="none"/>
          <w:lang w:eastAsia="zh-CN"/>
        </w:rPr>
        <w:t>。</w:t>
      </w:r>
    </w:p>
    <w:p w14:paraId="4CFBBA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BF7C0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并及时发现问题及解决问题，提高项目的完成质量，保证资金发挥到最大效果。</w:t>
      </w:r>
    </w:p>
    <w:p w14:paraId="21AF9E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37EE4B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66F44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0E07E9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E5F8AD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1128FB6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本项目预算绩效评价报告的评价对象是昌州财教[2023]90号2024年城乡义务教育补助经费预算[中央直达资金]-校舍安全及其预算执行情况。该项目由</w:t>
      </w:r>
      <w:r>
        <w:rPr>
          <w:rFonts w:hint="eastAsia" w:ascii="Times New Roman" w:hAnsi="Times New Roman" w:eastAsia="仿宋_GB2312" w:cs="Times New Roman"/>
          <w:b w:val="0"/>
          <w:bCs w:val="0"/>
          <w:highlight w:val="none"/>
          <w:lang w:val="en-US" w:eastAsia="zh-CN"/>
        </w:rPr>
        <w:t>奇台县第四中学</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val="en-US" w:eastAsia="zh-CN"/>
        </w:rPr>
        <w:t>完成5600平方米的消防改造面积，并已验收竣工，为学生提供一个良好的学习环境</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180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7D25C5B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14:paraId="2208BEA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rPr>
        <w:t>本项目预算绩效评价报告的评价范围广泛而全面，涵盖了</w:t>
      </w:r>
      <w:r>
        <w:rPr>
          <w:rFonts w:hint="eastAsia" w:ascii="Times New Roman" w:hAnsi="Times New Roman" w:eastAsia="仿宋_GB2312" w:cs="Times New Roman"/>
          <w:b w:val="0"/>
          <w:bCs w:val="0"/>
          <w:highlight w:val="none"/>
          <w:lang w:val="en-US" w:eastAsia="zh-CN"/>
        </w:rPr>
        <w:t>项目的运算编制及执行、资金的管理、项目实施的进度和产出效益带来的成果。</w:t>
      </w:r>
    </w:p>
    <w:p w14:paraId="2BB74C3E">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3039D058">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1B7BEDF4">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w:t>
      </w:r>
      <w:r>
        <w:rPr>
          <w:rFonts w:hint="eastAsia" w:ascii="Times New Roman" w:hAnsi="Times New Roman" w:eastAsia="仿宋_GB2312" w:cs="Times New Roman"/>
          <w:b w:val="0"/>
          <w:bCs w:val="0"/>
          <w:highlight w:val="none"/>
          <w:lang w:val="en-US" w:eastAsia="zh-CN"/>
        </w:rPr>
        <w:t>及效益指标</w:t>
      </w:r>
      <w:r>
        <w:rPr>
          <w:rFonts w:hint="default" w:ascii="Times New Roman" w:hAnsi="Times New Roman" w:eastAsia="仿宋_GB2312" w:cs="Times New Roman"/>
          <w:b w:val="0"/>
          <w:bCs w:val="0"/>
          <w:highlight w:val="none"/>
        </w:rPr>
        <w:t>：评估项目是否按照既定计划顺利推进，各项任务是否按时完成，以及项目产出的数量、质量</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时效性</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满意度</w:t>
      </w:r>
      <w:r>
        <w:rPr>
          <w:rFonts w:hint="default" w:ascii="Times New Roman" w:hAnsi="Times New Roman" w:eastAsia="仿宋_GB2312" w:cs="Times New Roman"/>
          <w:b w:val="0"/>
          <w:bCs w:val="0"/>
          <w:highlight w:val="none"/>
        </w:rPr>
        <w:t>是否符合预期。</w:t>
      </w:r>
    </w:p>
    <w:p w14:paraId="467D2AE9">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3D36143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46126B0B">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71DD9F08">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729786F3">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5BF023A4">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0E413496">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75E861E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7FE90C37">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06498CC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5C741FF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5A2D23C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354D0E74">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7500D1A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55A9731F">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00BE2818">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639E0CAB">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0676E67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0016E45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24E8FF1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w:t>
      </w:r>
      <w:r>
        <w:rPr>
          <w:rFonts w:hint="default" w:ascii="Times New Roman" w:hAnsi="Times New Roman" w:eastAsia="仿宋_GB2312" w:cs="Times New Roman"/>
          <w:color w:val="000000"/>
          <w:spacing w:val="17"/>
          <w:sz w:val="32"/>
          <w:szCs w:val="32"/>
          <w:highlight w:val="none"/>
        </w:rPr>
        <w:t>下：</w:t>
      </w:r>
    </w:p>
    <w:p w14:paraId="54815B8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14:paraId="5FC7013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14:paraId="4B4D400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14:paraId="48ADD35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四</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p>
    <w:p w14:paraId="4C0D8D9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6094C13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行业标准</w:t>
      </w:r>
      <w:r>
        <w:rPr>
          <w:rFonts w:hint="default" w:ascii="Times New Roman" w:hAnsi="Times New Roman" w:eastAsia="仿宋_GB2312" w:cs="Times New Roman"/>
          <w:b w:val="0"/>
          <w:bCs w:val="0"/>
          <w:highlight w:val="none"/>
        </w:rPr>
        <w:t>。</w:t>
      </w:r>
    </w:p>
    <w:p w14:paraId="5400F939">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14:paraId="70CDBD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w:t>
      </w:r>
      <w:r>
        <w:rPr>
          <w:rFonts w:hint="eastAsia" w:eastAsia="仿宋_GB2312" w:cs="Times New Roman"/>
          <w:sz w:val="32"/>
          <w:szCs w:val="32"/>
          <w:highlight w:val="none"/>
          <w:lang w:val="en-US" w:eastAsia="zh-CN"/>
        </w:rPr>
        <w:t>阶段</w:t>
      </w:r>
    </w:p>
    <w:p w14:paraId="48380D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w:t>
      </w:r>
      <w:r>
        <w:rPr>
          <w:rFonts w:hint="eastAsia" w:eastAsia="仿宋_GB2312" w:cs="Times New Roman"/>
          <w:sz w:val="32"/>
          <w:szCs w:val="32"/>
          <w:highlight w:val="none"/>
          <w:lang w:val="en-US" w:eastAsia="zh-CN"/>
        </w:rPr>
        <w:t>人员</w:t>
      </w:r>
      <w:r>
        <w:rPr>
          <w:rFonts w:hint="default" w:ascii="Times New Roman" w:hAnsi="Times New Roman" w:eastAsia="仿宋_GB2312" w:cs="Times New Roman"/>
          <w:sz w:val="32"/>
          <w:szCs w:val="32"/>
          <w:highlight w:val="none"/>
        </w:rPr>
        <w:t>组成，确保项目绩效进行评价。同时，明确了评价工作的目标、范围、重点及时间安排，制定了详细的工作计划，为评价工作的顺利开展奠定了坚实基础。</w:t>
      </w:r>
    </w:p>
    <w:p w14:paraId="6D99A7A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制定评价方案：规划评价工作的具体流程、时间安排、人员分工、数据收集方法和预算等，确保评价工作有序推进。</w:t>
      </w:r>
    </w:p>
    <w:p w14:paraId="10CE48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0984F7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收集与项目相关的各类数据，包括财务报表、项目文档、业务数据、等。在数据收集过程中，注重数据的质量与完整性，对缺失或异</w:t>
      </w:r>
      <w:r>
        <w:rPr>
          <w:rFonts w:hint="eastAsia" w:eastAsia="仿宋_GB2312" w:cs="Times New Roman"/>
          <w:sz w:val="32"/>
          <w:szCs w:val="32"/>
          <w:highlight w:val="none"/>
          <w:lang w:val="en-US" w:eastAsia="zh-CN"/>
        </w:rPr>
        <w:t>验收报告、审计报告。满意度问卷等</w:t>
      </w:r>
      <w:r>
        <w:rPr>
          <w:rFonts w:hint="default" w:ascii="Times New Roman" w:hAnsi="Times New Roman" w:eastAsia="仿宋_GB2312" w:cs="Times New Roman"/>
          <w:sz w:val="32"/>
          <w:szCs w:val="32"/>
          <w:highlight w:val="none"/>
          <w:lang w:eastAsia="zh-CN"/>
        </w:rPr>
        <w:t>数据进行了合理的处理和补充。随后，对收集到的数据进行了系统的整理与分类，为后续的数据分析提供了有力支持。</w:t>
      </w:r>
    </w:p>
    <w:p w14:paraId="0CDB27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75E546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对收集到的数据进行了深入挖掘与分析</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并通过走访看收集的数据误差是否过大，在</w:t>
      </w:r>
      <w:r>
        <w:rPr>
          <w:rFonts w:hint="default" w:ascii="Times New Roman" w:hAnsi="Times New Roman" w:eastAsia="仿宋_GB2312" w:cs="Times New Roman"/>
          <w:sz w:val="32"/>
          <w:szCs w:val="32"/>
          <w:highlight w:val="none"/>
          <w:lang w:eastAsia="zh-CN"/>
        </w:rPr>
        <w:t>通过对各项绩效指标的实际完成情况与预期目标进行对比，计算出指标的达成率，并结合指标权重进行综合评分，从而得出项目的整体绩效评价结果。在分析过程中，注重数据之间的关联性与逻辑性，对收集到的数据进行分类整理，检查数据的完整性、准确性和一致性，剔除无效或错误数据，对缺失数据进行补充调查，</w:t>
      </w:r>
      <w:r>
        <w:rPr>
          <w:rFonts w:hint="eastAsia" w:eastAsia="仿宋_GB2312" w:cs="Times New Roman"/>
          <w:sz w:val="32"/>
          <w:szCs w:val="32"/>
          <w:highlight w:val="none"/>
          <w:lang w:val="en-US" w:eastAsia="zh-CN"/>
        </w:rPr>
        <w:t>并建立相应台账，</w:t>
      </w:r>
      <w:r>
        <w:rPr>
          <w:rFonts w:hint="default" w:ascii="Times New Roman" w:hAnsi="Times New Roman" w:eastAsia="仿宋_GB2312" w:cs="Times New Roman"/>
          <w:sz w:val="32"/>
          <w:szCs w:val="32"/>
          <w:highlight w:val="none"/>
          <w:lang w:eastAsia="zh-CN"/>
        </w:rPr>
        <w:t>确保数据质量可靠。</w:t>
      </w:r>
      <w:r>
        <w:rPr>
          <w:rFonts w:hint="eastAsia" w:eastAsia="仿宋_GB2312" w:cs="Times New Roman"/>
          <w:sz w:val="32"/>
          <w:szCs w:val="32"/>
          <w:highlight w:val="none"/>
          <w:lang w:val="en-US" w:eastAsia="zh-CN"/>
        </w:rPr>
        <w:t xml:space="preserve"> </w:t>
      </w:r>
    </w:p>
    <w:p w14:paraId="4812F1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 xml:space="preserve">（5） 报告的撰写   </w:t>
      </w:r>
    </w:p>
    <w:p w14:paraId="091D78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一是</w:t>
      </w: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w:t>
      </w:r>
      <w:r>
        <w:rPr>
          <w:rFonts w:hint="eastAsia" w:eastAsia="仿宋_GB2312" w:cs="Times New Roman"/>
          <w:sz w:val="32"/>
          <w:szCs w:val="32"/>
          <w:highlight w:val="none"/>
          <w:lang w:val="en-US" w:eastAsia="zh-CN"/>
        </w:rPr>
        <w:t>二是针对</w:t>
      </w:r>
      <w:r>
        <w:rPr>
          <w:rFonts w:hint="default" w:ascii="Times New Roman" w:hAnsi="Times New Roman" w:eastAsia="仿宋_GB2312" w:cs="Times New Roman"/>
          <w:sz w:val="32"/>
          <w:szCs w:val="32"/>
          <w:highlight w:val="none"/>
          <w:lang w:eastAsia="zh-CN"/>
        </w:rPr>
        <w:t>报告内容包括项目背景、评价目的、评价指标体系、数据收集与分析方法、绩效评价结果、存在问题与改进建议等多个部分，力求条理清晰、重点突出、语言简洁明了。</w:t>
      </w:r>
      <w:r>
        <w:rPr>
          <w:rFonts w:hint="eastAsia" w:eastAsia="仿宋_GB2312" w:cs="Times New Roman"/>
          <w:sz w:val="32"/>
          <w:szCs w:val="32"/>
          <w:highlight w:val="none"/>
          <w:lang w:val="en-US" w:eastAsia="zh-CN"/>
        </w:rPr>
        <w:t>三是</w:t>
      </w:r>
      <w:r>
        <w:rPr>
          <w:rFonts w:hint="default" w:ascii="Times New Roman" w:hAnsi="Times New Roman" w:eastAsia="仿宋_GB2312" w:cs="Times New Roman"/>
          <w:sz w:val="32"/>
          <w:szCs w:val="32"/>
          <w:highlight w:val="none"/>
          <w:lang w:eastAsia="zh-CN"/>
        </w:rPr>
        <w:t>在报告撰写</w:t>
      </w:r>
      <w:r>
        <w:rPr>
          <w:rFonts w:hint="eastAsia" w:eastAsia="仿宋_GB2312" w:cs="Times New Roman"/>
          <w:sz w:val="32"/>
          <w:szCs w:val="32"/>
          <w:highlight w:val="none"/>
          <w:lang w:val="en-US" w:eastAsia="zh-CN"/>
        </w:rPr>
        <w:t>完成后及时</w:t>
      </w:r>
      <w:r>
        <w:rPr>
          <w:rFonts w:hint="default" w:ascii="Times New Roman" w:hAnsi="Times New Roman" w:eastAsia="仿宋_GB2312" w:cs="Times New Roman"/>
          <w:sz w:val="32"/>
          <w:szCs w:val="32"/>
          <w:highlight w:val="none"/>
          <w:lang w:eastAsia="zh-CN"/>
        </w:rPr>
        <w:t>进行反馈，听取各方意见与建议，对报告内容进行进一步的完善与优化，确保评价报告的质量与实用性</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为使用者提供相应的依据。</w:t>
      </w:r>
    </w:p>
    <w:p w14:paraId="01F45D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51F42D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w:t>
      </w:r>
      <w:r>
        <w:rPr>
          <w:rFonts w:hint="default" w:ascii="Times New Roman" w:hAnsi="Times New Roman" w:eastAsia="仿宋_GB2312" w:cs="Times New Roman"/>
          <w:sz w:val="32"/>
          <w:szCs w:val="32"/>
          <w:highlight w:val="none"/>
          <w:lang w:eastAsia="zh-CN"/>
        </w:rPr>
        <w:t>同时，将评价结果作为后续项目立项、资金分配的重要参考依据</w:t>
      </w:r>
    </w:p>
    <w:p w14:paraId="34EE2A89">
      <w:pPr>
        <w:numPr>
          <w:ilvl w:val="0"/>
          <w:numId w:val="3"/>
        </w:numPr>
        <w:spacing w:line="560" w:lineRule="exact"/>
        <w:ind w:firstLine="640" w:firstLineChars="200"/>
        <w:rPr>
          <w:rFonts w:hint="default" w:ascii="Times New Roman" w:hAnsi="Times New Roman" w:eastAsia="黑体" w:cs="Times New Roman"/>
          <w:sz w:val="32"/>
          <w:szCs w:val="32"/>
          <w:highlight w:val="none"/>
        </w:rPr>
      </w:pPr>
      <w:bookmarkStart w:id="3" w:name="_GoBack"/>
      <w:r>
        <w:rPr>
          <w:rFonts w:hint="default" w:ascii="Times New Roman" w:hAnsi="Times New Roman" w:eastAsia="黑体" w:cs="Times New Roman"/>
          <w:sz w:val="32"/>
          <w:szCs w:val="32"/>
          <w:highlight w:val="none"/>
        </w:rPr>
        <w:t>综合评价情况及评价结论（附相关评分表）</w:t>
      </w:r>
    </w:p>
    <w:p w14:paraId="4FBF0164">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bookmarkEnd w:id="3"/>
    <w:p w14:paraId="4C093C5D">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[昌州财教[2023]90号2024年城乡义务教育补助经费预算[中央直达资金]-校舍安全]</w:t>
      </w:r>
      <w:r>
        <w:rPr>
          <w:rFonts w:hint="default" w:ascii="Times New Roman" w:hAnsi="Times New Roman" w:eastAsia="仿宋_GB2312" w:cs="Times New Roman"/>
          <w:sz w:val="32"/>
          <w:szCs w:val="32"/>
          <w:highlight w:val="none"/>
        </w:rPr>
        <w:t>在[消防改造面积、消防改造工程数量</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竣工验收合格率</w:t>
      </w:r>
      <w:r>
        <w:rPr>
          <w:rFonts w:hint="eastAsia" w:eastAsia="仿宋_GB2312" w:cs="Times New Roman"/>
          <w:sz w:val="32"/>
          <w:szCs w:val="32"/>
          <w:highlight w:val="none"/>
          <w:lang w:eastAsia="zh-CN"/>
        </w:rPr>
        <w:t>、项目资金支付率、按计划开工时间</w:t>
      </w:r>
      <w:r>
        <w:rPr>
          <w:rFonts w:hint="default" w:ascii="Times New Roman" w:hAnsi="Times New Roman" w:eastAsia="仿宋_GB2312" w:cs="Times New Roman"/>
          <w:sz w:val="32"/>
          <w:szCs w:val="32"/>
          <w:highlight w:val="none"/>
        </w:rPr>
        <w:t>等方面表现出色，达到了预期的标准与要求。同时，</w:t>
      </w:r>
      <w:r>
        <w:rPr>
          <w:rFonts w:hint="eastAsia" w:eastAsia="仿宋_GB2312" w:cs="Times New Roman"/>
          <w:sz w:val="32"/>
          <w:szCs w:val="32"/>
          <w:highlight w:val="none"/>
          <w:lang w:val="en-US" w:eastAsia="zh-CN"/>
        </w:rPr>
        <w:t>针对项目验收的情况进行核实，杜绝了质量不合格问题的发生</w:t>
      </w:r>
      <w:r>
        <w:rPr>
          <w:rFonts w:hint="default" w:ascii="Times New Roman" w:hAnsi="Times New Roman" w:eastAsia="仿宋_GB2312" w:cs="Times New Roman"/>
          <w:sz w:val="32"/>
          <w:szCs w:val="32"/>
          <w:highlight w:val="none"/>
        </w:rPr>
        <w:t>。</w:t>
      </w:r>
    </w:p>
    <w:p w14:paraId="13D8D851">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我单位在项目管理方面严格按照项目的开工时间和完工时间进行催促，并保证项目的质量的合格问题，配备专门的人员进行跟踪，确保了项目的顺利实施，是学校的设施得到了提升</w:t>
      </w:r>
      <w:r>
        <w:rPr>
          <w:rFonts w:hint="default" w:ascii="Times New Roman" w:hAnsi="Times New Roman" w:eastAsia="仿宋_GB2312" w:cs="Times New Roman"/>
          <w:sz w:val="32"/>
          <w:szCs w:val="32"/>
          <w:highlight w:val="none"/>
        </w:rPr>
        <w:t>。</w:t>
      </w:r>
    </w:p>
    <w:p w14:paraId="2F565C34">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w:t>
      </w:r>
      <w:r>
        <w:rPr>
          <w:rFonts w:hint="eastAsia" w:eastAsia="仿宋_GB2312" w:cs="Times New Roman"/>
          <w:sz w:val="32"/>
          <w:szCs w:val="32"/>
          <w:highlight w:val="none"/>
          <w:lang w:val="en-US" w:eastAsia="zh-CN"/>
        </w:rPr>
        <w:t>改善了我学校的消防基础设施条件，改善了学生学习环境</w:t>
      </w:r>
      <w:r>
        <w:rPr>
          <w:rFonts w:hint="default" w:ascii="Times New Roman" w:hAnsi="Times New Roman" w:eastAsia="仿宋_GB2312" w:cs="Times New Roman"/>
          <w:sz w:val="32"/>
          <w:szCs w:val="32"/>
          <w:highlight w:val="none"/>
        </w:rPr>
        <w:t>。</w:t>
      </w:r>
    </w:p>
    <w:p w14:paraId="69F36CA0">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综上所述，昌州财教[2023]90号2024年城乡义务教育补助经费预算[中央直达资金]-校舍安全在绩效评价中表现出色，达到了项目的预期目标，并在多个方面取得了显著的成效。</w:t>
      </w:r>
    </w:p>
    <w:p w14:paraId="22CC29DC">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527130C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w:t>
      </w:r>
      <w:r>
        <w:rPr>
          <w:rFonts w:hint="default" w:ascii="Times New Roman" w:hAnsi="Times New Roman" w:eastAsia="仿宋_GB2312" w:cs="Times New Roman"/>
          <w:b w:val="0"/>
          <w:bCs w:val="0"/>
          <w:highlight w:val="none"/>
        </w:rPr>
        <w:t>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2321884D">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2EB198B9">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1C7E3FC8">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9382553">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9B4DEF8">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B9D1D4B">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69F492B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EABBFFC">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1E35A425">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AE5E03E">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45B2780">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415A066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3C18C56">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06FC6710">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1820CF1">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8B958F6">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0679CFAA">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220D45E">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5BF167FD">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3E66E2E9">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027FE4E4">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0BC753CE">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C25F45B">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0E9C7E02">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FB844C1">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CE3D61D">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651E5EA6">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96747F6">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5FD75281">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72D0074">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2F9E0C9E">
            <w:pPr>
              <w:jc w:val="center"/>
              <w:rPr>
                <w:rFonts w:hint="default" w:ascii="Times New Roman" w:hAnsi="Times New Roman" w:eastAsia="仿宋_GB2312" w:cs="Times New Roman"/>
                <w:b/>
                <w:bCs/>
                <w:color w:val="000000"/>
                <w:sz w:val="21"/>
                <w:szCs w:val="21"/>
                <w:highlight w:val="none"/>
              </w:rPr>
            </w:pPr>
            <w:r>
              <w:rPr>
                <w:rFonts w:hint="eastAsia" w:eastAsia="仿宋_GB2312" w:cs="Times New Roman"/>
                <w:color w:val="000000"/>
                <w:sz w:val="21"/>
                <w:szCs w:val="21"/>
                <w:highlight w:val="none"/>
                <w:lang w:val="en-US" w:eastAsia="zh-CN"/>
              </w:rPr>
              <w:t>100%</w:t>
            </w:r>
          </w:p>
        </w:tc>
      </w:tr>
    </w:tbl>
    <w:p w14:paraId="374ED628">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279BD27F">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65E0BEA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E7115C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13C35DA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2479A32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5FD57CD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460FDD8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eastAsia="zh-Hans"/>
        </w:rPr>
        <w:t>；</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w:t>
      </w:r>
      <w:r>
        <w:rPr>
          <w:rFonts w:hint="default" w:ascii="Times New Roman" w:hAnsi="Times New Roman" w:eastAsia="仿宋_GB2312" w:cs="Times New Roman"/>
          <w:sz w:val="32"/>
          <w:szCs w:val="32"/>
          <w:highlight w:val="none"/>
          <w:lang w:val="en-US" w:eastAsia="zh-CN"/>
        </w:rPr>
        <w:t>了程序的规范性。</w:t>
      </w:r>
    </w:p>
    <w:p w14:paraId="1AEE2C87">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624AE47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53B4924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4C7C76E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0853DD1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402C1390">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395967A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7A2C3A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4AED31BB">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64DFBFB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391902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3E206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20D783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7061DD46">
      <w:pPr>
        <w:pStyle w:val="10"/>
        <w:numPr>
          <w:ilvl w:val="0"/>
          <w:numId w:val="4"/>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1AF016B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highlight w:val="none"/>
          <w:lang w:val="en-US" w:eastAsia="zh-CN"/>
        </w:rPr>
        <w:t>三级指标构</w:t>
      </w:r>
      <w:r>
        <w:rPr>
          <w:rFonts w:hint="default" w:ascii="Times New Roman" w:hAnsi="Times New Roman" w:eastAsia="仿宋_GB2312" w:cs="Times New Roman"/>
          <w:sz w:val="32"/>
          <w:szCs w:val="32"/>
          <w:highlight w:val="none"/>
          <w:lang w:val="en-US" w:eastAsia="zh-CN"/>
        </w:rPr>
        <w:t>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1886EF7">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58AD471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67FD178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180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52EC1E2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52B62AB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w:t>
      </w:r>
      <w:r>
        <w:rPr>
          <w:rFonts w:hint="default" w:ascii="Times New Roman" w:hAnsi="Times New Roman" w:eastAsia="仿宋_GB2312" w:cs="Times New Roman"/>
          <w:sz w:val="32"/>
          <w:szCs w:val="32"/>
          <w:highlight w:val="none"/>
          <w:lang w:val="en-US" w:eastAsia="zh-CN"/>
        </w:rPr>
        <w:t>制较为详细，项目资金支出总体能够按照预算执行，预算资金支出</w:t>
      </w:r>
      <w:r>
        <w:rPr>
          <w:rFonts w:hint="eastAsia" w:eastAsia="仿宋_GB2312" w:cs="Times New Roman"/>
          <w:sz w:val="32"/>
          <w:szCs w:val="32"/>
          <w:highlight w:val="none"/>
          <w:lang w:val="en-US" w:eastAsia="zh-CN"/>
        </w:rPr>
        <w:t>180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72D065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6E9FB8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w:t>
      </w:r>
      <w:r>
        <w:rPr>
          <w:rFonts w:hint="eastAsia" w:eastAsia="仿宋_GB2312" w:cs="Times New Roman"/>
          <w:sz w:val="32"/>
          <w:szCs w:val="32"/>
          <w:highlight w:val="none"/>
          <w:lang w:val="en-US" w:eastAsia="zh-CN"/>
        </w:rPr>
        <w:t>和相关文件要求</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确保了资金的专款专用，并对该项目进行了审计，及时针对发现的问题进行改正。</w:t>
      </w:r>
    </w:p>
    <w:p w14:paraId="1B216F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7D8D76A0">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4A83D7E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7312AA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w:t>
      </w:r>
      <w:r>
        <w:rPr>
          <w:rFonts w:hint="eastAsia" w:eastAsia="仿宋_GB2312" w:cs="Times New Roman"/>
          <w:sz w:val="32"/>
          <w:szCs w:val="32"/>
          <w:highlight w:val="none"/>
          <w:lang w:val="en-US" w:eastAsia="zh-CN"/>
        </w:rPr>
        <w:t>完善的项目</w:t>
      </w:r>
      <w:r>
        <w:rPr>
          <w:rFonts w:hint="default" w:ascii="Times New Roman" w:hAnsi="Times New Roman" w:eastAsia="仿宋_GB2312" w:cs="Times New Roman"/>
          <w:sz w:val="32"/>
          <w:szCs w:val="32"/>
          <w:highlight w:val="none"/>
          <w:lang w:eastAsia="zh-CN"/>
        </w:rPr>
        <w:t>管理制度体系，为项目的成功实施提供了坚实的制度保障。项目管理制度的制定紧密结合了项目的特点与实际情况，涵盖了项目的</w:t>
      </w:r>
      <w:r>
        <w:rPr>
          <w:rFonts w:hint="eastAsia" w:eastAsia="仿宋_GB2312" w:cs="Times New Roman"/>
          <w:sz w:val="32"/>
          <w:szCs w:val="32"/>
          <w:highlight w:val="none"/>
          <w:lang w:val="en-US" w:eastAsia="zh-CN"/>
        </w:rPr>
        <w:t>事前监督、事中监督，事后监督的原则，</w:t>
      </w: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61B7D4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40A4A098">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7C31EA6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28C26F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14:paraId="30742D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26F9AF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14:paraId="239D2205">
      <w:pPr>
        <w:pStyle w:val="12"/>
        <w:numPr>
          <w:ilvl w:val="0"/>
          <w:numId w:val="4"/>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4A3592E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w:t>
      </w:r>
      <w:r>
        <w:rPr>
          <w:rFonts w:hint="default" w:ascii="Times New Roman" w:hAnsi="Times New Roman" w:eastAsia="仿宋_GB2312" w:cs="Times New Roman"/>
          <w:sz w:val="32"/>
          <w:szCs w:val="32"/>
          <w:highlight w:val="none"/>
          <w:lang w:val="en-US" w:eastAsia="zh-CN"/>
        </w:rPr>
        <w:t>出成本四方面的内容，由</w:t>
      </w:r>
      <w:r>
        <w:rPr>
          <w:rFonts w:hint="eastAsia"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w:t>
      </w:r>
      <w:r>
        <w:rPr>
          <w:rFonts w:hint="default" w:ascii="Times New Roman" w:hAnsi="Times New Roman" w:eastAsia="仿宋_GB2312" w:cs="Times New Roman"/>
          <w:sz w:val="32"/>
          <w:szCs w:val="32"/>
          <w:highlight w:val="none"/>
          <w:lang w:val="en-US" w:eastAsia="zh-CN"/>
        </w:rPr>
        <w:t>产出指标完成情况如下：</w:t>
      </w:r>
    </w:p>
    <w:p w14:paraId="26979C66">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4554AC1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指标1：消防改造面积，指标值=5600平方米，实际完成值：=5600平方米，指标完成率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14:paraId="6ADE6C4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：消防改造工程数量，指标值&gt;=1个，实际完成值：</w:t>
      </w:r>
      <w:r>
        <w:rPr>
          <w:rFonts w:hint="eastAsia" w:eastAsia="仿宋_GB2312" w:cs="Times New Roman"/>
          <w:sz w:val="32"/>
          <w:szCs w:val="32"/>
          <w:highlight w:val="none"/>
          <w:lang w:val="en-US" w:eastAsia="zh-CN"/>
        </w:rPr>
        <w:t>1个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p>
    <w:p w14:paraId="75850A8E">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44889B2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指标1：竣工验收合格率，指标值&gt;=100%，实际完成值：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14:paraId="67E32FF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指标2</w:t>
      </w:r>
      <w:r>
        <w:rPr>
          <w:rFonts w:hint="default" w:eastAsia="仿宋_GB2312" w:cs="Times New Roman"/>
          <w:sz w:val="32"/>
          <w:szCs w:val="32"/>
          <w:highlight w:val="none"/>
          <w:lang w:val="en-US" w:eastAsia="zh-CN"/>
        </w:rPr>
        <w:t>：</w:t>
      </w:r>
      <w:r>
        <w:rPr>
          <w:rFonts w:hint="default" w:eastAsia="仿宋_GB2312"/>
          <w:sz w:val="32"/>
          <w:szCs w:val="32"/>
          <w:highlight w:val="none"/>
          <w:lang w:val="en-US" w:eastAsia="zh-CN"/>
        </w:rPr>
        <w:t>项目资金支付率，指标值;=100%,实际完成值;100%,指标完成率;100%</w:t>
      </w:r>
    </w:p>
    <w:p w14:paraId="746DFE1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③</w:t>
      </w:r>
      <w:r>
        <w:rPr>
          <w:rFonts w:hint="eastAsia" w:eastAsia="仿宋_GB2312" w:cs="Times New Roman"/>
          <w:sz w:val="32"/>
          <w:szCs w:val="32"/>
          <w:highlight w:val="none"/>
          <w:lang w:val="en-US" w:eastAsia="zh-CN"/>
        </w:rPr>
        <w:t>时效</w:t>
      </w:r>
      <w:r>
        <w:rPr>
          <w:rFonts w:hint="default" w:ascii="Times New Roman" w:hAnsi="Times New Roman" w:eastAsia="仿宋_GB2312" w:cs="Times New Roman"/>
          <w:sz w:val="32"/>
          <w:szCs w:val="32"/>
          <w:highlight w:val="none"/>
          <w:lang w:val="en-US" w:eastAsia="zh-CN"/>
        </w:rPr>
        <w:t>指标：</w:t>
      </w:r>
    </w:p>
    <w:p w14:paraId="30AF4B6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指标1：按计划开工时间，指标值&lt;=3月，实际完成值：</w:t>
      </w:r>
      <w:r>
        <w:rPr>
          <w:rFonts w:hint="eastAsia" w:eastAsia="仿宋_GB2312" w:cs="Times New Roman"/>
          <w:sz w:val="32"/>
          <w:szCs w:val="32"/>
          <w:highlight w:val="none"/>
          <w:lang w:val="en-US" w:eastAsia="zh-CN"/>
        </w:rPr>
        <w:t>3月</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14:paraId="4C4CCF55">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：按计划完工时间，&lt;=12月，实际完成值：</w:t>
      </w:r>
      <w:r>
        <w:rPr>
          <w:rFonts w:hint="eastAsia" w:eastAsia="仿宋_GB2312" w:cs="Times New Roman"/>
          <w:sz w:val="32"/>
          <w:szCs w:val="32"/>
          <w:highlight w:val="none"/>
          <w:lang w:val="en-US" w:eastAsia="zh-CN"/>
        </w:rPr>
        <w:t>12月</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14:paraId="41AB96E1">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4F672F0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项目预算控制率</w:t>
      </w:r>
      <w:r>
        <w:rPr>
          <w:rFonts w:hint="default" w:ascii="Times New Roman" w:hAnsi="Times New Roman" w:eastAsia="仿宋_GB2312" w:cs="Times New Roman"/>
          <w:sz w:val="32"/>
          <w:szCs w:val="32"/>
          <w:highlight w:val="none"/>
        </w:rPr>
        <w:t>，指标值&lt;=100%，实际完成值：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14:paraId="7496AC59">
      <w:pPr>
        <w:pStyle w:val="12"/>
        <w:numPr>
          <w:ilvl w:val="0"/>
          <w:numId w:val="4"/>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14:paraId="5B29047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7407DF0B">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1AC459B2">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p>
    <w:p w14:paraId="5BD42D4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2024年我单位该项目未设置此条指标</w:t>
      </w:r>
    </w:p>
    <w:p w14:paraId="3C49D4F1">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rPr>
        <w:t>社会效益指标：</w:t>
      </w:r>
    </w:p>
    <w:p w14:paraId="1408AFF9">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提高学生学习环境</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有效提高，实际完成值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有效提高，指标完成率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4B955C16">
      <w:pPr>
        <w:numPr>
          <w:ilvl w:val="0"/>
          <w:numId w:val="0"/>
        </w:num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③生态效益指标：</w:t>
      </w:r>
    </w:p>
    <w:p w14:paraId="298281E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2024年我单位该项目未设置此条指标</w:t>
      </w:r>
    </w:p>
    <w:p w14:paraId="1D89501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0DE4A4B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学生和老师满意度</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&gt;=90%，实际完成值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14:paraId="39EF8AF3">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14:paraId="33305CEF">
      <w:pPr>
        <w:spacing w:line="600" w:lineRule="exact"/>
        <w:ind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昌州财教[2023]90号2024年城乡义务教育补助经费预算[中央直达资金]-校舍安全</w:t>
      </w:r>
      <w:r>
        <w:rPr>
          <w:rFonts w:hint="default" w:ascii="Times New Roman" w:hAnsi="Times New Roman" w:eastAsia="仿宋_GB2312" w:cs="Times New Roman"/>
          <w:sz w:val="32"/>
          <w:szCs w:val="32"/>
          <w:highlight w:val="none"/>
        </w:rPr>
        <w:t>项目年初预算</w:t>
      </w:r>
      <w:r>
        <w:rPr>
          <w:rFonts w:hint="default" w:eastAsia="仿宋_GB2312" w:cs="Times New Roman"/>
          <w:sz w:val="32"/>
          <w:szCs w:val="32"/>
          <w:highlight w:val="none"/>
          <w:lang w:val="en-US" w:eastAsia="zh-CN"/>
        </w:rPr>
        <w:t>180</w:t>
      </w:r>
      <w:r>
        <w:rPr>
          <w:rFonts w:hint="default" w:ascii="Times New Roman" w:hAnsi="Times New Roman" w:eastAsia="仿宋_GB2312" w:cs="Times New Roman"/>
          <w:sz w:val="32"/>
          <w:szCs w:val="32"/>
          <w:highlight w:val="none"/>
        </w:rPr>
        <w:t>万元，全年预算</w:t>
      </w:r>
      <w:r>
        <w:rPr>
          <w:rFonts w:hint="default" w:eastAsia="仿宋_GB2312" w:cs="Times New Roman"/>
          <w:sz w:val="32"/>
          <w:szCs w:val="32"/>
          <w:highlight w:val="none"/>
          <w:lang w:val="en-US" w:eastAsia="zh-CN"/>
        </w:rPr>
        <w:t>180</w:t>
      </w:r>
      <w:r>
        <w:rPr>
          <w:rFonts w:hint="default" w:ascii="Times New Roman" w:hAnsi="Times New Roman" w:eastAsia="仿宋_GB2312" w:cs="Times New Roman"/>
          <w:sz w:val="32"/>
          <w:szCs w:val="32"/>
          <w:highlight w:val="none"/>
        </w:rPr>
        <w:t>万元，实际支出</w:t>
      </w:r>
      <w:r>
        <w:rPr>
          <w:rFonts w:hint="default" w:eastAsia="仿宋_GB2312" w:cs="Times New Roman"/>
          <w:sz w:val="32"/>
          <w:szCs w:val="32"/>
          <w:highlight w:val="none"/>
          <w:lang w:val="en-US" w:eastAsia="zh-CN"/>
        </w:rPr>
        <w:t>180</w:t>
      </w:r>
      <w:r>
        <w:rPr>
          <w:rFonts w:hint="default" w:ascii="Times New Roman" w:hAnsi="Times New Roman" w:eastAsia="仿宋_GB2312" w:cs="Times New Roman"/>
          <w:sz w:val="32"/>
          <w:szCs w:val="32"/>
          <w:highlight w:val="none"/>
        </w:rPr>
        <w:t>万元，预算执行率为</w:t>
      </w:r>
      <w:r>
        <w:rPr>
          <w:rFonts w:hint="default"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%，项目绩效指标总体完成率为</w:t>
      </w:r>
      <w:r>
        <w:rPr>
          <w:rFonts w:hint="default"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总体</w:t>
      </w:r>
      <w:r>
        <w:rPr>
          <w:rFonts w:hint="default" w:ascii="Times New Roman" w:hAnsi="Times New Roman" w:eastAsia="仿宋_GB2312" w:cs="Times New Roman"/>
          <w:sz w:val="32"/>
          <w:szCs w:val="32"/>
          <w:highlight w:val="none"/>
        </w:rPr>
        <w:t>偏差率为</w:t>
      </w:r>
      <w:r>
        <w:rPr>
          <w:rFonts w:hint="default"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77007D70">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14:paraId="1372608C">
      <w:pPr>
        <w:spacing w:line="560" w:lineRule="exact"/>
        <w:ind w:firstLine="627" w:firstLineChars="200"/>
        <w:rPr>
          <w:rFonts w:hint="default" w:ascii="Times New Roman" w:hAnsi="Times New Roman" w:eastAsia="仿宋_GB2312" w:cs="Times New Roman"/>
          <w:sz w:val="32"/>
          <w:szCs w:val="32"/>
          <w:highlight w:val="none"/>
        </w:rPr>
      </w:pPr>
      <w:r>
        <w:rPr>
          <w:rFonts w:hint="default" w:ascii="Times New Roman" w:hAnsi="Times New Roman" w:eastAsia="楷体" w:cs="Times New Roman"/>
          <w:b/>
          <w:spacing w:val="-4"/>
          <w:sz w:val="32"/>
          <w:szCs w:val="32"/>
          <w:highlight w:val="none"/>
        </w:rPr>
        <w:t>（一）主要经验及做法</w:t>
      </w:r>
    </w:p>
    <w:p w14:paraId="7030241F">
      <w:pPr>
        <w:spacing w:line="560" w:lineRule="exact"/>
        <w:ind w:firstLine="960" w:firstLineChars="300"/>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我单位</w:t>
      </w:r>
      <w:r>
        <w:rPr>
          <w:rFonts w:hint="eastAsia" w:ascii="仿宋_GB2312" w:eastAsia="仿宋_GB2312"/>
          <w:sz w:val="32"/>
          <w:szCs w:val="32"/>
          <w:highlight w:val="none"/>
        </w:rPr>
        <w:t>按照职责分工认真配合、履职尽责。按照</w:t>
      </w:r>
      <w:r>
        <w:rPr>
          <w:rFonts w:hint="eastAsia" w:ascii="仿宋_GB2312" w:eastAsia="仿宋_GB2312"/>
          <w:sz w:val="32"/>
          <w:szCs w:val="32"/>
          <w:highlight w:val="none"/>
          <w:lang w:val="en-US" w:eastAsia="zh-CN"/>
        </w:rPr>
        <w:t>州上要求</w:t>
      </w:r>
      <w:r>
        <w:rPr>
          <w:rFonts w:hint="eastAsia" w:ascii="仿宋_GB2312" w:eastAsia="仿宋_GB2312"/>
          <w:sz w:val="32"/>
          <w:szCs w:val="32"/>
          <w:highlight w:val="none"/>
        </w:rPr>
        <w:t>，我</w:t>
      </w:r>
      <w:r>
        <w:rPr>
          <w:rFonts w:hint="eastAsia" w:ascii="仿宋_GB2312" w:eastAsia="仿宋_GB2312"/>
          <w:sz w:val="32"/>
          <w:szCs w:val="32"/>
          <w:highlight w:val="none"/>
          <w:lang w:val="en-US" w:eastAsia="zh-CN"/>
        </w:rPr>
        <w:t>单位积极做好此项工作的人员分配，抓质量、抓效率，齐抓共管。</w:t>
      </w:r>
    </w:p>
    <w:p w14:paraId="4932F8D9">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p>
    <w:p w14:paraId="4D81557B">
      <w:pPr>
        <w:pStyle w:val="10"/>
        <w:spacing w:before="0" w:after="0" w:line="560" w:lineRule="exact"/>
        <w:ind w:firstLine="640" w:firstLineChars="200"/>
        <w:jc w:val="left"/>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459D4120">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7F23BDD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B39BA9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381BE5D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3.各部门件的配合沟通有待提升，使其工程效率会降低。</w:t>
      </w:r>
    </w:p>
    <w:p w14:paraId="42CC1FE2">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有关建议</w:t>
      </w:r>
    </w:p>
    <w:p w14:paraId="2475295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64D91ED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69FA598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36D1778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46B0F4E3">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14:paraId="6DDA8B6C">
      <w:pPr>
        <w:pStyle w:val="13"/>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14:paraId="0BA9D23E">
      <w:pPr>
        <w:pStyle w:val="13"/>
        <w:spacing w:after="0" w:line="560" w:lineRule="exact"/>
        <w:ind w:left="0" w:leftChars="0" w:firstLine="0" w:firstLineChars="0"/>
        <w:rPr>
          <w:rFonts w:hint="eastAsia" w:ascii="Times New Roman" w:hAnsi="Times New Roman" w:eastAsia="仿宋_GB2312" w:cs="Times New Roman"/>
          <w:sz w:val="32"/>
          <w:szCs w:val="32"/>
          <w:highlight w:val="none"/>
          <w:lang w:eastAsia="zh-CN"/>
        </w:rPr>
      </w:pPr>
    </w:p>
    <w:p w14:paraId="13A1B507">
      <w:pPr>
        <w:pStyle w:val="13"/>
        <w:spacing w:after="0" w:line="560" w:lineRule="exact"/>
        <w:ind w:left="0" w:leftChars="0" w:firstLine="640"/>
        <w:rPr>
          <w:rFonts w:hint="default" w:ascii="Times New Roman" w:hAnsi="Times New Roman" w:eastAsia="仿宋_GB2312" w:cs="Times New Roman"/>
          <w:sz w:val="32"/>
          <w:szCs w:val="32"/>
          <w:highlight w:val="none"/>
        </w:rPr>
      </w:pPr>
    </w:p>
    <w:p w14:paraId="7B48C105">
      <w:pPr>
        <w:pStyle w:val="13"/>
        <w:spacing w:after="0" w:line="560" w:lineRule="exact"/>
        <w:ind w:left="0" w:leftChars="0" w:firstLine="0" w:firstLineChars="0"/>
        <w:rPr>
          <w:rFonts w:hint="default" w:ascii="Times New Roman" w:hAnsi="Times New Roman" w:eastAsia="仿宋_GB2312" w:cs="Times New Roman"/>
          <w:sz w:val="32"/>
          <w:szCs w:val="32"/>
          <w:highlight w:val="none"/>
        </w:rPr>
      </w:pPr>
    </w:p>
    <w:p w14:paraId="71145D75">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375EE040">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14:paraId="1C81CA3A">
      <w:pPr>
        <w:pStyle w:val="19"/>
        <w:ind w:firstLine="562"/>
        <w:jc w:val="center"/>
        <w:rPr>
          <w:rFonts w:hint="eastAsia" w:ascii="仿宋_GB2312" w:hAnsi="仿宋_GB2312" w:eastAsia="仿宋_GB2312" w:cs="仿宋_GB2312"/>
          <w:sz w:val="28"/>
          <w:szCs w:val="40"/>
          <w:highlight w:val="none"/>
        </w:rPr>
      </w:pPr>
      <w:bookmarkStart w:id="1" w:name="_Toc30064_WPSOffice_Level1"/>
      <w:bookmarkStart w:id="2" w:name="_Toc26499_WPSOffice_Level2"/>
      <w:r>
        <w:rPr>
          <w:rFonts w:hint="eastAsia" w:ascii="仿宋_GB2312" w:hAnsi="仿宋_GB2312" w:eastAsia="仿宋_GB2312" w:cs="仿宋_GB2312"/>
          <w:b/>
          <w:bCs/>
          <w:sz w:val="28"/>
          <w:szCs w:val="40"/>
          <w:highlight w:val="none"/>
          <w:lang w:val="en-US" w:eastAsia="zh-CN"/>
        </w:rPr>
        <w:t>昌州财教[2023]90号2024年城乡义务教育补助经费预算[中央直达资金]-校舍安全</w:t>
      </w:r>
      <w:r>
        <w:rPr>
          <w:rFonts w:hint="eastAsia" w:ascii="仿宋_GB2312" w:hAnsi="仿宋_GB2312" w:eastAsia="仿宋_GB2312" w:cs="仿宋_GB2312"/>
          <w:b/>
          <w:bCs/>
          <w:sz w:val="28"/>
          <w:szCs w:val="40"/>
          <w:highlight w:val="none"/>
        </w:rPr>
        <w:t>项目绩效评价指标体系及综合评分表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12673F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7EE6918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14:paraId="15E3EBA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14:paraId="626E6C7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14:paraId="2AC577C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14:paraId="07E62C1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14:paraId="65DEC24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14:paraId="0A62DAE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597C4D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3EAC85FD">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AFE1D8F">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4E18963">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B6D38CC">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FFB72FE">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D978B10">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2F62C9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14:paraId="77D6317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14:paraId="7222389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5F6EA2A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14:paraId="3BD706B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706C1BBD">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14:paraId="124BB21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2934692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92CB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1B74E4DB">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623A429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27F795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017D098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14:paraId="28AA4AA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14:paraId="1E21197D">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14:paraId="0933C59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362B7ED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B3344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58734C55">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38A222F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14:paraId="2D38F8D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203871F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14:paraId="2903278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0051ACEF">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4BC1E257">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14:paraId="37817A9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4FCD3ED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1EAC1A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4ED2996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1ADF801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4B0153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5677843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14:paraId="1A38ADF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5F1F635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14:paraId="6CD0BB3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7EAB315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1915C7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570D9CCD">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1B7CBEE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409B2047">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609CB6B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33DF935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14:paraId="4450FE3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395237C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14:paraId="5581AD2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75789FB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8970A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752170E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58EBA91F">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1AC6426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3A2F649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14:paraId="768C91C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2E89E04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14:paraId="42E49F3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704746D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59E30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37A5BE37">
            <w:pPr>
              <w:spacing w:line="0" w:lineRule="atLeast"/>
              <w:jc w:val="center"/>
              <w:rPr>
                <w:rFonts w:hint="default" w:ascii="Times New Roman" w:hAnsi="Times New Roman" w:eastAsia="仿宋_GB2312" w:cs="Times New Roman"/>
                <w:color w:val="000000"/>
                <w:kern w:val="0"/>
                <w:sz w:val="18"/>
                <w:szCs w:val="18"/>
                <w:highlight w:val="none"/>
              </w:rPr>
            </w:pPr>
          </w:p>
          <w:p w14:paraId="43DFBE17">
            <w:pPr>
              <w:spacing w:line="0" w:lineRule="atLeast"/>
              <w:jc w:val="center"/>
              <w:rPr>
                <w:rFonts w:hint="default" w:ascii="Times New Roman" w:hAnsi="Times New Roman" w:eastAsia="仿宋_GB2312" w:cs="Times New Roman"/>
                <w:color w:val="000000"/>
                <w:kern w:val="0"/>
                <w:sz w:val="18"/>
                <w:szCs w:val="18"/>
                <w:highlight w:val="none"/>
              </w:rPr>
            </w:pPr>
          </w:p>
          <w:p w14:paraId="6201DA28">
            <w:pPr>
              <w:spacing w:line="0" w:lineRule="atLeast"/>
              <w:jc w:val="center"/>
              <w:rPr>
                <w:rFonts w:hint="default" w:ascii="Times New Roman" w:hAnsi="Times New Roman" w:eastAsia="仿宋_GB2312" w:cs="Times New Roman"/>
                <w:color w:val="000000"/>
                <w:kern w:val="0"/>
                <w:sz w:val="18"/>
                <w:szCs w:val="18"/>
                <w:highlight w:val="none"/>
              </w:rPr>
            </w:pPr>
          </w:p>
          <w:p w14:paraId="7940B2AD">
            <w:pPr>
              <w:spacing w:line="0" w:lineRule="atLeast"/>
              <w:jc w:val="center"/>
              <w:rPr>
                <w:rFonts w:hint="default" w:ascii="Times New Roman" w:hAnsi="Times New Roman" w:eastAsia="仿宋_GB2312" w:cs="Times New Roman"/>
                <w:color w:val="000000"/>
                <w:kern w:val="0"/>
                <w:sz w:val="18"/>
                <w:szCs w:val="18"/>
                <w:highlight w:val="none"/>
              </w:rPr>
            </w:pPr>
          </w:p>
          <w:p w14:paraId="72894B4F">
            <w:pPr>
              <w:spacing w:line="0" w:lineRule="atLeast"/>
              <w:jc w:val="center"/>
              <w:rPr>
                <w:rFonts w:hint="default" w:ascii="Times New Roman" w:hAnsi="Times New Roman" w:eastAsia="仿宋_GB2312" w:cs="Times New Roman"/>
                <w:color w:val="000000"/>
                <w:kern w:val="0"/>
                <w:sz w:val="18"/>
                <w:szCs w:val="18"/>
                <w:highlight w:val="none"/>
              </w:rPr>
            </w:pPr>
          </w:p>
          <w:p w14:paraId="28F7B1C1">
            <w:pPr>
              <w:spacing w:line="0" w:lineRule="atLeast"/>
              <w:jc w:val="center"/>
              <w:rPr>
                <w:rFonts w:hint="default" w:ascii="Times New Roman" w:hAnsi="Times New Roman" w:eastAsia="仿宋_GB2312" w:cs="Times New Roman"/>
                <w:color w:val="000000"/>
                <w:kern w:val="0"/>
                <w:sz w:val="18"/>
                <w:szCs w:val="18"/>
                <w:highlight w:val="none"/>
              </w:rPr>
            </w:pPr>
          </w:p>
          <w:p w14:paraId="34C494E2">
            <w:pPr>
              <w:spacing w:line="0" w:lineRule="atLeast"/>
              <w:jc w:val="center"/>
              <w:rPr>
                <w:rFonts w:hint="default" w:ascii="Times New Roman" w:hAnsi="Times New Roman" w:eastAsia="仿宋_GB2312" w:cs="Times New Roman"/>
                <w:color w:val="000000"/>
                <w:kern w:val="0"/>
                <w:sz w:val="18"/>
                <w:szCs w:val="18"/>
                <w:highlight w:val="none"/>
              </w:rPr>
            </w:pPr>
          </w:p>
          <w:p w14:paraId="2717B195">
            <w:pPr>
              <w:spacing w:line="0" w:lineRule="atLeast"/>
              <w:jc w:val="center"/>
              <w:rPr>
                <w:rFonts w:hint="default" w:ascii="Times New Roman" w:hAnsi="Times New Roman" w:eastAsia="仿宋_GB2312" w:cs="Times New Roman"/>
                <w:color w:val="000000"/>
                <w:kern w:val="0"/>
                <w:sz w:val="18"/>
                <w:szCs w:val="18"/>
                <w:highlight w:val="none"/>
              </w:rPr>
            </w:pPr>
          </w:p>
          <w:p w14:paraId="04397955">
            <w:pPr>
              <w:spacing w:line="0" w:lineRule="atLeast"/>
              <w:jc w:val="center"/>
              <w:rPr>
                <w:rFonts w:hint="default" w:ascii="Times New Roman" w:hAnsi="Times New Roman" w:eastAsia="仿宋_GB2312" w:cs="Times New Roman"/>
                <w:color w:val="000000"/>
                <w:kern w:val="0"/>
                <w:sz w:val="18"/>
                <w:szCs w:val="18"/>
                <w:highlight w:val="none"/>
              </w:rPr>
            </w:pPr>
          </w:p>
          <w:p w14:paraId="07B4D0A1">
            <w:pPr>
              <w:spacing w:line="0" w:lineRule="atLeast"/>
              <w:jc w:val="center"/>
              <w:rPr>
                <w:rFonts w:hint="default" w:ascii="Times New Roman" w:hAnsi="Times New Roman" w:eastAsia="仿宋_GB2312" w:cs="Times New Roman"/>
                <w:color w:val="000000"/>
                <w:kern w:val="0"/>
                <w:sz w:val="18"/>
                <w:szCs w:val="18"/>
                <w:highlight w:val="none"/>
              </w:rPr>
            </w:pPr>
          </w:p>
          <w:p w14:paraId="66023656">
            <w:pPr>
              <w:spacing w:line="0" w:lineRule="atLeast"/>
              <w:jc w:val="center"/>
              <w:rPr>
                <w:rFonts w:hint="default" w:ascii="Times New Roman" w:hAnsi="Times New Roman" w:eastAsia="仿宋_GB2312" w:cs="Times New Roman"/>
                <w:color w:val="000000"/>
                <w:kern w:val="0"/>
                <w:sz w:val="18"/>
                <w:szCs w:val="18"/>
                <w:highlight w:val="none"/>
              </w:rPr>
            </w:pPr>
          </w:p>
          <w:p w14:paraId="765C802C">
            <w:pPr>
              <w:spacing w:line="0" w:lineRule="atLeast"/>
              <w:jc w:val="center"/>
              <w:rPr>
                <w:rFonts w:hint="default" w:ascii="Times New Roman" w:hAnsi="Times New Roman" w:eastAsia="仿宋_GB2312" w:cs="Times New Roman"/>
                <w:color w:val="000000"/>
                <w:kern w:val="0"/>
                <w:sz w:val="18"/>
                <w:szCs w:val="18"/>
                <w:highlight w:val="none"/>
              </w:rPr>
            </w:pPr>
          </w:p>
          <w:p w14:paraId="662FE1C9">
            <w:pPr>
              <w:spacing w:line="0" w:lineRule="atLeast"/>
              <w:jc w:val="center"/>
              <w:rPr>
                <w:rFonts w:hint="default" w:ascii="Times New Roman" w:hAnsi="Times New Roman" w:eastAsia="仿宋_GB2312" w:cs="Times New Roman"/>
                <w:color w:val="000000"/>
                <w:kern w:val="0"/>
                <w:sz w:val="18"/>
                <w:szCs w:val="18"/>
                <w:highlight w:val="none"/>
              </w:rPr>
            </w:pPr>
          </w:p>
          <w:p w14:paraId="377A08DB">
            <w:pPr>
              <w:spacing w:line="0" w:lineRule="atLeast"/>
              <w:jc w:val="center"/>
              <w:rPr>
                <w:rFonts w:hint="default" w:ascii="Times New Roman" w:hAnsi="Times New Roman" w:eastAsia="仿宋_GB2312" w:cs="Times New Roman"/>
                <w:color w:val="000000"/>
                <w:kern w:val="0"/>
                <w:sz w:val="18"/>
                <w:szCs w:val="18"/>
                <w:highlight w:val="none"/>
              </w:rPr>
            </w:pPr>
          </w:p>
          <w:p w14:paraId="5D9F4C00">
            <w:pPr>
              <w:spacing w:line="0" w:lineRule="atLeast"/>
              <w:jc w:val="center"/>
              <w:rPr>
                <w:rFonts w:hint="default" w:ascii="Times New Roman" w:hAnsi="Times New Roman" w:eastAsia="仿宋_GB2312" w:cs="Times New Roman"/>
                <w:color w:val="000000"/>
                <w:kern w:val="0"/>
                <w:sz w:val="18"/>
                <w:szCs w:val="18"/>
                <w:highlight w:val="none"/>
              </w:rPr>
            </w:pPr>
          </w:p>
          <w:p w14:paraId="3B6BA33C">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76B10B2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14:paraId="7036AAB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0BCAB40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14:paraId="3A21FBC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64454B8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7388915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0D876D1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14:paraId="402F14A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7D65602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3BD32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64C080BA">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33764B51">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D2E647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14:paraId="4FFB333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14:paraId="6766432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14:paraId="24EB386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3BB2439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609E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4E8F2D02">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4D695F1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47A8931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0432483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14:paraId="6F83495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195227C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14:paraId="5695725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78E031B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178A0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2CBFCE48">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5EEAC74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664AE5A4">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20DF402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602AE74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14:paraId="0329E1C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549B269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14:paraId="5D2DDB6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38E4C37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9170B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589384F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52EDD71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8A4F3F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5925283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14:paraId="765D35B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67A40A3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14:paraId="0666E37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0422D7B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2229B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61C0929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14:paraId="754223C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0112762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14:paraId="3F418A1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269C692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14:paraId="329DE42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41A88D7C">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1E835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01C85D2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69F9EA4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6D65577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14:paraId="058ECA2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1C32B38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29BB6F5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1B0F64F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140DE80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4F852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54CF261C">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424236A6">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1032148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14:paraId="0DD4CCF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74657F2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14:paraId="1A5A58C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643F48D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792D9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312ED54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758168E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238A387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0717419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23B167F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14:paraId="672FD65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3E41570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01968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5472A52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14:paraId="6B724E8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14:paraId="3F79951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14:paraId="2D485DBA">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1D2351B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6F40290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14:paraId="779F631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3D10C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1876FF6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0A6D5E9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5113E2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34411FC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67AF1EF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180E257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52887582">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A3056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3212F2AE">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14:paraId="285AB8B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14:paraId="050919D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1BC16298">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14:paraId="7430E46B">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tbl>
      <w:tblPr>
        <w:tblStyle w:val="14"/>
        <w:tblW w:w="137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05"/>
        <w:gridCol w:w="630"/>
        <w:gridCol w:w="1500"/>
        <w:gridCol w:w="1335"/>
        <w:gridCol w:w="870"/>
        <w:gridCol w:w="780"/>
        <w:gridCol w:w="885"/>
        <w:gridCol w:w="615"/>
        <w:gridCol w:w="705"/>
        <w:gridCol w:w="1080"/>
      </w:tblGrid>
      <w:tr w14:paraId="0A7CC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3725" w:type="dxa"/>
            <w:gridSpan w:val="14"/>
            <w:tcBorders>
              <w:top w:val="nil"/>
              <w:left w:val="nil"/>
              <w:bottom w:val="nil"/>
              <w:right w:val="nil"/>
            </w:tcBorders>
            <w:shd w:val="clear" w:color="auto" w:fill="auto"/>
            <w:vAlign w:val="center"/>
          </w:tcPr>
          <w:p w14:paraId="4DDE4FE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项目支出绩效自评表</w:t>
            </w:r>
          </w:p>
        </w:tc>
      </w:tr>
      <w:tr w14:paraId="632F9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725" w:type="dxa"/>
            <w:gridSpan w:val="14"/>
            <w:tcBorders>
              <w:top w:val="nil"/>
              <w:left w:val="nil"/>
              <w:bottom w:val="nil"/>
              <w:right w:val="nil"/>
            </w:tcBorders>
            <w:shd w:val="clear" w:color="auto" w:fill="auto"/>
            <w:vAlign w:val="center"/>
          </w:tcPr>
          <w:p w14:paraId="20AF714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(2024年度)</w:t>
            </w:r>
          </w:p>
        </w:tc>
      </w:tr>
      <w:tr w14:paraId="76A8A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2553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CCB46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昌州财教[2023]90号2024年城乡义务教育补助经费预算[中央直达资金]-校舍安全</w:t>
            </w:r>
          </w:p>
        </w:tc>
      </w:tr>
      <w:tr w14:paraId="337F1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C63D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6A011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奇台县第四中学</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8419D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F1B234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奇台县第四中学</w:t>
            </w:r>
          </w:p>
        </w:tc>
      </w:tr>
      <w:tr w14:paraId="4F488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93A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项目资金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85C0D2">
            <w:pPr>
              <w:jc w:val="center"/>
              <w:rPr>
                <w:rFonts w:hint="eastAsia" w:ascii="宋体" w:hAnsi="宋体" w:eastAsia="宋体" w:cs="宋体"/>
                <w:i w:val="0"/>
                <w:iCs w:val="0"/>
                <w:color w:val="000000"/>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54A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EAA8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C4BA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E46B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A148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ED8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r>
      <w:tr w14:paraId="246C3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D485A">
            <w:pPr>
              <w:jc w:val="center"/>
              <w:rPr>
                <w:rFonts w:hint="eastAsia" w:ascii="宋体" w:hAnsi="宋体" w:eastAsia="宋体" w:cs="宋体"/>
                <w:i w:val="0"/>
                <w:iCs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0C13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FD4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0CFF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180.00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EB55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0623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F1816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B8B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w:t>
            </w:r>
          </w:p>
        </w:tc>
      </w:tr>
      <w:tr w14:paraId="64A52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E4100">
            <w:pPr>
              <w:jc w:val="center"/>
              <w:rPr>
                <w:rFonts w:hint="eastAsia" w:ascii="宋体" w:hAnsi="宋体" w:eastAsia="宋体" w:cs="宋体"/>
                <w:i w:val="0"/>
                <w:iCs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B57B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33E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2709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EE79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180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E854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58C0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1AAC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14:paraId="47B34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94E59">
            <w:pPr>
              <w:jc w:val="center"/>
              <w:rPr>
                <w:rFonts w:hint="eastAsia" w:ascii="宋体" w:hAnsi="宋体" w:eastAsia="宋体" w:cs="宋体"/>
                <w:i w:val="0"/>
                <w:iCs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4F942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6EC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7E0C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FF565A">
            <w:pPr>
              <w:jc w:val="center"/>
              <w:rPr>
                <w:rFonts w:hint="eastAsia" w:ascii="宋体" w:hAnsi="宋体" w:eastAsia="宋体" w:cs="宋体"/>
                <w:i w:val="0"/>
                <w:iCs w:val="0"/>
                <w:color w:val="000000"/>
                <w:sz w:val="20"/>
                <w:szCs w:val="20"/>
                <w:highlight w:val="none"/>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5577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BBE8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026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14:paraId="5206C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AC365">
            <w:pPr>
              <w:jc w:val="center"/>
              <w:rPr>
                <w:rFonts w:hint="eastAsia" w:ascii="宋体" w:hAnsi="宋体" w:eastAsia="宋体" w:cs="宋体"/>
                <w:i w:val="0"/>
                <w:iCs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48EF23">
            <w:pPr>
              <w:jc w:val="center"/>
              <w:rPr>
                <w:rFonts w:hint="eastAsia" w:ascii="宋体" w:hAnsi="宋体" w:eastAsia="宋体" w:cs="宋体"/>
                <w:i w:val="0"/>
                <w:iCs w:val="0"/>
                <w:color w:val="000000"/>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854E5">
            <w:pPr>
              <w:jc w:val="center"/>
              <w:rPr>
                <w:rFonts w:hint="eastAsia" w:ascii="宋体" w:hAnsi="宋体" w:eastAsia="宋体" w:cs="宋体"/>
                <w:i w:val="0"/>
                <w:iCs w:val="0"/>
                <w:color w:val="000000"/>
                <w:sz w:val="20"/>
                <w:szCs w:val="20"/>
                <w:highlight w:val="none"/>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9C33E7">
            <w:pPr>
              <w:jc w:val="center"/>
              <w:rPr>
                <w:rFonts w:hint="eastAsia" w:ascii="宋体" w:hAnsi="宋体" w:eastAsia="宋体" w:cs="宋体"/>
                <w:i w:val="0"/>
                <w:iCs w:val="0"/>
                <w:color w:val="000000"/>
                <w:sz w:val="20"/>
                <w:szCs w:val="20"/>
                <w:highlight w:val="none"/>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E4530F">
            <w:pPr>
              <w:jc w:val="center"/>
              <w:rPr>
                <w:rFonts w:hint="eastAsia" w:ascii="宋体" w:hAnsi="宋体" w:eastAsia="宋体" w:cs="宋体"/>
                <w:i w:val="0"/>
                <w:iCs w:val="0"/>
                <w:color w:val="000000"/>
                <w:sz w:val="20"/>
                <w:szCs w:val="20"/>
                <w:highlight w:val="none"/>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CE26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CCD3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850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14:paraId="257AA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5EF05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E68B1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97A5D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实际完成情况</w:t>
            </w:r>
          </w:p>
        </w:tc>
      </w:tr>
      <w:tr w14:paraId="2908A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3E438">
            <w:pPr>
              <w:jc w:val="center"/>
              <w:rPr>
                <w:rFonts w:hint="eastAsia" w:ascii="宋体" w:hAnsi="宋体" w:eastAsia="宋体" w:cs="宋体"/>
                <w:i w:val="0"/>
                <w:iCs w:val="0"/>
                <w:color w:val="000000"/>
                <w:sz w:val="20"/>
                <w:szCs w:val="20"/>
                <w:highlight w:val="none"/>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238BA65D">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依据昌州财教[2023]90号2024年城乡义务教育补助经费预算[中央直达资金]-校舍安全，本项目拟投入180万元用于义务教育学校校舍安全资金补助，消防改造面积5600平方米，竣工验收合格率100%，项目资金支付率100%，按计划开工和完工，项目预算控制率100%，受益人数1875人，使学生和老师满意度大于等于90%。</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650B539A">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截止2024年12月31日，本项目拟投入180万元用于义务教育学校校舍安全资金补助，该项目实际完成消防改造面积5600平方米，竣工验收合格率100%，项目资金支付率100%，按计划开工和完工，项目预算控制率100%，受益人数1875人，通过项目的实施有效提高了学生学习环境，促进了学校基础设施的建设。</w:t>
            </w:r>
          </w:p>
        </w:tc>
      </w:tr>
      <w:tr w14:paraId="441B6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88A8DF">
            <w:pPr>
              <w:jc w:val="center"/>
              <w:rPr>
                <w:rFonts w:hint="eastAsia" w:ascii="宋体" w:hAnsi="宋体" w:eastAsia="宋体" w:cs="宋体"/>
                <w:i w:val="0"/>
                <w:iCs w:val="0"/>
                <w:color w:val="000000"/>
                <w:sz w:val="20"/>
                <w:szCs w:val="20"/>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E600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2EB2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E95B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8223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60665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512B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6B53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3C2A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偏差原因分析及改进措施</w:t>
            </w:r>
          </w:p>
        </w:tc>
      </w:tr>
      <w:tr w14:paraId="70159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57B99">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22612">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0F5C2">
            <w:pPr>
              <w:jc w:val="center"/>
              <w:rPr>
                <w:rFonts w:hint="eastAsia" w:ascii="宋体" w:hAnsi="宋体" w:eastAsia="宋体" w:cs="宋体"/>
                <w:i w:val="0"/>
                <w:iCs w:val="0"/>
                <w:color w:val="000000"/>
                <w:sz w:val="20"/>
                <w:szCs w:val="20"/>
                <w:highlight w:val="none"/>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E55A1">
            <w:pPr>
              <w:jc w:val="center"/>
              <w:rPr>
                <w:rFonts w:hint="eastAsia" w:ascii="宋体" w:hAnsi="宋体" w:eastAsia="宋体" w:cs="宋体"/>
                <w:i w:val="0"/>
                <w:iCs w:val="0"/>
                <w:color w:val="000000"/>
                <w:sz w:val="20"/>
                <w:szCs w:val="20"/>
                <w:highlight w:val="none"/>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EE789">
            <w:pPr>
              <w:jc w:val="center"/>
              <w:rPr>
                <w:rFonts w:hint="eastAsia" w:ascii="宋体" w:hAnsi="宋体" w:eastAsia="宋体" w:cs="宋体"/>
                <w:i w:val="0"/>
                <w:iCs w:val="0"/>
                <w:color w:val="000000"/>
                <w:sz w:val="20"/>
                <w:szCs w:val="20"/>
                <w:highlight w:val="none"/>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B3958">
            <w:pPr>
              <w:jc w:val="center"/>
              <w:rPr>
                <w:rFonts w:hint="eastAsia" w:ascii="宋体" w:hAnsi="宋体" w:eastAsia="宋体" w:cs="宋体"/>
                <w:i w:val="0"/>
                <w:iCs w:val="0"/>
                <w:color w:val="000000"/>
                <w:sz w:val="20"/>
                <w:szCs w:val="20"/>
                <w:highlight w:val="none"/>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634DA">
            <w:pPr>
              <w:jc w:val="center"/>
              <w:rPr>
                <w:rFonts w:hint="eastAsia" w:ascii="宋体" w:hAnsi="宋体" w:eastAsia="宋体" w:cs="宋体"/>
                <w:i w:val="0"/>
                <w:iCs w:val="0"/>
                <w:color w:val="000000"/>
                <w:sz w:val="20"/>
                <w:szCs w:val="20"/>
                <w:highlight w:val="none"/>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BD65F">
            <w:pPr>
              <w:jc w:val="center"/>
              <w:rPr>
                <w:rFonts w:hint="eastAsia" w:ascii="宋体" w:hAnsi="宋体" w:eastAsia="宋体" w:cs="宋体"/>
                <w:i w:val="0"/>
                <w:iCs w:val="0"/>
                <w:color w:val="000000"/>
                <w:sz w:val="20"/>
                <w:szCs w:val="20"/>
                <w:highlight w:val="none"/>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D8048">
            <w:pPr>
              <w:jc w:val="center"/>
              <w:rPr>
                <w:rFonts w:hint="eastAsia" w:ascii="宋体" w:hAnsi="宋体" w:eastAsia="宋体" w:cs="宋体"/>
                <w:i w:val="0"/>
                <w:iCs w:val="0"/>
                <w:color w:val="000000"/>
                <w:sz w:val="20"/>
                <w:szCs w:val="20"/>
                <w:highlight w:val="none"/>
                <w:u w:val="none"/>
              </w:rPr>
            </w:pPr>
          </w:p>
        </w:tc>
      </w:tr>
      <w:tr w14:paraId="21AA0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D9B2F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10B2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5A7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C738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消防改造面积</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FA4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=5600平方米</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0EF9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=5600平方米</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55A9C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4052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516FF7">
            <w:pPr>
              <w:jc w:val="center"/>
              <w:rPr>
                <w:rFonts w:hint="eastAsia" w:ascii="宋体" w:hAnsi="宋体" w:eastAsia="宋体" w:cs="宋体"/>
                <w:i w:val="0"/>
                <w:iCs w:val="0"/>
                <w:color w:val="000000"/>
                <w:sz w:val="20"/>
                <w:szCs w:val="20"/>
                <w:highlight w:val="none"/>
                <w:u w:val="none"/>
              </w:rPr>
            </w:pPr>
          </w:p>
        </w:tc>
      </w:tr>
      <w:tr w14:paraId="5D3C4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02CD8">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F4002">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7C1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6E27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消防改造工程数量</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907F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&gt;=1个</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1C8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=1个</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961F0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6D25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CDC81F">
            <w:pPr>
              <w:jc w:val="center"/>
              <w:rPr>
                <w:rFonts w:hint="eastAsia" w:ascii="宋体" w:hAnsi="宋体" w:eastAsia="宋体" w:cs="宋体"/>
                <w:i w:val="0"/>
                <w:iCs w:val="0"/>
                <w:color w:val="000000"/>
                <w:sz w:val="20"/>
                <w:szCs w:val="20"/>
                <w:highlight w:val="none"/>
                <w:u w:val="none"/>
              </w:rPr>
            </w:pPr>
          </w:p>
        </w:tc>
      </w:tr>
      <w:tr w14:paraId="1AB82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581E6">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D2621">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8B6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5E1F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竣工验收合格率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1A2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52F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1CBB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E36D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E7DFD2">
            <w:pPr>
              <w:jc w:val="center"/>
              <w:rPr>
                <w:rFonts w:hint="eastAsia" w:ascii="宋体" w:hAnsi="宋体" w:eastAsia="宋体" w:cs="宋体"/>
                <w:i w:val="0"/>
                <w:iCs w:val="0"/>
                <w:color w:val="000000"/>
                <w:sz w:val="20"/>
                <w:szCs w:val="20"/>
                <w:highlight w:val="none"/>
                <w:u w:val="none"/>
              </w:rPr>
            </w:pPr>
          </w:p>
        </w:tc>
      </w:tr>
      <w:tr w14:paraId="75755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4FE00">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26BF6">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28D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58D9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项目资金支付率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027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F26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9B5A9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B85F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BB76B1">
            <w:pPr>
              <w:jc w:val="center"/>
              <w:rPr>
                <w:rFonts w:hint="eastAsia" w:ascii="宋体" w:hAnsi="宋体" w:eastAsia="宋体" w:cs="宋体"/>
                <w:i w:val="0"/>
                <w:iCs w:val="0"/>
                <w:color w:val="000000"/>
                <w:sz w:val="20"/>
                <w:szCs w:val="20"/>
                <w:highlight w:val="none"/>
                <w:u w:val="none"/>
              </w:rPr>
            </w:pPr>
          </w:p>
        </w:tc>
      </w:tr>
      <w:tr w14:paraId="7F397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1971E">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2FF07">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588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09F3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按计划开工时间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C69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&lt;=3月</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3A6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=3月</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97B1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8571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48FF1F">
            <w:pPr>
              <w:jc w:val="center"/>
              <w:rPr>
                <w:rFonts w:hint="eastAsia" w:ascii="宋体" w:hAnsi="宋体" w:eastAsia="宋体" w:cs="宋体"/>
                <w:i w:val="0"/>
                <w:iCs w:val="0"/>
                <w:color w:val="000000"/>
                <w:sz w:val="20"/>
                <w:szCs w:val="20"/>
                <w:highlight w:val="none"/>
                <w:u w:val="none"/>
              </w:rPr>
            </w:pPr>
          </w:p>
        </w:tc>
      </w:tr>
      <w:tr w14:paraId="4D95D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0999D">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2AF83">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926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381D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按计划完工时间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6BA6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&lt;=12月</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684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=12月</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C1F7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0C2B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87D206">
            <w:pPr>
              <w:jc w:val="center"/>
              <w:rPr>
                <w:rFonts w:hint="eastAsia" w:ascii="宋体" w:hAnsi="宋体" w:eastAsia="宋体" w:cs="宋体"/>
                <w:i w:val="0"/>
                <w:iCs w:val="0"/>
                <w:color w:val="000000"/>
                <w:sz w:val="20"/>
                <w:szCs w:val="20"/>
                <w:highlight w:val="none"/>
                <w:u w:val="none"/>
              </w:rPr>
            </w:pPr>
          </w:p>
        </w:tc>
      </w:tr>
      <w:tr w14:paraId="7011B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349F4">
            <w:pPr>
              <w:jc w:val="center"/>
              <w:rPr>
                <w:rFonts w:hint="eastAsia" w:ascii="宋体" w:hAnsi="宋体" w:eastAsia="宋体" w:cs="宋体"/>
                <w:i w:val="0"/>
                <w:iCs w:val="0"/>
                <w:color w:val="000000"/>
                <w:sz w:val="20"/>
                <w:szCs w:val="20"/>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DAB9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364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C5D1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项目预算控制率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43E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1A5F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70F8A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A03F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951DAF">
            <w:pPr>
              <w:jc w:val="center"/>
              <w:rPr>
                <w:rFonts w:hint="eastAsia" w:ascii="宋体" w:hAnsi="宋体" w:eastAsia="宋体" w:cs="宋体"/>
                <w:i w:val="0"/>
                <w:iCs w:val="0"/>
                <w:color w:val="000000"/>
                <w:sz w:val="20"/>
                <w:szCs w:val="20"/>
                <w:highlight w:val="none"/>
                <w:u w:val="none"/>
              </w:rPr>
            </w:pPr>
          </w:p>
        </w:tc>
      </w:tr>
      <w:tr w14:paraId="22201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92F07">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4288C">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064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EB322">
            <w:pPr>
              <w:jc w:val="left"/>
              <w:rPr>
                <w:rFonts w:hint="eastAsia" w:ascii="宋体" w:hAnsi="宋体" w:eastAsia="宋体" w:cs="宋体"/>
                <w:i w:val="0"/>
                <w:iCs w:val="0"/>
                <w:color w:val="000000"/>
                <w:sz w:val="20"/>
                <w:szCs w:val="20"/>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97751">
            <w:pPr>
              <w:jc w:val="center"/>
              <w:rPr>
                <w:rFonts w:hint="eastAsia" w:ascii="宋体" w:hAnsi="宋体" w:eastAsia="宋体" w:cs="宋体"/>
                <w:i w:val="0"/>
                <w:iCs w:val="0"/>
                <w:color w:val="000000"/>
                <w:sz w:val="20"/>
                <w:szCs w:val="20"/>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28C76">
            <w:pPr>
              <w:jc w:val="center"/>
              <w:rPr>
                <w:rFonts w:hint="eastAsia" w:ascii="宋体" w:hAnsi="宋体" w:eastAsia="宋体" w:cs="宋体"/>
                <w:i w:val="0"/>
                <w:iCs w:val="0"/>
                <w:color w:val="000000"/>
                <w:sz w:val="20"/>
                <w:szCs w:val="20"/>
                <w:highlight w:val="none"/>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716F68">
            <w:pPr>
              <w:jc w:val="center"/>
              <w:rPr>
                <w:rFonts w:hint="eastAsia" w:ascii="宋体" w:hAnsi="宋体" w:eastAsia="宋体" w:cs="宋体"/>
                <w:i w:val="0"/>
                <w:iCs w:val="0"/>
                <w:color w:val="000000"/>
                <w:sz w:val="20"/>
                <w:szCs w:val="20"/>
                <w:highlight w:val="none"/>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BAFFE3">
            <w:pPr>
              <w:jc w:val="center"/>
              <w:rPr>
                <w:rFonts w:hint="eastAsia" w:ascii="宋体" w:hAnsi="宋体" w:eastAsia="宋体" w:cs="宋体"/>
                <w:i w:val="0"/>
                <w:iCs w:val="0"/>
                <w:color w:val="000000"/>
                <w:sz w:val="20"/>
                <w:szCs w:val="20"/>
                <w:highlight w:val="none"/>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AC0566">
            <w:pPr>
              <w:jc w:val="center"/>
              <w:rPr>
                <w:rFonts w:hint="eastAsia" w:ascii="宋体" w:hAnsi="宋体" w:eastAsia="宋体" w:cs="宋体"/>
                <w:i w:val="0"/>
                <w:iCs w:val="0"/>
                <w:color w:val="000000"/>
                <w:sz w:val="20"/>
                <w:szCs w:val="20"/>
                <w:highlight w:val="none"/>
                <w:u w:val="none"/>
              </w:rPr>
            </w:pPr>
          </w:p>
        </w:tc>
      </w:tr>
      <w:tr w14:paraId="56071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06721">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6FB7F">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453B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生态环境成本指标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FE9C8">
            <w:pPr>
              <w:jc w:val="left"/>
              <w:rPr>
                <w:rFonts w:hint="eastAsia" w:ascii="宋体" w:hAnsi="宋体" w:eastAsia="宋体" w:cs="宋体"/>
                <w:i w:val="0"/>
                <w:iCs w:val="0"/>
                <w:color w:val="000000"/>
                <w:sz w:val="20"/>
                <w:szCs w:val="20"/>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610D4">
            <w:pPr>
              <w:jc w:val="center"/>
              <w:rPr>
                <w:rFonts w:hint="eastAsia" w:ascii="宋体" w:hAnsi="宋体" w:eastAsia="宋体" w:cs="宋体"/>
                <w:i w:val="0"/>
                <w:iCs w:val="0"/>
                <w:color w:val="000000"/>
                <w:sz w:val="20"/>
                <w:szCs w:val="20"/>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398F1">
            <w:pPr>
              <w:jc w:val="center"/>
              <w:rPr>
                <w:rFonts w:hint="eastAsia" w:ascii="宋体" w:hAnsi="宋体" w:eastAsia="宋体" w:cs="宋体"/>
                <w:i w:val="0"/>
                <w:iCs w:val="0"/>
                <w:color w:val="000000"/>
                <w:sz w:val="20"/>
                <w:szCs w:val="20"/>
                <w:highlight w:val="none"/>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6650D4">
            <w:pPr>
              <w:jc w:val="center"/>
              <w:rPr>
                <w:rFonts w:hint="eastAsia" w:ascii="宋体" w:hAnsi="宋体" w:eastAsia="宋体" w:cs="宋体"/>
                <w:i w:val="0"/>
                <w:iCs w:val="0"/>
                <w:color w:val="000000"/>
                <w:sz w:val="20"/>
                <w:szCs w:val="20"/>
                <w:highlight w:val="none"/>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39433A">
            <w:pPr>
              <w:jc w:val="center"/>
              <w:rPr>
                <w:rFonts w:hint="eastAsia" w:ascii="宋体" w:hAnsi="宋体" w:eastAsia="宋体" w:cs="宋体"/>
                <w:i w:val="0"/>
                <w:iCs w:val="0"/>
                <w:color w:val="000000"/>
                <w:sz w:val="20"/>
                <w:szCs w:val="20"/>
                <w:highlight w:val="none"/>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898E1E">
            <w:pPr>
              <w:jc w:val="center"/>
              <w:rPr>
                <w:rFonts w:hint="eastAsia" w:ascii="宋体" w:hAnsi="宋体" w:eastAsia="宋体" w:cs="宋体"/>
                <w:i w:val="0"/>
                <w:iCs w:val="0"/>
                <w:color w:val="000000"/>
                <w:sz w:val="20"/>
                <w:szCs w:val="20"/>
                <w:highlight w:val="none"/>
                <w:u w:val="none"/>
              </w:rPr>
            </w:pPr>
          </w:p>
        </w:tc>
      </w:tr>
      <w:tr w14:paraId="02D16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6C738">
            <w:pPr>
              <w:jc w:val="center"/>
              <w:rPr>
                <w:rFonts w:hint="eastAsia" w:ascii="宋体" w:hAnsi="宋体" w:eastAsia="宋体" w:cs="宋体"/>
                <w:i w:val="0"/>
                <w:iCs w:val="0"/>
                <w:color w:val="000000"/>
                <w:sz w:val="20"/>
                <w:szCs w:val="20"/>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DB30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843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DC275">
            <w:pPr>
              <w:jc w:val="left"/>
              <w:rPr>
                <w:rFonts w:hint="eastAsia" w:ascii="宋体" w:hAnsi="宋体" w:eastAsia="宋体" w:cs="宋体"/>
                <w:i w:val="0"/>
                <w:iCs w:val="0"/>
                <w:color w:val="000000"/>
                <w:sz w:val="20"/>
                <w:szCs w:val="20"/>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520E5">
            <w:pPr>
              <w:jc w:val="center"/>
              <w:rPr>
                <w:rFonts w:hint="eastAsia" w:ascii="宋体" w:hAnsi="宋体" w:eastAsia="宋体" w:cs="宋体"/>
                <w:i w:val="0"/>
                <w:iCs w:val="0"/>
                <w:color w:val="000000"/>
                <w:sz w:val="20"/>
                <w:szCs w:val="20"/>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CCFF2">
            <w:pPr>
              <w:jc w:val="center"/>
              <w:rPr>
                <w:rFonts w:hint="eastAsia" w:ascii="宋体" w:hAnsi="宋体" w:eastAsia="宋体" w:cs="宋体"/>
                <w:i w:val="0"/>
                <w:iCs w:val="0"/>
                <w:color w:val="000000"/>
                <w:sz w:val="20"/>
                <w:szCs w:val="20"/>
                <w:highlight w:val="none"/>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801B98">
            <w:pPr>
              <w:jc w:val="center"/>
              <w:rPr>
                <w:rFonts w:hint="eastAsia" w:ascii="宋体" w:hAnsi="宋体" w:eastAsia="宋体" w:cs="宋体"/>
                <w:i w:val="0"/>
                <w:iCs w:val="0"/>
                <w:color w:val="000000"/>
                <w:sz w:val="20"/>
                <w:szCs w:val="20"/>
                <w:highlight w:val="none"/>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04BA12">
            <w:pPr>
              <w:jc w:val="center"/>
              <w:rPr>
                <w:rFonts w:hint="eastAsia" w:ascii="宋体" w:hAnsi="宋体" w:eastAsia="宋体" w:cs="宋体"/>
                <w:i w:val="0"/>
                <w:iCs w:val="0"/>
                <w:color w:val="000000"/>
                <w:sz w:val="20"/>
                <w:szCs w:val="20"/>
                <w:highlight w:val="none"/>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04BF48">
            <w:pPr>
              <w:jc w:val="center"/>
              <w:rPr>
                <w:rFonts w:hint="eastAsia" w:ascii="宋体" w:hAnsi="宋体" w:eastAsia="宋体" w:cs="宋体"/>
                <w:i w:val="0"/>
                <w:iCs w:val="0"/>
                <w:color w:val="000000"/>
                <w:sz w:val="20"/>
                <w:szCs w:val="20"/>
                <w:highlight w:val="none"/>
                <w:u w:val="none"/>
              </w:rPr>
            </w:pPr>
          </w:p>
        </w:tc>
      </w:tr>
      <w:tr w14:paraId="563CB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A4D8B">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7CB13">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37F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DB96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提高学生学习环境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958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有效提高</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539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有效提高</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E098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1826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4E4F2B">
            <w:pPr>
              <w:jc w:val="center"/>
              <w:rPr>
                <w:rFonts w:hint="eastAsia" w:ascii="宋体" w:hAnsi="宋体" w:eastAsia="宋体" w:cs="宋体"/>
                <w:i w:val="0"/>
                <w:iCs w:val="0"/>
                <w:color w:val="000000"/>
                <w:sz w:val="20"/>
                <w:szCs w:val="20"/>
                <w:highlight w:val="none"/>
                <w:u w:val="none"/>
              </w:rPr>
            </w:pPr>
          </w:p>
        </w:tc>
      </w:tr>
      <w:tr w14:paraId="502E8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369B33">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F8F02">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C0E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BEA8D">
            <w:pPr>
              <w:jc w:val="left"/>
              <w:rPr>
                <w:rFonts w:hint="eastAsia" w:ascii="宋体" w:hAnsi="宋体" w:eastAsia="宋体" w:cs="宋体"/>
                <w:i w:val="0"/>
                <w:iCs w:val="0"/>
                <w:color w:val="000000"/>
                <w:sz w:val="20"/>
                <w:szCs w:val="20"/>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DBBE5">
            <w:pPr>
              <w:jc w:val="center"/>
              <w:rPr>
                <w:rFonts w:hint="eastAsia" w:ascii="宋体" w:hAnsi="宋体" w:eastAsia="宋体" w:cs="宋体"/>
                <w:i w:val="0"/>
                <w:iCs w:val="0"/>
                <w:color w:val="000000"/>
                <w:sz w:val="20"/>
                <w:szCs w:val="20"/>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97F5D">
            <w:pPr>
              <w:jc w:val="center"/>
              <w:rPr>
                <w:rFonts w:hint="eastAsia" w:ascii="宋体" w:hAnsi="宋体" w:eastAsia="宋体" w:cs="宋体"/>
                <w:i w:val="0"/>
                <w:iCs w:val="0"/>
                <w:color w:val="000000"/>
                <w:sz w:val="20"/>
                <w:szCs w:val="20"/>
                <w:highlight w:val="none"/>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815827">
            <w:pPr>
              <w:jc w:val="center"/>
              <w:rPr>
                <w:rFonts w:hint="eastAsia" w:ascii="宋体" w:hAnsi="宋体" w:eastAsia="宋体" w:cs="宋体"/>
                <w:i w:val="0"/>
                <w:iCs w:val="0"/>
                <w:color w:val="000000"/>
                <w:sz w:val="20"/>
                <w:szCs w:val="20"/>
                <w:highlight w:val="none"/>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5043DB">
            <w:pPr>
              <w:jc w:val="center"/>
              <w:rPr>
                <w:rFonts w:hint="eastAsia" w:ascii="宋体" w:hAnsi="宋体" w:eastAsia="宋体" w:cs="宋体"/>
                <w:i w:val="0"/>
                <w:iCs w:val="0"/>
                <w:color w:val="000000"/>
                <w:sz w:val="20"/>
                <w:szCs w:val="20"/>
                <w:highlight w:val="none"/>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CC0118">
            <w:pPr>
              <w:jc w:val="center"/>
              <w:rPr>
                <w:rFonts w:hint="eastAsia" w:ascii="宋体" w:hAnsi="宋体" w:eastAsia="宋体" w:cs="宋体"/>
                <w:i w:val="0"/>
                <w:iCs w:val="0"/>
                <w:color w:val="000000"/>
                <w:sz w:val="20"/>
                <w:szCs w:val="20"/>
                <w:highlight w:val="none"/>
                <w:u w:val="none"/>
              </w:rPr>
            </w:pPr>
          </w:p>
        </w:tc>
      </w:tr>
      <w:tr w14:paraId="145BF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F907D">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942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AB9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8C2D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学生和老师满意度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675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0673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E8BA7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C930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D36994">
            <w:pPr>
              <w:jc w:val="center"/>
              <w:rPr>
                <w:rFonts w:hint="eastAsia" w:ascii="宋体" w:hAnsi="宋体" w:eastAsia="宋体" w:cs="宋体"/>
                <w:i w:val="0"/>
                <w:iCs w:val="0"/>
                <w:color w:val="000000"/>
                <w:sz w:val="20"/>
                <w:szCs w:val="20"/>
                <w:highlight w:val="none"/>
                <w:u w:val="none"/>
              </w:rPr>
            </w:pPr>
          </w:p>
        </w:tc>
      </w:tr>
      <w:tr w14:paraId="38C19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77A98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D34C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9E55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1FD391">
            <w:pPr>
              <w:jc w:val="center"/>
              <w:rPr>
                <w:rFonts w:hint="eastAsia" w:ascii="宋体" w:hAnsi="宋体" w:eastAsia="宋体" w:cs="宋体"/>
                <w:i w:val="0"/>
                <w:iCs w:val="0"/>
                <w:color w:val="000000"/>
                <w:sz w:val="20"/>
                <w:szCs w:val="20"/>
                <w:highlight w:val="none"/>
                <w:u w:val="none"/>
              </w:rPr>
            </w:pPr>
          </w:p>
        </w:tc>
      </w:tr>
    </w:tbl>
    <w:p w14:paraId="4800D04C">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455FAA7">
        <w:pPr>
          <w:pStyle w:val="7"/>
          <w:jc w:val="center"/>
        </w:pPr>
        <w:r>
          <w:fldChar w:fldCharType="begin"/>
        </w:r>
        <w:r>
          <w:instrText xml:space="preserve">PAGE   \* MERGEFORMAT</w:instrText>
        </w:r>
        <w:r>
          <w:fldChar w:fldCharType="separate"/>
        </w:r>
        <w:r>
          <w:rPr>
            <w:lang w:val="zh-CN"/>
          </w:rPr>
          <w:t>13</w:t>
        </w:r>
        <w:r>
          <w:fldChar w:fldCharType="end"/>
        </w:r>
      </w:p>
    </w:sdtContent>
  </w:sdt>
  <w:p w14:paraId="3385DE96">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145DAE"/>
    <w:rsid w:val="006F7242"/>
    <w:rsid w:val="007B168A"/>
    <w:rsid w:val="008B2CFE"/>
    <w:rsid w:val="00F26FF6"/>
    <w:rsid w:val="01610122"/>
    <w:rsid w:val="01F80A87"/>
    <w:rsid w:val="023D293E"/>
    <w:rsid w:val="02510197"/>
    <w:rsid w:val="026003DA"/>
    <w:rsid w:val="02810A7C"/>
    <w:rsid w:val="03EC461B"/>
    <w:rsid w:val="04137DFA"/>
    <w:rsid w:val="062005AC"/>
    <w:rsid w:val="064A5EDE"/>
    <w:rsid w:val="071A5591"/>
    <w:rsid w:val="07397B77"/>
    <w:rsid w:val="080A32C2"/>
    <w:rsid w:val="09B63701"/>
    <w:rsid w:val="0A96708F"/>
    <w:rsid w:val="0AD007F3"/>
    <w:rsid w:val="0D082A6E"/>
    <w:rsid w:val="0D166265"/>
    <w:rsid w:val="0E3C619F"/>
    <w:rsid w:val="0F384739"/>
    <w:rsid w:val="0F6273CA"/>
    <w:rsid w:val="100F38EC"/>
    <w:rsid w:val="106B68C8"/>
    <w:rsid w:val="10CA1840"/>
    <w:rsid w:val="11170296"/>
    <w:rsid w:val="12C66037"/>
    <w:rsid w:val="12CD1ABC"/>
    <w:rsid w:val="133645B5"/>
    <w:rsid w:val="13471461"/>
    <w:rsid w:val="13B90F01"/>
    <w:rsid w:val="13EC6C6B"/>
    <w:rsid w:val="149A0C5C"/>
    <w:rsid w:val="154F3251"/>
    <w:rsid w:val="155E4C4D"/>
    <w:rsid w:val="16921052"/>
    <w:rsid w:val="17F83137"/>
    <w:rsid w:val="181066D2"/>
    <w:rsid w:val="18DF7E53"/>
    <w:rsid w:val="199C51C6"/>
    <w:rsid w:val="1C671E73"/>
    <w:rsid w:val="1D322C47"/>
    <w:rsid w:val="1D554B87"/>
    <w:rsid w:val="1E01086B"/>
    <w:rsid w:val="22290DFD"/>
    <w:rsid w:val="22861367"/>
    <w:rsid w:val="23616034"/>
    <w:rsid w:val="23696C97"/>
    <w:rsid w:val="23A86D7B"/>
    <w:rsid w:val="24480FA2"/>
    <w:rsid w:val="2454465C"/>
    <w:rsid w:val="24BC0052"/>
    <w:rsid w:val="24F20F0E"/>
    <w:rsid w:val="25227A45"/>
    <w:rsid w:val="25FA62CC"/>
    <w:rsid w:val="26AC3A6A"/>
    <w:rsid w:val="26DC4BB2"/>
    <w:rsid w:val="27A07406"/>
    <w:rsid w:val="27B11B79"/>
    <w:rsid w:val="28757E8C"/>
    <w:rsid w:val="2B430715"/>
    <w:rsid w:val="2B9D7E25"/>
    <w:rsid w:val="2C7C7A3B"/>
    <w:rsid w:val="2CBC42DB"/>
    <w:rsid w:val="2E4F2E0E"/>
    <w:rsid w:val="2E66136F"/>
    <w:rsid w:val="2F364819"/>
    <w:rsid w:val="2FD63906"/>
    <w:rsid w:val="30405DB5"/>
    <w:rsid w:val="30C47C02"/>
    <w:rsid w:val="3161109D"/>
    <w:rsid w:val="31EE13DB"/>
    <w:rsid w:val="336254B1"/>
    <w:rsid w:val="344F3C87"/>
    <w:rsid w:val="34733E19"/>
    <w:rsid w:val="36785717"/>
    <w:rsid w:val="36794B8A"/>
    <w:rsid w:val="37215DAE"/>
    <w:rsid w:val="38CA40DD"/>
    <w:rsid w:val="38ED59F4"/>
    <w:rsid w:val="393617C5"/>
    <w:rsid w:val="395F2B56"/>
    <w:rsid w:val="3A316F85"/>
    <w:rsid w:val="3B482032"/>
    <w:rsid w:val="3B8849E9"/>
    <w:rsid w:val="3BBA0580"/>
    <w:rsid w:val="3BECE841"/>
    <w:rsid w:val="3CB0145C"/>
    <w:rsid w:val="3CDE204C"/>
    <w:rsid w:val="3D363C36"/>
    <w:rsid w:val="3E9C3F6D"/>
    <w:rsid w:val="3FF7797D"/>
    <w:rsid w:val="40775150"/>
    <w:rsid w:val="41110C42"/>
    <w:rsid w:val="42F16CBA"/>
    <w:rsid w:val="44390965"/>
    <w:rsid w:val="463C360A"/>
    <w:rsid w:val="46690BD8"/>
    <w:rsid w:val="47CA1B4A"/>
    <w:rsid w:val="48B44AAC"/>
    <w:rsid w:val="491B667E"/>
    <w:rsid w:val="49F70BF1"/>
    <w:rsid w:val="4B4340EE"/>
    <w:rsid w:val="4C481290"/>
    <w:rsid w:val="4CAA64D4"/>
    <w:rsid w:val="4E195943"/>
    <w:rsid w:val="4F1D75D8"/>
    <w:rsid w:val="503D507A"/>
    <w:rsid w:val="51FA74D0"/>
    <w:rsid w:val="524013FF"/>
    <w:rsid w:val="52AA4A52"/>
    <w:rsid w:val="539D3AD1"/>
    <w:rsid w:val="53D224C1"/>
    <w:rsid w:val="5507618C"/>
    <w:rsid w:val="55546EF7"/>
    <w:rsid w:val="576C677A"/>
    <w:rsid w:val="579425A0"/>
    <w:rsid w:val="57A852D8"/>
    <w:rsid w:val="59943D66"/>
    <w:rsid w:val="59E051FD"/>
    <w:rsid w:val="59E6355E"/>
    <w:rsid w:val="5B821531"/>
    <w:rsid w:val="5BFF6039"/>
    <w:rsid w:val="5D76A616"/>
    <w:rsid w:val="5D7F20B9"/>
    <w:rsid w:val="5DAC7D0E"/>
    <w:rsid w:val="5F125E59"/>
    <w:rsid w:val="5F8959EF"/>
    <w:rsid w:val="5F98B5AF"/>
    <w:rsid w:val="5FAD5B82"/>
    <w:rsid w:val="5FFE8511"/>
    <w:rsid w:val="5FFEACE2"/>
    <w:rsid w:val="609D5BF6"/>
    <w:rsid w:val="60B7403D"/>
    <w:rsid w:val="61073070"/>
    <w:rsid w:val="61B9080E"/>
    <w:rsid w:val="61DF3FED"/>
    <w:rsid w:val="62606CE8"/>
    <w:rsid w:val="63DC4C88"/>
    <w:rsid w:val="642B176B"/>
    <w:rsid w:val="643EE26D"/>
    <w:rsid w:val="64A86918"/>
    <w:rsid w:val="656019A0"/>
    <w:rsid w:val="6581192F"/>
    <w:rsid w:val="659155FE"/>
    <w:rsid w:val="65F242EE"/>
    <w:rsid w:val="666D7E19"/>
    <w:rsid w:val="679348FA"/>
    <w:rsid w:val="68376930"/>
    <w:rsid w:val="68F91E38"/>
    <w:rsid w:val="6B3158B9"/>
    <w:rsid w:val="6BA02A3F"/>
    <w:rsid w:val="6C105349"/>
    <w:rsid w:val="6C1E5A53"/>
    <w:rsid w:val="6F5C41AC"/>
    <w:rsid w:val="6F62308B"/>
    <w:rsid w:val="6F9D176F"/>
    <w:rsid w:val="6FAF6C78"/>
    <w:rsid w:val="700D4FE4"/>
    <w:rsid w:val="716167CC"/>
    <w:rsid w:val="718A7AD1"/>
    <w:rsid w:val="71DD22F7"/>
    <w:rsid w:val="72A44BC2"/>
    <w:rsid w:val="7317C656"/>
    <w:rsid w:val="734ED73F"/>
    <w:rsid w:val="736F3422"/>
    <w:rsid w:val="73C82B32"/>
    <w:rsid w:val="73F94DAE"/>
    <w:rsid w:val="74220495"/>
    <w:rsid w:val="747D1B6F"/>
    <w:rsid w:val="749E5641"/>
    <w:rsid w:val="76271066"/>
    <w:rsid w:val="77FD8BE9"/>
    <w:rsid w:val="78000AED"/>
    <w:rsid w:val="78036054"/>
    <w:rsid w:val="78947487"/>
    <w:rsid w:val="79A9BD3F"/>
    <w:rsid w:val="79E32474"/>
    <w:rsid w:val="79FF3026"/>
    <w:rsid w:val="7A0B3779"/>
    <w:rsid w:val="7AC5270E"/>
    <w:rsid w:val="7B776F12"/>
    <w:rsid w:val="7BFFFDD0"/>
    <w:rsid w:val="7C336E5F"/>
    <w:rsid w:val="7C544109"/>
    <w:rsid w:val="7C8D4919"/>
    <w:rsid w:val="7D7A5F86"/>
    <w:rsid w:val="7E4B683A"/>
    <w:rsid w:val="7E5E656D"/>
    <w:rsid w:val="7E8F2BCB"/>
    <w:rsid w:val="7EFD07E5"/>
    <w:rsid w:val="7F37BB4E"/>
    <w:rsid w:val="7F473F32"/>
    <w:rsid w:val="7FE26D2A"/>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annotation text"/>
    <w:basedOn w:val="1"/>
    <w:link w:val="22"/>
    <w:qFormat/>
    <w:uiPriority w:val="0"/>
    <w:pPr>
      <w:jc w:val="left"/>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4"/>
    <w:next w:val="4"/>
    <w:link w:val="23"/>
    <w:qFormat/>
    <w:uiPriority w:val="0"/>
    <w:rPr>
      <w:b/>
      <w:bCs/>
    </w:rPr>
  </w:style>
  <w:style w:type="paragraph" w:styleId="12">
    <w:name w:val="Body Text First Indent"/>
    <w:basedOn w:val="2"/>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3502</Words>
  <Characters>3697</Characters>
  <Lines>58</Lines>
  <Paragraphs>16</Paragraphs>
  <TotalTime>7</TotalTime>
  <ScaleCrop>false</ScaleCrop>
  <LinksUpToDate>false</LinksUpToDate>
  <CharactersWithSpaces>3697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dcterms:modified xsi:type="dcterms:W3CDTF">2025-05-09T02:50:34Z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A075C2AEC1C54D1693797747003CB0A9_13</vt:lpwstr>
  </property>
  <property fmtid="{D5CDD505-2E9C-101B-9397-08002B2CF9AE}" pid="4" name="KSOTemplateDocerSaveRecord">
    <vt:lpwstr>eyJoZGlkIjoiZGU2OWVkNjVhNTc2NTNjNjZhOGJlZWQ2NTc3Njc5NGQiLCJ1c2VySWQiOiIzODQzMzMyOTcifQ==</vt:lpwstr>
  </property>
</Properties>
</file>