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DC386">
      <w:pPr>
        <w:spacing w:line="540" w:lineRule="exact"/>
        <w:jc w:val="center"/>
        <w:rPr>
          <w:rFonts w:hint="default" w:ascii="Times New Roman" w:hAnsi="Times New Roman" w:eastAsia="华文中宋" w:cs="Times New Roman"/>
          <w:b/>
          <w:color w:val="auto"/>
          <w:kern w:val="0"/>
          <w:sz w:val="52"/>
          <w:szCs w:val="52"/>
          <w:highlight w:val="none"/>
        </w:rPr>
      </w:pPr>
      <w:bookmarkStart w:id="3" w:name="_GoBack"/>
    </w:p>
    <w:p w14:paraId="6A5492A4">
      <w:pPr>
        <w:spacing w:line="540" w:lineRule="exact"/>
        <w:jc w:val="center"/>
        <w:rPr>
          <w:rFonts w:hint="default" w:ascii="Times New Roman" w:hAnsi="Times New Roman" w:eastAsia="华文中宋" w:cs="Times New Roman"/>
          <w:b/>
          <w:color w:val="auto"/>
          <w:kern w:val="0"/>
          <w:sz w:val="52"/>
          <w:szCs w:val="52"/>
          <w:highlight w:val="none"/>
        </w:rPr>
      </w:pPr>
    </w:p>
    <w:p w14:paraId="32582BF3">
      <w:pPr>
        <w:spacing w:line="540" w:lineRule="exact"/>
        <w:rPr>
          <w:rFonts w:hint="default" w:ascii="Times New Roman" w:hAnsi="Times New Roman" w:eastAsia="华文中宋" w:cs="Times New Roman"/>
          <w:b/>
          <w:color w:val="auto"/>
          <w:kern w:val="0"/>
          <w:sz w:val="52"/>
          <w:szCs w:val="52"/>
          <w:highlight w:val="none"/>
        </w:rPr>
      </w:pPr>
    </w:p>
    <w:p w14:paraId="34F4D45B">
      <w:pPr>
        <w:spacing w:line="540" w:lineRule="exact"/>
        <w:jc w:val="center"/>
        <w:rPr>
          <w:rFonts w:hint="default" w:ascii="Times New Roman" w:hAnsi="Times New Roman" w:eastAsia="华文中宋" w:cs="Times New Roman"/>
          <w:b/>
          <w:color w:val="auto"/>
          <w:kern w:val="0"/>
          <w:sz w:val="52"/>
          <w:szCs w:val="52"/>
          <w:highlight w:val="none"/>
        </w:rPr>
      </w:pPr>
    </w:p>
    <w:p w14:paraId="7D0BB310">
      <w:pPr>
        <w:spacing w:line="540" w:lineRule="exact"/>
        <w:jc w:val="center"/>
        <w:rPr>
          <w:rFonts w:hint="default" w:ascii="Times New Roman" w:hAnsi="Times New Roman" w:eastAsia="华文中宋" w:cs="Times New Roman"/>
          <w:b/>
          <w:color w:val="auto"/>
          <w:kern w:val="0"/>
          <w:sz w:val="52"/>
          <w:szCs w:val="52"/>
          <w:highlight w:val="none"/>
        </w:rPr>
      </w:pPr>
    </w:p>
    <w:p w14:paraId="3E0A6500">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微软雅黑" w:hAnsi="微软雅黑" w:eastAsia="微软雅黑" w:cs="微软雅黑"/>
          <w:color w:val="auto"/>
          <w:kern w:val="0"/>
          <w:sz w:val="48"/>
          <w:szCs w:val="48"/>
          <w:highlight w:val="none"/>
        </w:rPr>
        <w:t>2024年城乡义务教育补助经费预算[中央直达资金]的通知-小学公用经费</w:t>
      </w:r>
      <w:r>
        <w:rPr>
          <w:rFonts w:hint="eastAsia" w:ascii="微软雅黑" w:hAnsi="微软雅黑" w:eastAsia="微软雅黑" w:cs="微软雅黑"/>
          <w:color w:val="auto"/>
          <w:kern w:val="0"/>
          <w:sz w:val="48"/>
          <w:szCs w:val="48"/>
          <w:highlight w:val="none"/>
        </w:rPr>
        <w:t>项目支出绩效评价报告</w:t>
      </w:r>
    </w:p>
    <w:p w14:paraId="07F2450E">
      <w:pPr>
        <w:spacing w:line="540" w:lineRule="exact"/>
        <w:jc w:val="center"/>
        <w:rPr>
          <w:rFonts w:hint="default" w:ascii="Times New Roman" w:hAnsi="Times New Roman" w:eastAsia="华文中宋" w:cs="Times New Roman"/>
          <w:b/>
          <w:color w:val="auto"/>
          <w:kern w:val="0"/>
          <w:sz w:val="52"/>
          <w:szCs w:val="52"/>
          <w:highlight w:val="none"/>
        </w:rPr>
      </w:pPr>
    </w:p>
    <w:p w14:paraId="11A33359">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5F31D7C1">
      <w:pPr>
        <w:spacing w:line="540" w:lineRule="exact"/>
        <w:jc w:val="center"/>
        <w:rPr>
          <w:rFonts w:hint="default" w:ascii="Times New Roman" w:hAnsi="Times New Roman" w:eastAsia="仿宋_GB2312" w:cs="Times New Roman"/>
          <w:color w:val="auto"/>
          <w:kern w:val="0"/>
          <w:sz w:val="30"/>
          <w:szCs w:val="30"/>
          <w:highlight w:val="none"/>
        </w:rPr>
      </w:pPr>
    </w:p>
    <w:p w14:paraId="15B04654">
      <w:pPr>
        <w:spacing w:line="540" w:lineRule="exact"/>
        <w:jc w:val="center"/>
        <w:rPr>
          <w:rFonts w:hint="default" w:ascii="Times New Roman" w:hAnsi="Times New Roman" w:eastAsia="仿宋_GB2312" w:cs="Times New Roman"/>
          <w:color w:val="auto"/>
          <w:kern w:val="0"/>
          <w:sz w:val="30"/>
          <w:szCs w:val="30"/>
          <w:highlight w:val="none"/>
        </w:rPr>
      </w:pPr>
    </w:p>
    <w:p w14:paraId="2940660A">
      <w:pPr>
        <w:spacing w:line="540" w:lineRule="exact"/>
        <w:rPr>
          <w:rFonts w:hint="default" w:ascii="Times New Roman" w:hAnsi="Times New Roman" w:eastAsia="仿宋_GB2312" w:cs="Times New Roman"/>
          <w:color w:val="auto"/>
          <w:kern w:val="0"/>
          <w:sz w:val="30"/>
          <w:szCs w:val="30"/>
          <w:highlight w:val="none"/>
        </w:rPr>
      </w:pPr>
    </w:p>
    <w:p w14:paraId="663445B1">
      <w:pPr>
        <w:spacing w:line="700" w:lineRule="exact"/>
        <w:ind w:left="2516" w:leftChars="684" w:hanging="1080" w:hangingChars="3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项目名称：2024年城乡义务教育补助经费预算[中央直达资金]的通知-小学公用经费</w:t>
      </w:r>
    </w:p>
    <w:p w14:paraId="33AC3EF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1440" w:firstLineChars="400"/>
        <w:textAlignment w:val="auto"/>
        <w:outlineLvl w:val="9"/>
        <w:rPr>
          <w:rFonts w:hint="eastAsia"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ascii="Times New Roman" w:hAnsi="Times New Roman" w:eastAsia="仿宋_GB2312" w:cs="Times New Roman"/>
          <w:color w:val="auto"/>
          <w:kern w:val="0"/>
          <w:sz w:val="36"/>
          <w:szCs w:val="36"/>
          <w:highlight w:val="none"/>
          <w:lang w:eastAsia="zh-CN"/>
        </w:rPr>
        <w:t>奇台县第六</w:t>
      </w:r>
      <w:r>
        <w:rPr>
          <w:rFonts w:hint="eastAsia" w:eastAsia="仿宋_GB2312" w:cs="Times New Roman"/>
          <w:color w:val="auto"/>
          <w:kern w:val="0"/>
          <w:sz w:val="36"/>
          <w:szCs w:val="36"/>
          <w:highlight w:val="none"/>
          <w:lang w:eastAsia="zh-CN"/>
        </w:rPr>
        <w:t>小</w:t>
      </w:r>
      <w:r>
        <w:rPr>
          <w:rFonts w:hint="eastAsia" w:ascii="Times New Roman" w:hAnsi="Times New Roman" w:eastAsia="仿宋_GB2312" w:cs="Times New Roman"/>
          <w:color w:val="auto"/>
          <w:kern w:val="0"/>
          <w:sz w:val="36"/>
          <w:szCs w:val="36"/>
          <w:highlight w:val="none"/>
          <w:lang w:eastAsia="zh-CN"/>
        </w:rPr>
        <w:t>学</w:t>
      </w:r>
    </w:p>
    <w:p w14:paraId="2767F4A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1440" w:firstLineChars="400"/>
        <w:textAlignment w:val="auto"/>
        <w:outlineLvl w:val="9"/>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ascii="Times New Roman" w:hAnsi="Times New Roman" w:eastAsia="仿宋_GB2312" w:cs="Times New Roman"/>
          <w:color w:val="auto"/>
          <w:kern w:val="0"/>
          <w:sz w:val="36"/>
          <w:szCs w:val="36"/>
          <w:highlight w:val="none"/>
          <w:lang w:val="en-US" w:eastAsia="zh-CN"/>
        </w:rPr>
        <w:t>奇台县教育局</w:t>
      </w:r>
    </w:p>
    <w:p w14:paraId="5FA146B3">
      <w:pPr>
        <w:spacing w:line="700" w:lineRule="exact"/>
        <w:ind w:firstLine="1440" w:firstLineChars="400"/>
        <w:jc w:val="left"/>
        <w:rPr>
          <w:rFonts w:hint="eastAsia"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王艳</w:t>
      </w:r>
    </w:p>
    <w:p w14:paraId="5FDAC684">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25</w:t>
      </w:r>
      <w:r>
        <w:rPr>
          <w:rFonts w:hint="default" w:ascii="Times New Roman" w:hAnsi="Times New Roman" w:eastAsia="仿宋_GB2312" w:cs="Times New Roman"/>
          <w:color w:val="auto"/>
          <w:kern w:val="0"/>
          <w:sz w:val="36"/>
          <w:szCs w:val="36"/>
          <w:highlight w:val="none"/>
        </w:rPr>
        <w:t>日</w:t>
      </w:r>
    </w:p>
    <w:p w14:paraId="712A7ED1">
      <w:pPr>
        <w:spacing w:line="540" w:lineRule="exact"/>
        <w:jc w:val="center"/>
        <w:rPr>
          <w:rFonts w:hint="default" w:ascii="Times New Roman" w:hAnsi="Times New Roman" w:eastAsia="仿宋_GB2312" w:cs="Times New Roman"/>
          <w:color w:val="auto"/>
          <w:kern w:val="0"/>
          <w:sz w:val="30"/>
          <w:szCs w:val="30"/>
          <w:highlight w:val="none"/>
        </w:rPr>
      </w:pPr>
    </w:p>
    <w:p w14:paraId="440A9E2E">
      <w:pPr>
        <w:spacing w:line="540" w:lineRule="exact"/>
        <w:rPr>
          <w:rStyle w:val="16"/>
          <w:rFonts w:hint="default" w:ascii="Times New Roman" w:hAnsi="Times New Roman" w:eastAsia="黑体" w:cs="Times New Roman"/>
          <w:b w:val="0"/>
          <w:color w:val="auto"/>
          <w:spacing w:val="-4"/>
          <w:sz w:val="32"/>
          <w:szCs w:val="32"/>
          <w:highlight w:val="none"/>
        </w:rPr>
      </w:pPr>
    </w:p>
    <w:p w14:paraId="344AF029">
      <w:pPr>
        <w:spacing w:line="540" w:lineRule="exact"/>
        <w:ind w:firstLine="640"/>
        <w:rPr>
          <w:rStyle w:val="16"/>
          <w:rFonts w:hint="default" w:ascii="Times New Roman" w:hAnsi="Times New Roman" w:eastAsia="黑体" w:cs="Times New Roman"/>
          <w:b w:val="0"/>
          <w:color w:val="auto"/>
          <w:spacing w:val="-4"/>
          <w:sz w:val="32"/>
          <w:szCs w:val="32"/>
          <w:highlight w:val="none"/>
        </w:rPr>
      </w:pPr>
    </w:p>
    <w:p w14:paraId="62981C1B">
      <w:pPr>
        <w:spacing w:line="540" w:lineRule="exact"/>
        <w:rPr>
          <w:rStyle w:val="16"/>
          <w:rFonts w:hint="default" w:ascii="Times New Roman" w:hAnsi="Times New Roman" w:eastAsia="黑体" w:cs="Times New Roman"/>
          <w:b w:val="0"/>
          <w:color w:val="auto"/>
          <w:spacing w:val="-4"/>
          <w:sz w:val="32"/>
          <w:szCs w:val="32"/>
          <w:highlight w:val="none"/>
        </w:rPr>
      </w:pPr>
    </w:p>
    <w:p w14:paraId="4AB6EB77">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063ACB95">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44BEED6B">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0E936756">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61B1C7D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根据</w:t>
      </w:r>
      <w:r>
        <w:rPr>
          <w:rFonts w:hint="default" w:ascii="Times New Roman" w:hAnsi="Times New Roman" w:eastAsia="仿宋_GB2312" w:cs="Times New Roman"/>
          <w:color w:val="auto"/>
          <w:sz w:val="32"/>
          <w:szCs w:val="32"/>
          <w:highlight w:val="none"/>
          <w:lang w:val="en-US" w:eastAsia="zh-CN"/>
        </w:rPr>
        <w:t>昌州财教[</w:t>
      </w:r>
      <w:r>
        <w:rPr>
          <w:rFonts w:hint="eastAsia" w:eastAsia="仿宋_GB2312" w:cs="Times New Roman"/>
          <w:color w:val="auto"/>
          <w:sz w:val="32"/>
          <w:szCs w:val="32"/>
          <w:highlight w:val="none"/>
          <w:lang w:val="en-US" w:eastAsia="zh-CN"/>
        </w:rPr>
        <w:t>2023</w:t>
      </w:r>
      <w:r>
        <w:rPr>
          <w:rFonts w:hint="default" w:ascii="Times New Roman" w:hAnsi="Times New Roman" w:eastAsia="仿宋_GB2312" w:cs="Times New Roman"/>
          <w:color w:val="auto"/>
          <w:sz w:val="32"/>
          <w:szCs w:val="32"/>
          <w:highlight w:val="none"/>
          <w:lang w:val="en-US" w:eastAsia="zh-CN"/>
        </w:rPr>
        <w:t>]90号关于提前下达2024年城乡义务教育补助经费预算[中央直达资金]的通知-小学公用经费</w:t>
      </w:r>
      <w:r>
        <w:rPr>
          <w:rFonts w:hint="eastAsia" w:ascii="Times New Roman" w:hAnsi="Times New Roman" w:eastAsia="仿宋_GB2312" w:cs="Times New Roman"/>
          <w:color w:val="auto"/>
          <w:sz w:val="32"/>
          <w:szCs w:val="32"/>
          <w:highlight w:val="none"/>
          <w:lang w:val="en-US" w:eastAsia="zh-CN"/>
        </w:rPr>
        <w:t>，本项目拟投入112.7518万元用于发放2024年义务教育保障机制经费，其中，学生人数1063人，随班就读残疾学生6人，非寄宿生补助享受人数230人，补助标准625元，小学公用经费标准小学公用经费标准720元/生/年，学生家庭经济负担有效降低，家长满意度、学生满意度、教师满意度大于等于95%。通过项目的实施，保障学校日常运转和教学活动正常开展。</w:t>
      </w:r>
    </w:p>
    <w:p w14:paraId="5A3C8F5C">
      <w:pPr>
        <w:pStyle w:val="2"/>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4D92448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项目主要内容：2024年城乡义务教育补助经费预算[中央直达资金]的通知-小学公用经费</w:t>
      </w:r>
      <w:r>
        <w:rPr>
          <w:rFonts w:hint="eastAsia" w:ascii="Times New Roman" w:hAnsi="Times New Roman" w:eastAsia="仿宋_GB2312" w:cs="Times New Roman"/>
          <w:color w:val="auto"/>
          <w:sz w:val="32"/>
          <w:szCs w:val="32"/>
          <w:highlight w:val="none"/>
          <w:lang w:val="en-US" w:eastAsia="zh-CN"/>
        </w:rPr>
        <w:t>。本项目拟投入112.7518万元用于</w:t>
      </w:r>
      <w:r>
        <w:rPr>
          <w:rFonts w:hint="eastAsia" w:eastAsia="仿宋_GB2312" w:cs="Times New Roman"/>
          <w:color w:val="auto"/>
          <w:sz w:val="32"/>
          <w:szCs w:val="32"/>
          <w:highlight w:val="none"/>
          <w:lang w:val="en-US" w:eastAsia="zh-CN"/>
        </w:rPr>
        <w:t>支付</w:t>
      </w:r>
      <w:r>
        <w:rPr>
          <w:rFonts w:hint="eastAsia" w:ascii="Times New Roman" w:hAnsi="Times New Roman" w:eastAsia="仿宋_GB2312" w:cs="Times New Roman"/>
          <w:color w:val="auto"/>
          <w:sz w:val="32"/>
          <w:szCs w:val="32"/>
          <w:highlight w:val="none"/>
          <w:lang w:val="en-US" w:eastAsia="zh-CN"/>
        </w:rPr>
        <w:t>2024年义务教育保障机制经费，其中，学生人数1063人，随班就读残疾学生6人，非寄宿生补助享受人数230人，补助标准625元，小学公用经费标准小学公用经费标准720元/生/年，学生家庭经济负担有效降低，家长满意度、学生满意度、教师满意度大于等于95%。</w:t>
      </w:r>
    </w:p>
    <w:p w14:paraId="70F609D0">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项目实施情况：</w:t>
      </w:r>
      <w:r>
        <w:rPr>
          <w:rFonts w:hint="eastAsia" w:eastAsia="仿宋_GB2312" w:cs="Times New Roman"/>
          <w:color w:val="auto"/>
          <w:sz w:val="32"/>
          <w:szCs w:val="32"/>
          <w:highlight w:val="none"/>
          <w:lang w:val="en-US" w:eastAsia="zh-CN"/>
        </w:rPr>
        <w:t>公用经费享受学生数1063人，维修次数5次，维修验收合格率100%，维修完成及时率100%，项目预算控制率100%，受益学生人数1063人，学生和老师的满意度95%。</w:t>
      </w:r>
    </w:p>
    <w:p w14:paraId="39BEA10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3.资金投入和使用情况</w:t>
      </w:r>
    </w:p>
    <w:p w14:paraId="6132EA7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73B5746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150373B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0FE1263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ascii="Times New Roman" w:hAnsi="Times New Roman" w:eastAsia="仿宋_GB2312" w:cs="Times New Roman"/>
          <w:color w:val="auto"/>
          <w:sz w:val="32"/>
          <w:szCs w:val="32"/>
          <w:highlight w:val="none"/>
          <w:lang w:val="en-US" w:eastAsia="zh-CN"/>
        </w:rPr>
        <w:t>学校日常运转和教学活动必要开支。</w:t>
      </w:r>
    </w:p>
    <w:p w14:paraId="5ED5F2CE">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4248B07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r>
        <w:rPr>
          <w:rFonts w:hint="eastAsia" w:eastAsia="仿宋_GB2312" w:cs="Times New Roman"/>
          <w:color w:val="auto"/>
          <w:sz w:val="32"/>
          <w:szCs w:val="32"/>
          <w:highlight w:val="none"/>
          <w:lang w:eastAsia="zh-CN"/>
        </w:rPr>
        <w:t>：</w:t>
      </w:r>
    </w:p>
    <w:p w14:paraId="1971CE8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昌州财教[2023]90号关于提前下达2024年城乡义务教育补助经费预算[中央直达资金]的通知-小学公用经费</w:t>
      </w:r>
      <w:r>
        <w:rPr>
          <w:rFonts w:hint="eastAsia" w:ascii="Times New Roman" w:hAnsi="Times New Roman" w:eastAsia="仿宋_GB2312" w:cs="Times New Roman"/>
          <w:color w:val="auto"/>
          <w:sz w:val="32"/>
          <w:szCs w:val="32"/>
          <w:highlight w:val="none"/>
          <w:lang w:val="en-US" w:eastAsia="zh-CN"/>
        </w:rPr>
        <w:t>。本项目拟投入112.7518万元用于发放2024年义务教育保障机制经费，其中，学生人数1063人，随班就读残疾学生6人，非寄宿生补助享受人数230人，补助标准625元，小学公用经费标准小学公用经费标准720元/生/年，学生家庭经济负担有效降低，家长满意度、学生满意度、教师满意度大于等于95%。</w:t>
      </w:r>
    </w:p>
    <w:p w14:paraId="2594C275">
      <w:pPr>
        <w:numPr>
          <w:ilvl w:val="0"/>
          <w:numId w:val="1"/>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阶段性目标</w:t>
      </w:r>
    </w:p>
    <w:p w14:paraId="00D405F7">
      <w:pPr>
        <w:shd w:val="clear"/>
        <w:spacing w:line="600" w:lineRule="exact"/>
        <w:ind w:firstLine="640" w:firstLineChars="200"/>
        <w:outlineLvl w:val="0"/>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024年城乡义务教育补助经费预算[中央直达资金]的通知-小学公用经费</w:t>
      </w:r>
      <w:r>
        <w:rPr>
          <w:rFonts w:hint="eastAsia" w:ascii="Times New Roman" w:hAnsi="Times New Roman" w:eastAsia="仿宋_GB2312" w:cs="Times New Roman"/>
          <w:color w:val="auto"/>
          <w:sz w:val="32"/>
          <w:szCs w:val="32"/>
          <w:highlight w:val="none"/>
          <w:lang w:val="en-US" w:eastAsia="zh-CN"/>
        </w:rPr>
        <w:t>学生人数1063人，随班就读残疾学生6人，非寄宿生补助享受人数230人，补助标准625元，小学公用经费标准小学公用经费标准720元/生/年，学生家庭经济负担有效降低，家长满意度、学生满意度、教师满意度大于等于95%。</w:t>
      </w:r>
    </w:p>
    <w:p w14:paraId="3D5DFC77">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0DA0E0B0">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185EF2F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33F9B609">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4ADF82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lang w:val="en-US" w:eastAsia="zh-CN"/>
        </w:rPr>
        <w:t>维度，力求全方位反映项目的绩效状况。同时，对于每个指标的评价标准和数据来源均进行了明确说明，确保评价结果的客观性和可追溯性。</w:t>
      </w:r>
    </w:p>
    <w:p w14:paraId="13CA12EB">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F18F67A">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8A710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7096EA0">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3111D9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182960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rPr>
        <w:t>维度指标，为项目后续的改进与优化提供科学依据。</w:t>
      </w:r>
    </w:p>
    <w:p w14:paraId="1D0433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34121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43A5F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7B0A14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E6799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06B906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0CA7A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2DB01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22216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93E337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6F5970D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eastAsia" w:ascii="Times New Roman" w:hAnsi="Times New Roman" w:eastAsia="仿宋_GB2312" w:cs="Times New Roman"/>
          <w:b w:val="0"/>
          <w:bCs w:val="0"/>
          <w:color w:val="auto"/>
          <w:highlight w:val="none"/>
          <w:lang w:eastAsia="zh-CN"/>
        </w:rPr>
        <w:t>2</w:t>
      </w:r>
      <w:r>
        <w:rPr>
          <w:rFonts w:hint="eastAsia"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lang w:val="en-US" w:eastAsia="zh-CN"/>
        </w:rPr>
        <w:t>024年城乡义务教育补助经费预算[中央直达资金]的通知-小学公用经费</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eastAsia="zh-CN"/>
        </w:rPr>
        <w:t>奇台县第六小学</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val="en-US" w:eastAsia="zh-CN"/>
        </w:rPr>
        <w:t>保障学校日常运转和教学活动正常开展。</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97.63</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782DAA3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36A4D2BB">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7120567E">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308B6C6A">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7DE9E814">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2115C47C">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影响：考察项目对社会方面的影响。</w:t>
      </w:r>
    </w:p>
    <w:p w14:paraId="66AC98F8">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1D09ECA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4B83653D">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39A7886B">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00154BFF">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63055726">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33453412">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03AAFCF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22022971">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3B1D2AE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57D1FD4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2D8619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32C334CA">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08E6AF7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732860A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1FF7DFD2">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117AFFD1">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0FB5FFC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6E0BAA6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7AEC754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504048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03109CF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val="en-US" w:eastAsia="zh-CN"/>
        </w:rPr>
        <w:t>二</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128A292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val="en-US" w:eastAsia="zh-CN"/>
        </w:rPr>
        <w:t>三</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37CF18E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4113AA6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绩效评价标准通常包括计划标准、行业标准、历史标准等，用于对绩效指标完成情况进行比较、分析、评价。本次评价主要采用了计划标准。</w:t>
      </w:r>
    </w:p>
    <w:p w14:paraId="0C21869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14:paraId="70D5C3C8">
      <w:pPr>
        <w:pStyle w:val="2"/>
        <w:numPr>
          <w:ilvl w:val="0"/>
          <w:numId w:val="3"/>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5CD8BD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526D8E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28D4E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4F85D8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3D8E43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2DDF4F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w:t>
      </w:r>
      <w:r>
        <w:rPr>
          <w:rFonts w:hint="eastAsia" w:eastAsia="仿宋_GB2312" w:cs="Times New Roman"/>
          <w:color w:val="auto"/>
          <w:sz w:val="32"/>
          <w:szCs w:val="32"/>
          <w:highlight w:val="none"/>
          <w:lang w:eastAsia="zh-CN"/>
        </w:rPr>
        <w:t>师生</w:t>
      </w:r>
      <w:r>
        <w:rPr>
          <w:rFonts w:hint="default" w:ascii="Times New Roman" w:hAnsi="Times New Roman" w:eastAsia="仿宋_GB2312" w:cs="Times New Roman"/>
          <w:color w:val="auto"/>
          <w:sz w:val="32"/>
          <w:szCs w:val="32"/>
          <w:highlight w:val="none"/>
          <w:lang w:eastAsia="zh-CN"/>
        </w:rPr>
        <w:t>反馈等。在数据收集过程中，注重数据的质量与完整性，对缺失或异常的数据进行了合理的处理和补充。随后，对收集到的数据进行了系统的整理与分类，为后续的数据分析提供了有力支持。</w:t>
      </w:r>
    </w:p>
    <w:p w14:paraId="1E7B1B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7E2BFF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67985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29EE1A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60BE4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4BDB24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324EE91">
      <w:pPr>
        <w:numPr>
          <w:ilvl w:val="0"/>
          <w:numId w:val="4"/>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372D5B1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43368F4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本项目的综合评价基于对项目各方面绩效的深入分析与评估。从项目目标的达成情况来看，2024年城乡义务教育补助经费预算[中央直达资金]的通知-小学公用经费</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在产出指标、成本指标等方面表现出色，达到了预期的标准与要求。同时，项目也在效益指标满意度指标取得了显著的成效，如受益学生数</w:t>
      </w:r>
      <w:r>
        <w:rPr>
          <w:rFonts w:hint="eastAsia" w:eastAsia="仿宋_GB2312" w:cs="Times New Roman"/>
          <w:color w:val="auto"/>
          <w:sz w:val="32"/>
          <w:szCs w:val="32"/>
          <w:highlight w:val="none"/>
          <w:lang w:val="en-US" w:eastAsia="zh-CN"/>
        </w:rPr>
        <w:t>1063人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95%以上</w:t>
      </w:r>
      <w:r>
        <w:rPr>
          <w:rFonts w:hint="default" w:ascii="Times New Roman" w:hAnsi="Times New Roman" w:eastAsia="仿宋_GB2312" w:cs="Times New Roman"/>
          <w:color w:val="auto"/>
          <w:sz w:val="32"/>
          <w:szCs w:val="32"/>
          <w:highlight w:val="none"/>
        </w:rPr>
        <w:t>等。</w:t>
      </w:r>
    </w:p>
    <w:p w14:paraId="3842189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奇台县第六小学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254CA5C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等方面产生了积极的影响。具体而言，受益学生数</w:t>
      </w:r>
      <w:r>
        <w:rPr>
          <w:rFonts w:hint="eastAsia" w:eastAsia="仿宋_GB2312" w:cs="Times New Roman"/>
          <w:color w:val="auto"/>
          <w:sz w:val="32"/>
          <w:szCs w:val="32"/>
          <w:highlight w:val="none"/>
          <w:lang w:val="en-US" w:eastAsia="zh-CN"/>
        </w:rPr>
        <w:t>1063人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95%以上</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1BF8E7ED">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综上所述，2024年城乡义务教育补助经费预算[中央直达资金]的通知-小学公用经费在绩效评价中表现出色，达到了项目的预期目标，并在多个方面取得了显著的成效。</w:t>
      </w:r>
    </w:p>
    <w:p w14:paraId="5B90B616">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2F78E7C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1AEB1A1E">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700B3AF1">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FC6602B">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B54C9E5">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7A48B56">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8FEB918">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138CCF2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A37AFD2">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2D242DAA">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E0F8B70">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72D7DE3">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64222AE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58179B4">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5A2CEB90">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DBD7B41">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3E0520B">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0820EAB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6ABD0FE">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2C4BD6E3">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3326DED4">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34070E5">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3448F90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6DD6505">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481D43F0">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041E26E">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A852D30">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14:paraId="34287A1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68A98FC">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26F6D6BB">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8E3768B">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904D40F">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14:paraId="6FC738E2">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255CC79A">
      <w:pPr>
        <w:pStyle w:val="2"/>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7C5251C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9909B5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650D605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5F84E57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A12751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6398E28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3FF62F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4FE09DA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7E8558C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087E43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71CEADF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38125DC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118C52A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6FDC98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5D6071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98835C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7C208B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B8B79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1E3CA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741AEB8">
      <w:pPr>
        <w:pStyle w:val="2"/>
        <w:numPr>
          <w:ilvl w:val="0"/>
          <w:numId w:val="5"/>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6FB5E2B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70FE951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66466D8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45CAF27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0315A7C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1F1F226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3B80E72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59654D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97341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B6BD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3E63F1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4CEAA88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337E71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96E26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7AEB04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77E36B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930BD9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7C6F6D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164579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766AC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416D0934">
      <w:pPr>
        <w:pStyle w:val="12"/>
        <w:numPr>
          <w:ilvl w:val="0"/>
          <w:numId w:val="5"/>
        </w:numPr>
        <w:tabs>
          <w:tab w:val="center" w:pos="4274"/>
        </w:tabs>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r>
        <w:rPr>
          <w:rFonts w:hint="eastAsia" w:eastAsia="楷体_GB2312" w:cs="Times New Roman"/>
          <w:b/>
          <w:bCs/>
          <w:color w:val="auto"/>
          <w:sz w:val="32"/>
          <w:szCs w:val="32"/>
          <w:highlight w:val="none"/>
          <w:lang w:val="en-US" w:eastAsia="zh-CN"/>
        </w:rPr>
        <w:tab/>
      </w:r>
    </w:p>
    <w:p w14:paraId="127D1AF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2A708211">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41BCAE6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公用经费享受学生数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=1063人</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1063人</w:t>
      </w:r>
      <w:r>
        <w:rPr>
          <w:rFonts w:hint="default" w:ascii="Times New Roman" w:hAnsi="Times New Roman" w:eastAsia="仿宋_GB2312" w:cs="Times New Roman"/>
          <w:color w:val="auto"/>
          <w:sz w:val="32"/>
          <w:szCs w:val="32"/>
          <w:highlight w:val="none"/>
        </w:rPr>
        <w:t xml:space="preserve"> ，指标完成率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620DD48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维修次数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=5次</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5次</w:t>
      </w:r>
      <w:r>
        <w:rPr>
          <w:rFonts w:hint="default" w:ascii="Times New Roman" w:hAnsi="Times New Roman" w:eastAsia="仿宋_GB2312" w:cs="Times New Roman"/>
          <w:color w:val="auto"/>
          <w:sz w:val="32"/>
          <w:szCs w:val="32"/>
          <w:highlight w:val="none"/>
        </w:rPr>
        <w:t xml:space="preserve"> ，指标完成率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3E7130D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702C899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维修验收合格率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4BF979D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7205906F">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维修完成</w:t>
      </w:r>
      <w:r>
        <w:rPr>
          <w:rFonts w:hint="default" w:ascii="Times New Roman" w:hAnsi="Times New Roman" w:eastAsia="仿宋_GB2312" w:cs="Times New Roman"/>
          <w:color w:val="auto"/>
          <w:sz w:val="32"/>
          <w:szCs w:val="32"/>
          <w:highlight w:val="none"/>
        </w:rPr>
        <w:t>及时率（%），指标值：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3C51079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70AEAFED">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指标1：项目预算控制率（%），指标值：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，实际完成值：=100% ，指标完成率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p>
    <w:p w14:paraId="51F94DF5">
      <w:pPr>
        <w:pStyle w:val="12"/>
        <w:numPr>
          <w:ilvl w:val="0"/>
          <w:numId w:val="5"/>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594664BC">
      <w:pPr>
        <w:spacing w:line="600" w:lineRule="exact"/>
        <w:ind w:firstLine="640" w:firstLineChars="200"/>
        <w:outlineLvl w:val="0"/>
        <w:rPr>
          <w:rFonts w:hint="eastAsia"/>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0分，实际得分</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0E6B607D">
      <w:pPr>
        <w:numPr>
          <w:ilvl w:val="0"/>
          <w:numId w:val="0"/>
        </w:numPr>
        <w:shd w:val="clear"/>
        <w:spacing w:line="600" w:lineRule="exact"/>
        <w:ind w:firstLine="0" w:firstLineChars="0"/>
        <w:outlineLvl w:val="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效益指标</w:t>
      </w:r>
    </w:p>
    <w:p w14:paraId="1E22DF60">
      <w:pPr>
        <w:numPr>
          <w:ilvl w:val="-1"/>
          <w:numId w:val="0"/>
        </w:num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受益学生人数</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=1063人</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，指标完成率  </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38B3CEAD">
      <w:pPr>
        <w:numPr>
          <w:ilvl w:val="0"/>
          <w:numId w:val="0"/>
        </w:numPr>
        <w:shd w:val="clear"/>
        <w:spacing w:line="600" w:lineRule="exact"/>
        <w:ind w:firstLine="0" w:firstLineChars="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满意度</w:t>
      </w:r>
    </w:p>
    <w:p w14:paraId="6CEBE773">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eastAsia="zh-CN"/>
        </w:rPr>
        <w:t>学生和老师满意度</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&gt;=90%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 xml:space="preserve"> ，指标完成率  </w:t>
      </w:r>
      <w:r>
        <w:rPr>
          <w:rFonts w:hint="eastAsia" w:eastAsia="仿宋_GB2312" w:cs="Times New Roman"/>
          <w:color w:val="auto"/>
          <w:sz w:val="32"/>
          <w:szCs w:val="32"/>
          <w:highlight w:val="none"/>
          <w:lang w:val="en-US" w:eastAsia="zh-CN"/>
        </w:rPr>
        <w:t>105.56</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761147C5">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14:paraId="229C09C1">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2024年城乡义务教育补助经费预算[中央直达资金]的通知-小学公用经费</w:t>
      </w:r>
      <w:r>
        <w:rPr>
          <w:rFonts w:hint="default" w:ascii="Times New Roman" w:hAnsi="Times New Roman" w:eastAsia="仿宋_GB2312" w:cs="Times New Roman"/>
          <w:color w:val="auto"/>
          <w:sz w:val="32"/>
          <w:szCs w:val="32"/>
          <w:highlight w:val="none"/>
        </w:rPr>
        <w:t>项目年初预算</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rPr>
        <w:t>万元，全年预算</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rPr>
        <w:t>万元，实际支出</w:t>
      </w:r>
      <w:r>
        <w:rPr>
          <w:rFonts w:hint="eastAsia" w:eastAsia="仿宋_GB2312" w:cs="Times New Roman"/>
          <w:color w:val="auto"/>
          <w:sz w:val="32"/>
          <w:szCs w:val="32"/>
          <w:highlight w:val="none"/>
          <w:lang w:val="en-US" w:eastAsia="zh-CN"/>
        </w:rPr>
        <w:t>97.63</w:t>
      </w:r>
      <w:r>
        <w:rPr>
          <w:rFonts w:hint="default" w:ascii="Times New Roman" w:hAnsi="Times New Roman" w:eastAsia="仿宋_GB2312" w:cs="Times New Roman"/>
          <w:color w:val="auto"/>
          <w:sz w:val="32"/>
          <w:szCs w:val="32"/>
          <w:highlight w:val="none"/>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Hans"/>
        </w:rPr>
        <w:t>总体</w:t>
      </w:r>
      <w:r>
        <w:rPr>
          <w:rFonts w:hint="default" w:ascii="Times New Roman" w:hAnsi="Times New Roman" w:eastAsia="仿宋_GB2312" w:cs="Times New Roman"/>
          <w:color w:val="auto"/>
          <w:sz w:val="32"/>
          <w:szCs w:val="32"/>
          <w:highlight w:val="none"/>
        </w:rPr>
        <w:t>偏差率为</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p>
    <w:p w14:paraId="4DC74A56">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主要经验及做法、存在的问题及原因分析</w:t>
      </w:r>
    </w:p>
    <w:p w14:paraId="6DFB4559">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70EB86AA">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FB4B50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严格坚持先做事、后验收、再拨付的原则，</w:t>
      </w:r>
      <w:r>
        <w:rPr>
          <w:rFonts w:hint="eastAsia" w:ascii="Times New Roman" w:hAnsi="Times New Roman" w:eastAsia="仿宋_GB2312" w:cs="Times New Roman"/>
          <w:color w:val="auto"/>
          <w:sz w:val="32"/>
          <w:szCs w:val="32"/>
          <w:highlight w:val="none"/>
          <w:lang w:eastAsia="zh-CN"/>
        </w:rPr>
        <w:t>杜绝</w:t>
      </w:r>
      <w:r>
        <w:rPr>
          <w:rFonts w:hint="default" w:ascii="Times New Roman" w:hAnsi="Times New Roman" w:eastAsia="仿宋_GB2312" w:cs="Times New Roman"/>
          <w:color w:val="auto"/>
          <w:sz w:val="32"/>
          <w:szCs w:val="3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1C3AAD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存在的问题及原因分析</w:t>
      </w:r>
    </w:p>
    <w:p w14:paraId="154F161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D6404F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581C58E1">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rPr>
        <w:t>有关建议</w:t>
      </w:r>
    </w:p>
    <w:p w14:paraId="15B97226">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07A0F37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008ACD1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2267E6E">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65603DC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637D0FF">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42E32DF4">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14:paraId="1C201149">
      <w:pPr>
        <w:pStyle w:val="13"/>
        <w:spacing w:after="0" w:line="560" w:lineRule="exact"/>
        <w:ind w:left="0" w:leftChars="0" w:firstLine="0" w:firstLineChars="0"/>
        <w:rPr>
          <w:rFonts w:hint="eastAsia" w:ascii="Times New Roman" w:hAnsi="Times New Roman" w:eastAsia="仿宋_GB2312" w:cs="Times New Roman"/>
          <w:color w:val="auto"/>
          <w:sz w:val="32"/>
          <w:szCs w:val="32"/>
          <w:highlight w:val="none"/>
          <w:lang w:eastAsia="zh-CN"/>
        </w:rPr>
      </w:pPr>
    </w:p>
    <w:p w14:paraId="7E1FA2ED">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14:paraId="3317BB36">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02D47C6">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213FACE9">
      <w:pPr>
        <w:pStyle w:val="19"/>
        <w:ind w:firstLine="562"/>
        <w:jc w:val="center"/>
        <w:rPr>
          <w:rFonts w:hint="eastAsia" w:ascii="仿宋_GB2312" w:hAnsi="仿宋_GB2312" w:eastAsia="仿宋_GB2312" w:cs="仿宋_GB2312"/>
          <w:color w:val="auto"/>
          <w:sz w:val="28"/>
          <w:szCs w:val="40"/>
          <w:highlight w:val="none"/>
        </w:rPr>
      </w:pPr>
      <w:bookmarkStart w:id="1" w:name="_Toc26499_WPSOffice_Level2"/>
      <w:bookmarkStart w:id="2" w:name="_Toc30064_WPSOffice_Level1"/>
      <w:r>
        <w:rPr>
          <w:rFonts w:hint="eastAsia" w:ascii="仿宋_GB2312" w:hAnsi="仿宋_GB2312" w:eastAsia="仿宋_GB2312" w:cs="仿宋_GB2312"/>
          <w:b/>
          <w:bCs/>
          <w:color w:val="auto"/>
          <w:sz w:val="28"/>
          <w:szCs w:val="40"/>
          <w:highlight w:val="none"/>
          <w:lang w:val="en-US" w:eastAsia="zh-CN"/>
        </w:rPr>
        <w:t>2024年城乡义务教育补助经费预算[中央直达资金]-校舍安全</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505A84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17D244D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14:paraId="2CC18C4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14:paraId="2650227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5" w:type="dxa"/>
            <w:shd w:val="clear" w:color="auto" w:fill="FFFFFF"/>
            <w:vAlign w:val="center"/>
          </w:tcPr>
          <w:p w14:paraId="19E2C0D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14:paraId="660CCD5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4" w:type="dxa"/>
            <w:gridSpan w:val="2"/>
            <w:shd w:val="clear" w:color="auto" w:fill="FFFFFF"/>
            <w:vAlign w:val="center"/>
          </w:tcPr>
          <w:p w14:paraId="2584B7D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5" w:type="dxa"/>
            <w:shd w:val="clear" w:color="auto" w:fill="FFFFFF"/>
            <w:vAlign w:val="center"/>
          </w:tcPr>
          <w:p w14:paraId="22CD6F8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333A7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5BA975D1">
            <w:pPr>
              <w:widowControl/>
              <w:spacing w:line="0" w:lineRule="atLeast"/>
              <w:jc w:val="center"/>
              <w:rPr>
                <w:rFonts w:hint="default" w:ascii="Times New Roman" w:hAnsi="Times New Roman" w:eastAsia="仿宋_GB2312" w:cs="Times New Roman"/>
                <w:color w:val="auto"/>
                <w:kern w:val="0"/>
                <w:sz w:val="18"/>
                <w:szCs w:val="18"/>
                <w:highlight w:val="none"/>
              </w:rPr>
            </w:pPr>
          </w:p>
          <w:p w14:paraId="3080E904">
            <w:pPr>
              <w:widowControl/>
              <w:spacing w:line="0" w:lineRule="atLeast"/>
              <w:jc w:val="center"/>
              <w:rPr>
                <w:rFonts w:hint="default" w:ascii="Times New Roman" w:hAnsi="Times New Roman" w:eastAsia="仿宋_GB2312" w:cs="Times New Roman"/>
                <w:color w:val="auto"/>
                <w:kern w:val="0"/>
                <w:sz w:val="18"/>
                <w:szCs w:val="18"/>
                <w:highlight w:val="none"/>
              </w:rPr>
            </w:pPr>
          </w:p>
          <w:p w14:paraId="5CB90ADD">
            <w:pPr>
              <w:widowControl/>
              <w:spacing w:line="0" w:lineRule="atLeast"/>
              <w:jc w:val="center"/>
              <w:rPr>
                <w:rFonts w:hint="default" w:ascii="Times New Roman" w:hAnsi="Times New Roman" w:eastAsia="仿宋_GB2312" w:cs="Times New Roman"/>
                <w:color w:val="auto"/>
                <w:kern w:val="0"/>
                <w:sz w:val="18"/>
                <w:szCs w:val="18"/>
                <w:highlight w:val="none"/>
              </w:rPr>
            </w:pPr>
          </w:p>
          <w:p w14:paraId="00FFCE97">
            <w:pPr>
              <w:widowControl/>
              <w:spacing w:line="0" w:lineRule="atLeast"/>
              <w:jc w:val="center"/>
              <w:rPr>
                <w:rFonts w:hint="default" w:ascii="Times New Roman" w:hAnsi="Times New Roman" w:eastAsia="仿宋_GB2312" w:cs="Times New Roman"/>
                <w:color w:val="auto"/>
                <w:kern w:val="0"/>
                <w:sz w:val="18"/>
                <w:szCs w:val="18"/>
                <w:highlight w:val="none"/>
              </w:rPr>
            </w:pPr>
          </w:p>
          <w:p w14:paraId="60186753">
            <w:pPr>
              <w:widowControl/>
              <w:spacing w:line="0" w:lineRule="atLeast"/>
              <w:jc w:val="center"/>
              <w:rPr>
                <w:rFonts w:hint="default" w:ascii="Times New Roman" w:hAnsi="Times New Roman" w:eastAsia="仿宋_GB2312" w:cs="Times New Roman"/>
                <w:color w:val="auto"/>
                <w:kern w:val="0"/>
                <w:sz w:val="18"/>
                <w:szCs w:val="18"/>
                <w:highlight w:val="none"/>
              </w:rPr>
            </w:pPr>
          </w:p>
          <w:p w14:paraId="7838C9CF">
            <w:pPr>
              <w:widowControl/>
              <w:spacing w:line="0" w:lineRule="atLeast"/>
              <w:jc w:val="center"/>
              <w:rPr>
                <w:rFonts w:hint="default" w:ascii="Times New Roman" w:hAnsi="Times New Roman" w:eastAsia="仿宋_GB2312" w:cs="Times New Roman"/>
                <w:color w:val="auto"/>
                <w:kern w:val="0"/>
                <w:sz w:val="18"/>
                <w:szCs w:val="18"/>
                <w:highlight w:val="none"/>
              </w:rPr>
            </w:pPr>
          </w:p>
          <w:p w14:paraId="4595CEC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14:paraId="5E2B289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14:paraId="67061CF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4E2C169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5" w:type="dxa"/>
            <w:shd w:val="clear" w:color="auto" w:fill="FFFFFF"/>
            <w:vAlign w:val="center"/>
          </w:tcPr>
          <w:p w14:paraId="0DF058C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152F8D7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4" w:type="dxa"/>
            <w:gridSpan w:val="2"/>
            <w:shd w:val="clear" w:color="auto" w:fill="FFFFFF"/>
            <w:vAlign w:val="center"/>
          </w:tcPr>
          <w:p w14:paraId="292FB47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0B8526E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0BC3DA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E2A95C9">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3D6DAED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0A7E1B5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78A9485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5" w:type="dxa"/>
            <w:shd w:val="clear" w:color="auto" w:fill="FFFFFF"/>
            <w:vAlign w:val="center"/>
          </w:tcPr>
          <w:p w14:paraId="0AB9EE1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14:paraId="310B8B78">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653E01C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14:paraId="0DAA16B0">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DED91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B60881F">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3E1E288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14:paraId="3EF35AB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6ADF062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000000" w:fill="FFFFFF"/>
            <w:vAlign w:val="center"/>
          </w:tcPr>
          <w:p w14:paraId="735D85B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6912DD6C">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12293BB0">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4" w:type="dxa"/>
            <w:gridSpan w:val="2"/>
            <w:shd w:val="clear" w:color="000000" w:fill="FFFFFF"/>
            <w:vAlign w:val="center"/>
          </w:tcPr>
          <w:p w14:paraId="4A9D016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1D8F49D2">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5B70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414B4FF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3840505C">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4F23A44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4C682CA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5" w:type="dxa"/>
            <w:shd w:val="clear" w:color="000000" w:fill="FFFFFF"/>
            <w:vAlign w:val="center"/>
          </w:tcPr>
          <w:p w14:paraId="7F37135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684AE7C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4" w:type="dxa"/>
            <w:gridSpan w:val="2"/>
            <w:shd w:val="clear" w:color="000000" w:fill="FFFFFF"/>
            <w:vAlign w:val="center"/>
          </w:tcPr>
          <w:p w14:paraId="047EDFD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14:paraId="35100748">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566E0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83A1A84">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2EC83AB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235C03E8">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109383D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2760F35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5" w:type="dxa"/>
            <w:shd w:val="clear" w:color="auto" w:fill="FFFFFF"/>
            <w:vAlign w:val="center"/>
          </w:tcPr>
          <w:p w14:paraId="476E214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6667A0D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4" w:type="dxa"/>
            <w:gridSpan w:val="2"/>
            <w:shd w:val="clear" w:color="auto" w:fill="FFFFFF"/>
            <w:vAlign w:val="center"/>
          </w:tcPr>
          <w:p w14:paraId="529CAC1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210F513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E0D0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9F9446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007D19B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489FFA0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02889C9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auto" w:fill="FFFFFF"/>
            <w:vAlign w:val="center"/>
          </w:tcPr>
          <w:p w14:paraId="62815F7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01674E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4" w:type="dxa"/>
            <w:gridSpan w:val="2"/>
            <w:shd w:val="clear" w:color="auto" w:fill="FFFFFF"/>
            <w:vAlign w:val="center"/>
          </w:tcPr>
          <w:p w14:paraId="7EF0709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769F750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F8F7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EBF5958">
            <w:pPr>
              <w:spacing w:line="0" w:lineRule="atLeast"/>
              <w:jc w:val="center"/>
              <w:rPr>
                <w:rFonts w:hint="default" w:ascii="Times New Roman" w:hAnsi="Times New Roman" w:eastAsia="仿宋_GB2312" w:cs="Times New Roman"/>
                <w:color w:val="auto"/>
                <w:kern w:val="0"/>
                <w:sz w:val="18"/>
                <w:szCs w:val="18"/>
                <w:highlight w:val="none"/>
              </w:rPr>
            </w:pPr>
          </w:p>
          <w:p w14:paraId="52C0D1C9">
            <w:pPr>
              <w:spacing w:line="0" w:lineRule="atLeast"/>
              <w:jc w:val="center"/>
              <w:rPr>
                <w:rFonts w:hint="default" w:ascii="Times New Roman" w:hAnsi="Times New Roman" w:eastAsia="仿宋_GB2312" w:cs="Times New Roman"/>
                <w:color w:val="auto"/>
                <w:kern w:val="0"/>
                <w:sz w:val="18"/>
                <w:szCs w:val="18"/>
                <w:highlight w:val="none"/>
              </w:rPr>
            </w:pPr>
          </w:p>
          <w:p w14:paraId="51652315">
            <w:pPr>
              <w:spacing w:line="0" w:lineRule="atLeast"/>
              <w:jc w:val="center"/>
              <w:rPr>
                <w:rFonts w:hint="default" w:ascii="Times New Roman" w:hAnsi="Times New Roman" w:eastAsia="仿宋_GB2312" w:cs="Times New Roman"/>
                <w:color w:val="auto"/>
                <w:kern w:val="0"/>
                <w:sz w:val="18"/>
                <w:szCs w:val="18"/>
                <w:highlight w:val="none"/>
              </w:rPr>
            </w:pPr>
          </w:p>
          <w:p w14:paraId="2937AEAD">
            <w:pPr>
              <w:spacing w:line="0" w:lineRule="atLeast"/>
              <w:jc w:val="center"/>
              <w:rPr>
                <w:rFonts w:hint="default" w:ascii="Times New Roman" w:hAnsi="Times New Roman" w:eastAsia="仿宋_GB2312" w:cs="Times New Roman"/>
                <w:color w:val="auto"/>
                <w:kern w:val="0"/>
                <w:sz w:val="18"/>
                <w:szCs w:val="18"/>
                <w:highlight w:val="none"/>
              </w:rPr>
            </w:pPr>
          </w:p>
          <w:p w14:paraId="6070A244">
            <w:pPr>
              <w:spacing w:line="0" w:lineRule="atLeast"/>
              <w:jc w:val="center"/>
              <w:rPr>
                <w:rFonts w:hint="default" w:ascii="Times New Roman" w:hAnsi="Times New Roman" w:eastAsia="仿宋_GB2312" w:cs="Times New Roman"/>
                <w:color w:val="auto"/>
                <w:kern w:val="0"/>
                <w:sz w:val="18"/>
                <w:szCs w:val="18"/>
                <w:highlight w:val="none"/>
              </w:rPr>
            </w:pPr>
          </w:p>
          <w:p w14:paraId="6BD1A7EE">
            <w:pPr>
              <w:spacing w:line="0" w:lineRule="atLeast"/>
              <w:jc w:val="center"/>
              <w:rPr>
                <w:rFonts w:hint="default" w:ascii="Times New Roman" w:hAnsi="Times New Roman" w:eastAsia="仿宋_GB2312" w:cs="Times New Roman"/>
                <w:color w:val="auto"/>
                <w:kern w:val="0"/>
                <w:sz w:val="18"/>
                <w:szCs w:val="18"/>
                <w:highlight w:val="none"/>
              </w:rPr>
            </w:pPr>
          </w:p>
          <w:p w14:paraId="72CD0FA8">
            <w:pPr>
              <w:spacing w:line="0" w:lineRule="atLeast"/>
              <w:jc w:val="center"/>
              <w:rPr>
                <w:rFonts w:hint="default" w:ascii="Times New Roman" w:hAnsi="Times New Roman" w:eastAsia="仿宋_GB2312" w:cs="Times New Roman"/>
                <w:color w:val="auto"/>
                <w:kern w:val="0"/>
                <w:sz w:val="18"/>
                <w:szCs w:val="18"/>
                <w:highlight w:val="none"/>
              </w:rPr>
            </w:pPr>
          </w:p>
          <w:p w14:paraId="4844F1D5">
            <w:pPr>
              <w:spacing w:line="0" w:lineRule="atLeast"/>
              <w:jc w:val="center"/>
              <w:rPr>
                <w:rFonts w:hint="default" w:ascii="Times New Roman" w:hAnsi="Times New Roman" w:eastAsia="仿宋_GB2312" w:cs="Times New Roman"/>
                <w:color w:val="auto"/>
                <w:kern w:val="0"/>
                <w:sz w:val="18"/>
                <w:szCs w:val="18"/>
                <w:highlight w:val="none"/>
              </w:rPr>
            </w:pPr>
          </w:p>
          <w:p w14:paraId="0EF7CC0C">
            <w:pPr>
              <w:spacing w:line="0" w:lineRule="atLeast"/>
              <w:jc w:val="center"/>
              <w:rPr>
                <w:rFonts w:hint="default" w:ascii="Times New Roman" w:hAnsi="Times New Roman" w:eastAsia="仿宋_GB2312" w:cs="Times New Roman"/>
                <w:color w:val="auto"/>
                <w:kern w:val="0"/>
                <w:sz w:val="18"/>
                <w:szCs w:val="18"/>
                <w:highlight w:val="none"/>
              </w:rPr>
            </w:pPr>
          </w:p>
          <w:p w14:paraId="35BBCB91">
            <w:pPr>
              <w:spacing w:line="0" w:lineRule="atLeast"/>
              <w:jc w:val="center"/>
              <w:rPr>
                <w:rFonts w:hint="default" w:ascii="Times New Roman" w:hAnsi="Times New Roman" w:eastAsia="仿宋_GB2312" w:cs="Times New Roman"/>
                <w:color w:val="auto"/>
                <w:kern w:val="0"/>
                <w:sz w:val="18"/>
                <w:szCs w:val="18"/>
                <w:highlight w:val="none"/>
              </w:rPr>
            </w:pPr>
          </w:p>
          <w:p w14:paraId="3C070A6E">
            <w:pPr>
              <w:spacing w:line="0" w:lineRule="atLeast"/>
              <w:jc w:val="center"/>
              <w:rPr>
                <w:rFonts w:hint="default" w:ascii="Times New Roman" w:hAnsi="Times New Roman" w:eastAsia="仿宋_GB2312" w:cs="Times New Roman"/>
                <w:color w:val="auto"/>
                <w:kern w:val="0"/>
                <w:sz w:val="18"/>
                <w:szCs w:val="18"/>
                <w:highlight w:val="none"/>
              </w:rPr>
            </w:pPr>
          </w:p>
          <w:p w14:paraId="6ABA05F0">
            <w:pPr>
              <w:spacing w:line="0" w:lineRule="atLeast"/>
              <w:jc w:val="center"/>
              <w:rPr>
                <w:rFonts w:hint="default" w:ascii="Times New Roman" w:hAnsi="Times New Roman" w:eastAsia="仿宋_GB2312" w:cs="Times New Roman"/>
                <w:color w:val="auto"/>
                <w:kern w:val="0"/>
                <w:sz w:val="18"/>
                <w:szCs w:val="18"/>
                <w:highlight w:val="none"/>
              </w:rPr>
            </w:pPr>
          </w:p>
          <w:p w14:paraId="620E71EC">
            <w:pPr>
              <w:spacing w:line="0" w:lineRule="atLeast"/>
              <w:jc w:val="center"/>
              <w:rPr>
                <w:rFonts w:hint="default" w:ascii="Times New Roman" w:hAnsi="Times New Roman" w:eastAsia="仿宋_GB2312" w:cs="Times New Roman"/>
                <w:color w:val="auto"/>
                <w:kern w:val="0"/>
                <w:sz w:val="18"/>
                <w:szCs w:val="18"/>
                <w:highlight w:val="none"/>
              </w:rPr>
            </w:pPr>
          </w:p>
          <w:p w14:paraId="34D6717F">
            <w:pPr>
              <w:spacing w:line="0" w:lineRule="atLeast"/>
              <w:jc w:val="center"/>
              <w:rPr>
                <w:rFonts w:hint="default" w:ascii="Times New Roman" w:hAnsi="Times New Roman" w:eastAsia="仿宋_GB2312" w:cs="Times New Roman"/>
                <w:color w:val="auto"/>
                <w:kern w:val="0"/>
                <w:sz w:val="18"/>
                <w:szCs w:val="18"/>
                <w:highlight w:val="none"/>
              </w:rPr>
            </w:pPr>
          </w:p>
          <w:p w14:paraId="7A93E00A">
            <w:pPr>
              <w:spacing w:line="0" w:lineRule="atLeast"/>
              <w:jc w:val="center"/>
              <w:rPr>
                <w:rFonts w:hint="default" w:ascii="Times New Roman" w:hAnsi="Times New Roman" w:eastAsia="仿宋_GB2312" w:cs="Times New Roman"/>
                <w:color w:val="auto"/>
                <w:kern w:val="0"/>
                <w:sz w:val="18"/>
                <w:szCs w:val="18"/>
                <w:highlight w:val="none"/>
              </w:rPr>
            </w:pPr>
          </w:p>
          <w:p w14:paraId="43B9FAA7">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119C313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14:paraId="6B9CDC3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080292A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5" w:type="dxa"/>
            <w:shd w:val="clear" w:color="000000" w:fill="FFFFFF"/>
            <w:vAlign w:val="center"/>
          </w:tcPr>
          <w:p w14:paraId="74C9A4E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5949922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0D9955A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0C57115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52938E8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0E4955E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51DC48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13551E51">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2B96E4DE">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2F26D27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5" w:type="dxa"/>
            <w:shd w:val="clear" w:color="auto" w:fill="FFFFFF"/>
            <w:vAlign w:val="center"/>
          </w:tcPr>
          <w:p w14:paraId="63C4342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14:paraId="0BB4F8D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7ACD2C6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14:paraId="53C6F09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D3ED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03FF07F">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179C49C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14:paraId="18726A1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69189AF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5" w:type="dxa"/>
            <w:shd w:val="clear" w:color="000000" w:fill="FFFFFF"/>
            <w:vAlign w:val="center"/>
          </w:tcPr>
          <w:p w14:paraId="4A6BC19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3D57FB7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4" w:type="dxa"/>
            <w:gridSpan w:val="2"/>
            <w:shd w:val="clear" w:color="000000" w:fill="FFFFFF"/>
            <w:vAlign w:val="center"/>
          </w:tcPr>
          <w:p w14:paraId="7D528EE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02ED3EE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EAF0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486C3A9E">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14:paraId="6829611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1D359333">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14:paraId="794E55A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01E29F8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5" w:type="dxa"/>
            <w:shd w:val="clear" w:color="000000" w:fill="FFFFFF"/>
            <w:vAlign w:val="center"/>
          </w:tcPr>
          <w:p w14:paraId="11594B6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7A538C8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4" w:type="dxa"/>
            <w:gridSpan w:val="2"/>
            <w:shd w:val="clear" w:color="000000" w:fill="FFFFFF"/>
            <w:vAlign w:val="center"/>
          </w:tcPr>
          <w:p w14:paraId="0E0A3D0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2954E271">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26E7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4D48E2F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1135EE9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53984A8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65FA4DD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5" w:type="dxa"/>
            <w:shd w:val="clear" w:color="000000" w:fill="FFFFFF"/>
            <w:vAlign w:val="center"/>
          </w:tcPr>
          <w:p w14:paraId="58AD5DB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2C1B972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4" w:type="dxa"/>
            <w:gridSpan w:val="2"/>
            <w:shd w:val="clear" w:color="000000" w:fill="FFFFFF"/>
            <w:vAlign w:val="center"/>
          </w:tcPr>
          <w:p w14:paraId="14D6D5F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14:paraId="540F5D5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01FF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645EC7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14:paraId="7B38609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14:paraId="709EC5C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5" w:type="dxa"/>
            <w:shd w:val="clear" w:color="000000" w:fill="FFFFFF"/>
            <w:vAlign w:val="center"/>
          </w:tcPr>
          <w:p w14:paraId="3D586B2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3AE3FCB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6BE8FFF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50524E0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3F71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0DC5D657">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2561B59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14:paraId="1B1234B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5" w:type="dxa"/>
            <w:shd w:val="clear" w:color="000000" w:fill="FFFFFF"/>
            <w:vAlign w:val="center"/>
          </w:tcPr>
          <w:p w14:paraId="281E2C4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27E7721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3F9D3EB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511A7EC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0845827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7659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76E94A6A">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64832A46">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14:paraId="58DCDC3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5" w:type="dxa"/>
            <w:shd w:val="clear" w:color="000000" w:fill="FFFFFF"/>
            <w:vAlign w:val="center"/>
          </w:tcPr>
          <w:p w14:paraId="201FEE8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6DD966E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44DBD9A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4602B33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143E6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5C61738">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14:paraId="7B82829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14:paraId="043B708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5" w:type="dxa"/>
            <w:shd w:val="clear" w:color="000000" w:fill="FFFFFF"/>
            <w:vAlign w:val="center"/>
          </w:tcPr>
          <w:p w14:paraId="2EFA175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0B4D600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280E207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3AC4544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46655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4AABC76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14:paraId="6B04AEA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14:paraId="5204D2C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5" w:type="dxa"/>
            <w:shd w:val="clear" w:color="auto" w:fill="FFFFFF"/>
            <w:vAlign w:val="center"/>
          </w:tcPr>
          <w:p w14:paraId="5F5B231D">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14:paraId="18BC08C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54FB4F9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auto" w:fill="FFFFFF"/>
            <w:vAlign w:val="center"/>
          </w:tcPr>
          <w:p w14:paraId="72B6FAB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5D1B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658C8113">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14:paraId="75C16C5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14:paraId="2EABE67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14:paraId="2F7EC88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14:paraId="0DFA04B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7AFA410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14:paraId="50482B43">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7926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02E78264">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14:paraId="34E3CD4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14:paraId="049D931B">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14:paraId="348D2A3E">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14:paraId="0B47584E">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4"/>
        <w:tblW w:w="137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06"/>
        <w:gridCol w:w="630"/>
        <w:gridCol w:w="1500"/>
        <w:gridCol w:w="1336"/>
        <w:gridCol w:w="870"/>
        <w:gridCol w:w="780"/>
        <w:gridCol w:w="886"/>
        <w:gridCol w:w="616"/>
        <w:gridCol w:w="706"/>
        <w:gridCol w:w="1080"/>
      </w:tblGrid>
      <w:tr w14:paraId="7AAEA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30" w:type="dxa"/>
            <w:gridSpan w:val="14"/>
            <w:tcBorders>
              <w:top w:val="nil"/>
              <w:left w:val="nil"/>
              <w:bottom w:val="nil"/>
              <w:right w:val="nil"/>
            </w:tcBorders>
            <w:shd w:val="clear" w:color="auto" w:fill="auto"/>
            <w:vAlign w:val="center"/>
          </w:tcPr>
          <w:p w14:paraId="5472CB3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B1E7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730" w:type="dxa"/>
            <w:gridSpan w:val="14"/>
            <w:tcBorders>
              <w:top w:val="nil"/>
              <w:left w:val="nil"/>
              <w:bottom w:val="nil"/>
              <w:right w:val="nil"/>
            </w:tcBorders>
            <w:shd w:val="clear" w:color="auto" w:fill="auto"/>
            <w:vAlign w:val="center"/>
          </w:tcPr>
          <w:p w14:paraId="2D848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08784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94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7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9151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昌州财教[2023]90号关于提前下达2024年城乡义务教育补助经费预算[中央直达资金]的通知-小学公用经费</w:t>
            </w:r>
          </w:p>
        </w:tc>
      </w:tr>
      <w:tr w14:paraId="13677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45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9DD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奇台县第六小学</w:t>
            </w: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D8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7B9B8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奇台县第六小学</w:t>
            </w:r>
          </w:p>
        </w:tc>
      </w:tr>
      <w:tr w14:paraId="7E39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9E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A6852">
            <w:pPr>
              <w:jc w:val="center"/>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95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19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F9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B3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A1DC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0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145ED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01475">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B8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1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97.63</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83D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97.63</w:t>
            </w: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5AE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97.63</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8D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BB0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A3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6718F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729E2">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408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1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97.63</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E93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97.63</w:t>
            </w: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82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97.63</w:t>
            </w: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426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1C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C2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5095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7F4CE">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D6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A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B5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977875">
            <w:pPr>
              <w:jc w:val="center"/>
              <w:rPr>
                <w:rFonts w:hint="eastAsia" w:ascii="宋体" w:hAnsi="宋体" w:eastAsia="宋体" w:cs="宋体"/>
                <w:i w:val="0"/>
                <w:iCs w:val="0"/>
                <w:color w:val="000000"/>
                <w:sz w:val="20"/>
                <w:szCs w:val="20"/>
                <w:u w:val="none"/>
              </w:rPr>
            </w:pP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E9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6B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9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D19A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B0FF3">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42B7A">
            <w:pPr>
              <w:jc w:val="center"/>
              <w:rPr>
                <w:rFonts w:hint="eastAsia" w:ascii="宋体" w:hAnsi="宋体" w:eastAsia="宋体" w:cs="宋体"/>
                <w:i w:val="0"/>
                <w:iCs w:val="0"/>
                <w:color w:val="000000"/>
                <w:sz w:val="20"/>
                <w:szCs w:val="20"/>
                <w:u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FC19">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04A81">
            <w:pPr>
              <w:jc w:val="center"/>
              <w:rPr>
                <w:rFonts w:hint="eastAsia" w:ascii="宋体" w:hAnsi="宋体" w:eastAsia="宋体" w:cs="宋体"/>
                <w:i w:val="0"/>
                <w:iCs w:val="0"/>
                <w:color w:val="000000"/>
                <w:sz w:val="20"/>
                <w:szCs w:val="20"/>
                <w:u w:val="none"/>
              </w:rPr>
            </w:pPr>
          </w:p>
        </w:tc>
        <w:tc>
          <w:tcPr>
            <w:tcW w:w="2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D98BE7">
            <w:pPr>
              <w:jc w:val="center"/>
              <w:rPr>
                <w:rFonts w:hint="eastAsia" w:ascii="宋体" w:hAnsi="宋体" w:eastAsia="宋体" w:cs="宋体"/>
                <w:i w:val="0"/>
                <w:iCs w:val="0"/>
                <w:color w:val="000000"/>
                <w:sz w:val="20"/>
                <w:szCs w:val="20"/>
                <w:u w:val="none"/>
              </w:rPr>
            </w:pPr>
          </w:p>
        </w:tc>
        <w:tc>
          <w:tcPr>
            <w:tcW w:w="1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91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96D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AD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51A1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57A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2FB5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050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0A84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B3EC7">
            <w:pPr>
              <w:jc w:val="center"/>
              <w:rPr>
                <w:rFonts w:hint="eastAsia" w:ascii="宋体" w:hAnsi="宋体" w:eastAsia="宋体" w:cs="宋体"/>
                <w:i w:val="0"/>
                <w:iCs w:val="0"/>
                <w:color w:val="000000"/>
                <w:sz w:val="20"/>
                <w:szCs w:val="20"/>
                <w:u w:val="none"/>
              </w:rPr>
            </w:pPr>
          </w:p>
        </w:tc>
        <w:tc>
          <w:tcPr>
            <w:tcW w:w="6376"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6C37D34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本项目拟投入97.6265万元用于2024年义务教育保障机制经费，其中，学生人数1063人，随班就读残疾学生6人，小学公用经费标准小学公用经费标准720元/生/年，家长满意度、学生满意度、教师满意度大于等于95%。</w:t>
            </w:r>
          </w:p>
        </w:tc>
        <w:tc>
          <w:tcPr>
            <w:tcW w:w="6274"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7C64105E">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止2024年12月31日，该项目实际投入97.63万元用于2024年义务教育保障机制经费，其中，学生人数1063人，随班就读残疾学生6人，小学公用经费标准小学公用经费标准720元/生/年，家长、学生、教师满意。通过该项目的实施，提升了办学条件，促进了教育事业的发展。</w:t>
            </w:r>
          </w:p>
        </w:tc>
      </w:tr>
      <w:tr w14:paraId="477AA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FBA44">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AA5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3DA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58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06F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871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4C2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FD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8A4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21700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7F6A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16755">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45374">
            <w:pPr>
              <w:jc w:val="center"/>
              <w:rPr>
                <w:rFonts w:hint="eastAsia" w:ascii="宋体" w:hAnsi="宋体" w:eastAsia="宋体" w:cs="宋体"/>
                <w:i w:val="0"/>
                <w:iCs w:val="0"/>
                <w:color w:val="000000"/>
                <w:sz w:val="20"/>
                <w:szCs w:val="20"/>
                <w:u w:val="none"/>
              </w:rPr>
            </w:pPr>
          </w:p>
        </w:tc>
        <w:tc>
          <w:tcPr>
            <w:tcW w:w="27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A4B86">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7543F">
            <w:pPr>
              <w:jc w:val="center"/>
              <w:rPr>
                <w:rFonts w:hint="eastAsia" w:ascii="宋体" w:hAnsi="宋体" w:eastAsia="宋体" w:cs="宋体"/>
                <w:i w:val="0"/>
                <w:iCs w:val="0"/>
                <w:color w:val="000000"/>
                <w:sz w:val="20"/>
                <w:szCs w:val="20"/>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B9844">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A6612">
            <w:pPr>
              <w:jc w:val="center"/>
              <w:rPr>
                <w:rFonts w:hint="eastAsia" w:ascii="宋体" w:hAnsi="宋体" w:eastAsia="宋体" w:cs="宋体"/>
                <w:i w:val="0"/>
                <w:iCs w:val="0"/>
                <w:color w:val="000000"/>
                <w:sz w:val="20"/>
                <w:szCs w:val="20"/>
                <w:u w:val="none"/>
              </w:rPr>
            </w:pPr>
          </w:p>
        </w:tc>
        <w:tc>
          <w:tcPr>
            <w:tcW w:w="15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6D485">
            <w:pPr>
              <w:jc w:val="center"/>
              <w:rPr>
                <w:rFonts w:hint="eastAsia" w:ascii="宋体" w:hAnsi="宋体" w:eastAsia="宋体" w:cs="宋体"/>
                <w:i w:val="0"/>
                <w:iCs w:val="0"/>
                <w:color w:val="000000"/>
                <w:sz w:val="20"/>
                <w:szCs w:val="20"/>
                <w:u w:val="none"/>
              </w:rPr>
            </w:pPr>
          </w:p>
        </w:tc>
        <w:tc>
          <w:tcPr>
            <w:tcW w:w="17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70B24">
            <w:pPr>
              <w:jc w:val="center"/>
              <w:rPr>
                <w:rFonts w:hint="eastAsia" w:ascii="宋体" w:hAnsi="宋体" w:eastAsia="宋体" w:cs="宋体"/>
                <w:i w:val="0"/>
                <w:iCs w:val="0"/>
                <w:color w:val="000000"/>
                <w:sz w:val="20"/>
                <w:szCs w:val="20"/>
                <w:u w:val="none"/>
              </w:rPr>
            </w:pPr>
          </w:p>
        </w:tc>
      </w:tr>
      <w:tr w14:paraId="6C013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A0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50D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883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060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公用经费享受学生数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F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=1063人</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9D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=1063人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49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2B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7B2E5">
            <w:pPr>
              <w:jc w:val="center"/>
              <w:rPr>
                <w:rFonts w:hint="eastAsia" w:ascii="宋体" w:hAnsi="宋体" w:eastAsia="宋体" w:cs="宋体"/>
                <w:i w:val="0"/>
                <w:iCs w:val="0"/>
                <w:color w:val="000000"/>
                <w:sz w:val="20"/>
                <w:szCs w:val="20"/>
                <w:u w:val="none"/>
              </w:rPr>
            </w:pPr>
          </w:p>
        </w:tc>
      </w:tr>
      <w:tr w14:paraId="59AD8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4BDD6">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DC91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DD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085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维修次数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F5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=5次</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D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=5次</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07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E1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0A50F">
            <w:pPr>
              <w:jc w:val="center"/>
              <w:rPr>
                <w:rFonts w:hint="eastAsia" w:ascii="宋体" w:hAnsi="宋体" w:eastAsia="宋体" w:cs="宋体"/>
                <w:i w:val="0"/>
                <w:iCs w:val="0"/>
                <w:color w:val="000000"/>
                <w:sz w:val="20"/>
                <w:szCs w:val="20"/>
                <w:u w:val="none"/>
              </w:rPr>
            </w:pPr>
          </w:p>
        </w:tc>
      </w:tr>
      <w:tr w14:paraId="0C1EF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C7301">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EAD3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2F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D4F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8A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0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15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558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1C948">
            <w:pPr>
              <w:jc w:val="center"/>
              <w:rPr>
                <w:rFonts w:hint="eastAsia" w:ascii="宋体" w:hAnsi="宋体" w:eastAsia="宋体" w:cs="宋体"/>
                <w:i w:val="0"/>
                <w:iCs w:val="0"/>
                <w:color w:val="000000"/>
                <w:sz w:val="20"/>
                <w:szCs w:val="20"/>
                <w:u w:val="none"/>
              </w:rPr>
            </w:pPr>
          </w:p>
        </w:tc>
      </w:tr>
      <w:tr w14:paraId="3F371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308C9">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4BC0D">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F5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1A2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维修完成及时率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CD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9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0C09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72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146242">
            <w:pPr>
              <w:jc w:val="center"/>
              <w:rPr>
                <w:rFonts w:hint="eastAsia" w:ascii="宋体" w:hAnsi="宋体" w:eastAsia="宋体" w:cs="宋体"/>
                <w:i w:val="0"/>
                <w:iCs w:val="0"/>
                <w:color w:val="000000"/>
                <w:sz w:val="20"/>
                <w:szCs w:val="20"/>
                <w:u w:val="none"/>
              </w:rPr>
            </w:pPr>
          </w:p>
        </w:tc>
      </w:tr>
      <w:tr w14:paraId="5128E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A46E8">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24B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A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83B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F9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CB7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51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C9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304EEF">
            <w:pPr>
              <w:jc w:val="center"/>
              <w:rPr>
                <w:rFonts w:hint="eastAsia" w:ascii="宋体" w:hAnsi="宋体" w:eastAsia="宋体" w:cs="宋体"/>
                <w:i w:val="0"/>
                <w:iCs w:val="0"/>
                <w:color w:val="000000"/>
                <w:sz w:val="20"/>
                <w:szCs w:val="20"/>
                <w:u w:val="none"/>
              </w:rPr>
            </w:pPr>
          </w:p>
        </w:tc>
      </w:tr>
      <w:tr w14:paraId="0552C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3670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584D5">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B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94584">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CC6E">
            <w:pPr>
              <w:jc w:val="center"/>
              <w:rPr>
                <w:rFonts w:hint="eastAsia" w:ascii="宋体" w:hAnsi="宋体" w:eastAsia="宋体" w:cs="宋体"/>
                <w:i w:val="0"/>
                <w:iCs w:val="0"/>
                <w:color w:val="000000"/>
                <w:sz w:val="20"/>
                <w:szCs w:val="20"/>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08530">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32FFA">
            <w:pPr>
              <w:jc w:val="center"/>
              <w:rPr>
                <w:rFonts w:hint="eastAsia" w:ascii="宋体" w:hAnsi="宋体" w:eastAsia="宋体" w:cs="宋体"/>
                <w:i w:val="0"/>
                <w:iCs w:val="0"/>
                <w:color w:val="000000"/>
                <w:sz w:val="20"/>
                <w:szCs w:val="20"/>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9F789">
            <w:pPr>
              <w:jc w:val="center"/>
              <w:rPr>
                <w:rFonts w:hint="eastAsia" w:ascii="宋体" w:hAnsi="宋体" w:eastAsia="宋体" w:cs="宋体"/>
                <w:i w:val="0"/>
                <w:iCs w:val="0"/>
                <w:color w:val="000000"/>
                <w:sz w:val="20"/>
                <w:szCs w:val="20"/>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20E92">
            <w:pPr>
              <w:jc w:val="center"/>
              <w:rPr>
                <w:rFonts w:hint="eastAsia" w:ascii="宋体" w:hAnsi="宋体" w:eastAsia="宋体" w:cs="宋体"/>
                <w:i w:val="0"/>
                <w:iCs w:val="0"/>
                <w:color w:val="000000"/>
                <w:sz w:val="20"/>
                <w:szCs w:val="20"/>
                <w:u w:val="none"/>
              </w:rPr>
            </w:pPr>
          </w:p>
        </w:tc>
      </w:tr>
      <w:tr w14:paraId="77C6D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7B03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2E6E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D3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F789">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004CE">
            <w:pPr>
              <w:jc w:val="center"/>
              <w:rPr>
                <w:rFonts w:hint="eastAsia" w:ascii="宋体" w:hAnsi="宋体" w:eastAsia="宋体" w:cs="宋体"/>
                <w:i w:val="0"/>
                <w:iCs w:val="0"/>
                <w:color w:val="000000"/>
                <w:sz w:val="20"/>
                <w:szCs w:val="20"/>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7DC25">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07DED2">
            <w:pPr>
              <w:jc w:val="center"/>
              <w:rPr>
                <w:rFonts w:hint="eastAsia" w:ascii="宋体" w:hAnsi="宋体" w:eastAsia="宋体" w:cs="宋体"/>
                <w:i w:val="0"/>
                <w:iCs w:val="0"/>
                <w:color w:val="000000"/>
                <w:sz w:val="20"/>
                <w:szCs w:val="20"/>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7C3C9">
            <w:pPr>
              <w:jc w:val="center"/>
              <w:rPr>
                <w:rFonts w:hint="eastAsia" w:ascii="宋体" w:hAnsi="宋体" w:eastAsia="宋体" w:cs="宋体"/>
                <w:i w:val="0"/>
                <w:iCs w:val="0"/>
                <w:color w:val="000000"/>
                <w:sz w:val="20"/>
                <w:szCs w:val="20"/>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F82BF">
            <w:pPr>
              <w:jc w:val="center"/>
              <w:rPr>
                <w:rFonts w:hint="eastAsia" w:ascii="宋体" w:hAnsi="宋体" w:eastAsia="宋体" w:cs="宋体"/>
                <w:i w:val="0"/>
                <w:iCs w:val="0"/>
                <w:color w:val="000000"/>
                <w:sz w:val="20"/>
                <w:szCs w:val="20"/>
                <w:u w:val="none"/>
              </w:rPr>
            </w:pPr>
          </w:p>
        </w:tc>
      </w:tr>
      <w:tr w14:paraId="774AC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C65FD">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280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1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0EAEB">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BDB9">
            <w:pPr>
              <w:jc w:val="center"/>
              <w:rPr>
                <w:rFonts w:hint="eastAsia" w:ascii="宋体" w:hAnsi="宋体" w:eastAsia="宋体" w:cs="宋体"/>
                <w:i w:val="0"/>
                <w:iCs w:val="0"/>
                <w:color w:val="000000"/>
                <w:sz w:val="20"/>
                <w:szCs w:val="20"/>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D5F6A">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14B09">
            <w:pPr>
              <w:jc w:val="center"/>
              <w:rPr>
                <w:rFonts w:hint="eastAsia" w:ascii="宋体" w:hAnsi="宋体" w:eastAsia="宋体" w:cs="宋体"/>
                <w:i w:val="0"/>
                <w:iCs w:val="0"/>
                <w:color w:val="000000"/>
                <w:sz w:val="20"/>
                <w:szCs w:val="20"/>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EC804">
            <w:pPr>
              <w:jc w:val="center"/>
              <w:rPr>
                <w:rFonts w:hint="eastAsia" w:ascii="宋体" w:hAnsi="宋体" w:eastAsia="宋体" w:cs="宋体"/>
                <w:i w:val="0"/>
                <w:iCs w:val="0"/>
                <w:color w:val="000000"/>
                <w:sz w:val="20"/>
                <w:szCs w:val="20"/>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67301">
            <w:pPr>
              <w:jc w:val="center"/>
              <w:rPr>
                <w:rFonts w:hint="eastAsia" w:ascii="宋体" w:hAnsi="宋体" w:eastAsia="宋体" w:cs="宋体"/>
                <w:i w:val="0"/>
                <w:iCs w:val="0"/>
                <w:color w:val="000000"/>
                <w:sz w:val="20"/>
                <w:szCs w:val="20"/>
                <w:u w:val="none"/>
              </w:rPr>
            </w:pPr>
          </w:p>
        </w:tc>
      </w:tr>
      <w:tr w14:paraId="39803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E559F">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260E4">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A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502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受益学生人数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7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=1063人</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22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=1063人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993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955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54269">
            <w:pPr>
              <w:jc w:val="center"/>
              <w:rPr>
                <w:rFonts w:hint="eastAsia" w:ascii="宋体" w:hAnsi="宋体" w:eastAsia="宋体" w:cs="宋体"/>
                <w:i w:val="0"/>
                <w:iCs w:val="0"/>
                <w:color w:val="000000"/>
                <w:sz w:val="20"/>
                <w:szCs w:val="20"/>
                <w:u w:val="none"/>
              </w:rPr>
            </w:pPr>
          </w:p>
        </w:tc>
      </w:tr>
      <w:tr w14:paraId="78112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7823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E0A7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0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FA17">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974D1">
            <w:pPr>
              <w:jc w:val="center"/>
              <w:rPr>
                <w:rFonts w:hint="eastAsia" w:ascii="宋体" w:hAnsi="宋体" w:eastAsia="宋体" w:cs="宋体"/>
                <w:i w:val="0"/>
                <w:iCs w:val="0"/>
                <w:color w:val="000000"/>
                <w:sz w:val="20"/>
                <w:szCs w:val="20"/>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38E6">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B59269">
            <w:pPr>
              <w:jc w:val="center"/>
              <w:rPr>
                <w:rFonts w:hint="eastAsia" w:ascii="宋体" w:hAnsi="宋体" w:eastAsia="宋体" w:cs="宋体"/>
                <w:i w:val="0"/>
                <w:iCs w:val="0"/>
                <w:color w:val="000000"/>
                <w:sz w:val="20"/>
                <w:szCs w:val="20"/>
                <w:u w:val="none"/>
              </w:rPr>
            </w:pP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623EE">
            <w:pPr>
              <w:jc w:val="center"/>
              <w:rPr>
                <w:rFonts w:hint="eastAsia" w:ascii="宋体" w:hAnsi="宋体" w:eastAsia="宋体" w:cs="宋体"/>
                <w:i w:val="0"/>
                <w:iCs w:val="0"/>
                <w:color w:val="000000"/>
                <w:sz w:val="20"/>
                <w:szCs w:val="20"/>
                <w:u w:val="none"/>
              </w:rPr>
            </w:pP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89117">
            <w:pPr>
              <w:jc w:val="center"/>
              <w:rPr>
                <w:rFonts w:hint="eastAsia" w:ascii="宋体" w:hAnsi="宋体" w:eastAsia="宋体" w:cs="宋体"/>
                <w:i w:val="0"/>
                <w:iCs w:val="0"/>
                <w:color w:val="000000"/>
                <w:sz w:val="20"/>
                <w:szCs w:val="20"/>
                <w:u w:val="none"/>
              </w:rPr>
            </w:pPr>
          </w:p>
        </w:tc>
      </w:tr>
      <w:tr w14:paraId="35C3A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B7983">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3CC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E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084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学生和老师满意度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F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0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368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D1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CC88B">
            <w:pPr>
              <w:jc w:val="center"/>
              <w:rPr>
                <w:rFonts w:hint="eastAsia" w:ascii="宋体" w:hAnsi="宋体" w:eastAsia="宋体" w:cs="宋体"/>
                <w:i w:val="0"/>
                <w:iCs w:val="0"/>
                <w:color w:val="000000"/>
                <w:sz w:val="20"/>
                <w:szCs w:val="20"/>
                <w:u w:val="none"/>
              </w:rPr>
            </w:pPr>
          </w:p>
        </w:tc>
      </w:tr>
      <w:tr w14:paraId="3256F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B528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0D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A0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17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4E192">
            <w:pPr>
              <w:jc w:val="center"/>
              <w:rPr>
                <w:rFonts w:hint="eastAsia" w:ascii="宋体" w:hAnsi="宋体" w:eastAsia="宋体" w:cs="宋体"/>
                <w:i w:val="0"/>
                <w:iCs w:val="0"/>
                <w:color w:val="000000"/>
                <w:sz w:val="20"/>
                <w:szCs w:val="20"/>
                <w:u w:val="none"/>
              </w:rPr>
            </w:pPr>
          </w:p>
        </w:tc>
      </w:tr>
    </w:tbl>
    <w:p w14:paraId="24E4EAD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p>
    <w:p w14:paraId="4312D2E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p>
    <w:p w14:paraId="0A3EAD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p>
    <w:p w14:paraId="7DEC69AA">
      <w:pPr>
        <w:rPr>
          <w:rFonts w:hint="default" w:ascii="Times New Roman" w:hAnsi="Times New Roman" w:cs="Times New Roman"/>
          <w:color w:val="auto"/>
          <w:highlight w:val="none"/>
        </w:rPr>
      </w:pPr>
    </w:p>
    <w:bookmarkEnd w:id="3"/>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2EBAEB7">
        <w:pPr>
          <w:pStyle w:val="8"/>
          <w:jc w:val="center"/>
        </w:pPr>
        <w:r>
          <w:fldChar w:fldCharType="begin"/>
        </w:r>
        <w:r>
          <w:instrText xml:space="preserve">PAGE   \* MERGEFORMAT</w:instrText>
        </w:r>
        <w:r>
          <w:fldChar w:fldCharType="separate"/>
        </w:r>
        <w:r>
          <w:rPr>
            <w:lang w:val="zh-CN"/>
          </w:rPr>
          <w:t>13</w:t>
        </w:r>
        <w:r>
          <w:fldChar w:fldCharType="end"/>
        </w:r>
      </w:p>
    </w:sdtContent>
  </w:sdt>
  <w:p w14:paraId="135F8D6B">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F758"/>
    <w:multiLevelType w:val="singleLevel"/>
    <w:tmpl w:val="813DF758"/>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B197937"/>
    <w:rsid w:val="0D082A6E"/>
    <w:rsid w:val="0E3C619F"/>
    <w:rsid w:val="0F6273CA"/>
    <w:rsid w:val="0F661726"/>
    <w:rsid w:val="100F38EC"/>
    <w:rsid w:val="11170296"/>
    <w:rsid w:val="12C66037"/>
    <w:rsid w:val="12CD1ABC"/>
    <w:rsid w:val="13471461"/>
    <w:rsid w:val="13B90F01"/>
    <w:rsid w:val="155E4C4D"/>
    <w:rsid w:val="181066D2"/>
    <w:rsid w:val="1A7E041F"/>
    <w:rsid w:val="1C671E73"/>
    <w:rsid w:val="1CDF5FC0"/>
    <w:rsid w:val="1D322C47"/>
    <w:rsid w:val="22290DFD"/>
    <w:rsid w:val="23517B9F"/>
    <w:rsid w:val="23616034"/>
    <w:rsid w:val="23696C97"/>
    <w:rsid w:val="24480FA2"/>
    <w:rsid w:val="25227A45"/>
    <w:rsid w:val="26AC3A6A"/>
    <w:rsid w:val="26BE1D6F"/>
    <w:rsid w:val="28A04CDB"/>
    <w:rsid w:val="297334B3"/>
    <w:rsid w:val="2B9D7E25"/>
    <w:rsid w:val="2C7C7A3B"/>
    <w:rsid w:val="2F364819"/>
    <w:rsid w:val="2FD63906"/>
    <w:rsid w:val="2FD85C6D"/>
    <w:rsid w:val="300F506A"/>
    <w:rsid w:val="37215DAE"/>
    <w:rsid w:val="38CA40DD"/>
    <w:rsid w:val="395F2B56"/>
    <w:rsid w:val="3B482032"/>
    <w:rsid w:val="3B6C265C"/>
    <w:rsid w:val="3BBA0580"/>
    <w:rsid w:val="3BECE841"/>
    <w:rsid w:val="3CDE204C"/>
    <w:rsid w:val="3D363C36"/>
    <w:rsid w:val="3E9C3F6D"/>
    <w:rsid w:val="3EFA7AF5"/>
    <w:rsid w:val="3FF7797D"/>
    <w:rsid w:val="42F16CBA"/>
    <w:rsid w:val="46690BD8"/>
    <w:rsid w:val="49F70BF1"/>
    <w:rsid w:val="4B4340EE"/>
    <w:rsid w:val="4C1B3AB2"/>
    <w:rsid w:val="4C8C5620"/>
    <w:rsid w:val="4F711F6A"/>
    <w:rsid w:val="503D507A"/>
    <w:rsid w:val="51FA74D0"/>
    <w:rsid w:val="52AA4A52"/>
    <w:rsid w:val="539D3AD1"/>
    <w:rsid w:val="55CC2A1E"/>
    <w:rsid w:val="5639630D"/>
    <w:rsid w:val="5789732C"/>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C06071C"/>
    <w:rsid w:val="6C105349"/>
    <w:rsid w:val="6C1E5A53"/>
    <w:rsid w:val="6F5C41AC"/>
    <w:rsid w:val="6FAF6C78"/>
    <w:rsid w:val="716167CC"/>
    <w:rsid w:val="71883D59"/>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151</Words>
  <Characters>164</Characters>
  <Lines>58</Lines>
  <Paragraphs>16</Paragraphs>
  <TotalTime>41</TotalTime>
  <ScaleCrop>false</ScaleCrop>
  <LinksUpToDate>false</LinksUpToDate>
  <CharactersWithSpaces>164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2025-05-08T09:05:02Z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AC5D56F6A4ED4EDBAACBEC4960291C36_13</vt:lpwstr>
  </property>
  <property fmtid="{D5CDD505-2E9C-101B-9397-08002B2CF9AE}" pid="4" name="KSOTemplateDocerSaveRecord">
    <vt:lpwstr>eyJoZGlkIjoiZGU2OWVkNjVhNTc2NTNjNjZhOGJlZWQ2NTc3Njc5NGQiLCJ1c2VySWQiOiIzODQzMzMyOTcifQ==</vt:lpwstr>
  </property>
</Properties>
</file>