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C77631">
      <w:pPr>
        <w:spacing w:line="540" w:lineRule="exact"/>
        <w:jc w:val="center"/>
        <w:rPr>
          <w:rFonts w:hint="default" w:ascii="Times New Roman" w:hAnsi="Times New Roman" w:eastAsia="华文中宋" w:cs="Times New Roman"/>
          <w:b/>
          <w:kern w:val="0"/>
          <w:sz w:val="52"/>
          <w:szCs w:val="52"/>
        </w:rPr>
      </w:pPr>
    </w:p>
    <w:p w14:paraId="545F2D9B">
      <w:pPr>
        <w:spacing w:line="540" w:lineRule="exact"/>
        <w:rPr>
          <w:rFonts w:hint="default" w:ascii="Times New Roman" w:hAnsi="Times New Roman" w:eastAsia="华文中宋" w:cs="Times New Roman"/>
          <w:b/>
          <w:kern w:val="0"/>
          <w:sz w:val="52"/>
          <w:szCs w:val="52"/>
        </w:rPr>
      </w:pPr>
    </w:p>
    <w:p w14:paraId="63F79A23">
      <w:pPr>
        <w:spacing w:line="540" w:lineRule="exact"/>
        <w:jc w:val="center"/>
        <w:rPr>
          <w:rFonts w:hint="default" w:ascii="Times New Roman" w:hAnsi="Times New Roman" w:eastAsia="华文中宋" w:cs="Times New Roman"/>
          <w:b/>
          <w:kern w:val="0"/>
          <w:sz w:val="52"/>
          <w:szCs w:val="52"/>
        </w:rPr>
      </w:pPr>
    </w:p>
    <w:p w14:paraId="60D8E45A">
      <w:pPr>
        <w:spacing w:line="700" w:lineRule="exact"/>
        <w:jc w:val="left"/>
        <w:rPr>
          <w:rFonts w:hint="default" w:ascii="Times New Roman" w:hAnsi="Times New Roman" w:eastAsia="方正小标宋_GBK" w:cs="Times New Roman"/>
          <w:kern w:val="0"/>
          <w:sz w:val="48"/>
          <w:szCs w:val="48"/>
        </w:rPr>
      </w:pPr>
    </w:p>
    <w:p w14:paraId="6856A22F">
      <w:pPr>
        <w:spacing w:line="700" w:lineRule="exact"/>
        <w:jc w:val="center"/>
        <w:rPr>
          <w:rFonts w:hint="eastAsia" w:ascii="Times New Roman" w:hAnsi="Times New Roman" w:eastAsia="方正小标宋_GBK" w:cs="Times New Roman"/>
          <w:kern w:val="0"/>
          <w:sz w:val="48"/>
          <w:szCs w:val="48"/>
          <w:lang w:val="en-US" w:eastAsia="zh-CN"/>
        </w:rPr>
      </w:pPr>
      <w:r>
        <w:rPr>
          <w:rFonts w:hint="eastAsia" w:ascii="Times New Roman" w:hAnsi="Times New Roman" w:eastAsia="方正小标宋_GBK" w:cs="Times New Roman"/>
          <w:kern w:val="0"/>
          <w:sz w:val="48"/>
          <w:szCs w:val="48"/>
          <w:lang w:val="en-US" w:eastAsia="zh-CN"/>
        </w:rPr>
        <w:t>昌州财教[2023]96号2024年新疆西藏等地区教育特殊补助资金-园舍维修</w:t>
      </w:r>
    </w:p>
    <w:p w14:paraId="7ECD76C1">
      <w:pPr>
        <w:spacing w:line="70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项目支出绩效评价报告</w:t>
      </w:r>
    </w:p>
    <w:p w14:paraId="500F7862">
      <w:pPr>
        <w:spacing w:line="540" w:lineRule="exact"/>
        <w:jc w:val="center"/>
        <w:rPr>
          <w:rFonts w:hint="default" w:ascii="Times New Roman" w:hAnsi="Times New Roman" w:eastAsia="华文中宋" w:cs="Times New Roman"/>
          <w:b/>
          <w:kern w:val="0"/>
          <w:sz w:val="52"/>
          <w:szCs w:val="52"/>
        </w:rPr>
      </w:pPr>
    </w:p>
    <w:p w14:paraId="4DEF1BAF">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5BEDD922">
      <w:pPr>
        <w:spacing w:line="540" w:lineRule="exact"/>
        <w:jc w:val="center"/>
        <w:rPr>
          <w:rFonts w:hint="default" w:ascii="Times New Roman" w:hAnsi="Times New Roman" w:eastAsia="仿宋_GB2312" w:cs="Times New Roman"/>
          <w:kern w:val="0"/>
          <w:sz w:val="30"/>
          <w:szCs w:val="30"/>
        </w:rPr>
      </w:pPr>
    </w:p>
    <w:p w14:paraId="0D811440">
      <w:pPr>
        <w:spacing w:line="540" w:lineRule="exact"/>
        <w:jc w:val="center"/>
        <w:rPr>
          <w:rFonts w:hint="default" w:ascii="Times New Roman" w:hAnsi="Times New Roman" w:eastAsia="仿宋_GB2312" w:cs="Times New Roman"/>
          <w:kern w:val="0"/>
          <w:sz w:val="30"/>
          <w:szCs w:val="30"/>
        </w:rPr>
      </w:pPr>
    </w:p>
    <w:p w14:paraId="2C745CE8">
      <w:pPr>
        <w:spacing w:line="540" w:lineRule="exact"/>
        <w:jc w:val="center"/>
        <w:rPr>
          <w:rFonts w:hint="default" w:ascii="Times New Roman" w:hAnsi="Times New Roman" w:eastAsia="仿宋_GB2312" w:cs="Times New Roman"/>
          <w:kern w:val="0"/>
          <w:sz w:val="30"/>
          <w:szCs w:val="30"/>
        </w:rPr>
      </w:pPr>
    </w:p>
    <w:p w14:paraId="53BDA432">
      <w:pPr>
        <w:pStyle w:val="10"/>
        <w:rPr>
          <w:rFonts w:hint="default" w:ascii="Times New Roman" w:hAnsi="Times New Roman" w:cs="Times New Roman"/>
        </w:rPr>
      </w:pPr>
    </w:p>
    <w:p w14:paraId="18410E4F">
      <w:pPr>
        <w:spacing w:line="540" w:lineRule="exact"/>
        <w:jc w:val="center"/>
        <w:rPr>
          <w:rFonts w:hint="default" w:ascii="Times New Roman" w:hAnsi="Times New Roman" w:eastAsia="仿宋_GB2312" w:cs="Times New Roman"/>
          <w:kern w:val="0"/>
          <w:sz w:val="30"/>
          <w:szCs w:val="30"/>
        </w:rPr>
      </w:pPr>
    </w:p>
    <w:p w14:paraId="785A1EBD">
      <w:pPr>
        <w:spacing w:line="540" w:lineRule="exact"/>
        <w:rPr>
          <w:rFonts w:hint="default" w:ascii="Times New Roman" w:hAnsi="Times New Roman" w:eastAsia="仿宋_GB2312" w:cs="Times New Roman"/>
          <w:kern w:val="0"/>
          <w:sz w:val="30"/>
          <w:szCs w:val="30"/>
        </w:rPr>
      </w:pPr>
    </w:p>
    <w:p w14:paraId="53449362">
      <w:pPr>
        <w:spacing w:line="700" w:lineRule="exact"/>
        <w:ind w:left="1436" w:leftChars="684" w:firstLine="0" w:firstLineChars="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ascii="Times New Roman" w:hAnsi="Times New Roman" w:eastAsia="仿宋_GB2312" w:cs="Times New Roman"/>
          <w:kern w:val="0"/>
          <w:sz w:val="36"/>
          <w:szCs w:val="36"/>
          <w:lang w:eastAsia="zh-CN"/>
        </w:rPr>
        <w:t>：</w:t>
      </w:r>
      <w:r>
        <w:rPr>
          <w:rFonts w:hint="eastAsia" w:ascii="Times New Roman" w:hAnsi="Times New Roman" w:eastAsia="仿宋_GB2312" w:cs="Times New Roman"/>
          <w:kern w:val="0"/>
          <w:sz w:val="36"/>
          <w:szCs w:val="36"/>
          <w:lang w:val="en-US" w:eastAsia="zh-CN"/>
        </w:rPr>
        <w:t>昌州财教[2023]96号2024年新疆西藏等地区教育特殊补助资金-园舍维修</w:t>
      </w:r>
    </w:p>
    <w:p w14:paraId="51A6330B">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奇台县第五幼儿园</w:t>
      </w:r>
    </w:p>
    <w:p w14:paraId="6D0356D3">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奇台县教育局</w:t>
      </w:r>
    </w:p>
    <w:p w14:paraId="7230047A">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何玉皎</w:t>
      </w:r>
    </w:p>
    <w:p w14:paraId="20A3D194">
      <w:pPr>
        <w:spacing w:line="700" w:lineRule="exact"/>
        <w:ind w:firstLine="1440" w:firstLineChars="400"/>
        <w:jc w:val="lef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7</w:t>
      </w:r>
      <w:r>
        <w:rPr>
          <w:rFonts w:hint="default" w:ascii="Times New Roman" w:hAnsi="Times New Roman" w:eastAsia="仿宋_GB2312" w:cs="Times New Roman"/>
          <w:kern w:val="0"/>
          <w:sz w:val="36"/>
          <w:szCs w:val="36"/>
        </w:rPr>
        <w:t>日</w:t>
      </w:r>
    </w:p>
    <w:p w14:paraId="739CA6CF">
      <w:pPr>
        <w:spacing w:line="560" w:lineRule="exact"/>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1BF1A565">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56D795A1">
      <w:pPr>
        <w:pStyle w:val="10"/>
        <w:numPr>
          <w:ilvl w:val="0"/>
          <w:numId w:val="0"/>
        </w:numPr>
        <w:spacing w:before="0" w:after="0" w:line="560" w:lineRule="exact"/>
        <w:ind w:firstLine="600" w:firstLineChars="200"/>
        <w:jc w:val="both"/>
        <w:rPr>
          <w:rFonts w:hint="eastAsia" w:ascii="Times New Roman" w:hAnsi="Times New Roman" w:eastAsia="仿宋_GB2312" w:cs="Times New Roman"/>
          <w:b w:val="0"/>
          <w:bCs w:val="0"/>
          <w:kern w:val="2"/>
          <w:sz w:val="30"/>
          <w:szCs w:val="30"/>
          <w:highlight w:val="none"/>
          <w:lang w:val="en-US" w:eastAsia="zh-CN" w:bidi="ar-SA"/>
        </w:rPr>
      </w:pPr>
      <w:r>
        <w:rPr>
          <w:rFonts w:hint="eastAsia" w:ascii="Times New Roman" w:hAnsi="Times New Roman" w:eastAsia="仿宋_GB2312" w:cs="Times New Roman"/>
          <w:b w:val="0"/>
          <w:bCs w:val="0"/>
          <w:kern w:val="2"/>
          <w:sz w:val="30"/>
          <w:szCs w:val="30"/>
          <w:highlight w:val="none"/>
          <w:lang w:val="en-US" w:eastAsia="zh-CN" w:bidi="ar-SA"/>
        </w:rPr>
        <w:t>按照党中央、国务院关于加强县域义务教育建设的决策部署，为整体提升幼儿园办学水平，更好贯彻执行党和国家、上级党委、政府有关教育工作和思想政治工作的方针、政策和法规，落实全县教育发展</w:t>
      </w:r>
      <w:r>
        <w:rPr>
          <w:rFonts w:hint="eastAsia" w:ascii="Times New Roman" w:hAnsi="Times New Roman" w:eastAsia="仿宋_GB2312" w:cs="Times New Roman"/>
          <w:b w:val="0"/>
          <w:bCs w:val="0"/>
          <w:color w:val="auto"/>
          <w:kern w:val="2"/>
          <w:sz w:val="30"/>
          <w:szCs w:val="30"/>
          <w:highlight w:val="none"/>
          <w:lang w:val="en-US" w:eastAsia="zh-CN" w:bidi="ar-SA"/>
        </w:rPr>
        <w:t>战略和发展规划，根据自治区财政厅《关于下达自治区2024年幼儿园维修改造经费使用计划的通知》（新教函【2024】32号）文件，</w:t>
      </w:r>
      <w:r>
        <w:rPr>
          <w:rFonts w:hint="eastAsia" w:ascii="Times New Roman" w:hAnsi="Times New Roman" w:eastAsia="仿宋_GB2312" w:cs="Times New Roman"/>
          <w:b w:val="0"/>
          <w:bCs w:val="0"/>
          <w:kern w:val="2"/>
          <w:sz w:val="30"/>
          <w:szCs w:val="30"/>
          <w:highlight w:val="none"/>
          <w:lang w:val="en-US" w:eastAsia="zh-CN" w:bidi="ar-SA"/>
        </w:rPr>
        <w:t>昌州财教[2023]96号2024年新疆西藏等地区教育特殊补助资金-园舍维修文件以及“保基本民生”支出需求和预算安排情况表，此次共拨付2024年园舍维修30万元。</w:t>
      </w:r>
    </w:p>
    <w:p w14:paraId="4EDAAF4B">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61D784D6">
      <w:pPr>
        <w:spacing w:line="560" w:lineRule="exact"/>
        <w:ind w:firstLine="640" w:firstLineChars="200"/>
        <w:rPr>
          <w:rFonts w:hint="default" w:eastAsia="仿宋_GB2312"/>
          <w:sz w:val="32"/>
          <w:szCs w:val="32"/>
          <w:lang w:val="en-US" w:eastAsia="zh-CN"/>
        </w:rPr>
      </w:pPr>
      <w:r>
        <w:rPr>
          <w:rFonts w:hint="default" w:eastAsia="仿宋_GB2312"/>
          <w:sz w:val="32"/>
          <w:szCs w:val="32"/>
          <w:lang w:val="en-US" w:eastAsia="zh-CN"/>
        </w:rPr>
        <w:t>项目主要内容：</w:t>
      </w:r>
      <w:r>
        <w:rPr>
          <w:rFonts w:hint="default" w:ascii="Times New Roman" w:hAnsi="Times New Roman" w:eastAsia="仿宋_GB2312" w:cs="Times New Roman"/>
          <w:sz w:val="30"/>
          <w:szCs w:val="30"/>
          <w:highlight w:val="none"/>
          <w:lang w:val="en-US" w:eastAsia="zh-CN"/>
        </w:rPr>
        <w:t>维修LED大屏、更换纱窗</w:t>
      </w:r>
      <w:r>
        <w:rPr>
          <w:rFonts w:hint="eastAsia"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维修楼梯墙面</w:t>
      </w:r>
      <w:r>
        <w:rPr>
          <w:rFonts w:hint="eastAsia" w:eastAsia="仿宋_GB2312" w:cs="Times New Roman"/>
          <w:sz w:val="30"/>
          <w:szCs w:val="30"/>
          <w:highlight w:val="none"/>
          <w:lang w:val="en-US" w:eastAsia="zh-CN"/>
        </w:rPr>
        <w:t>、一楼楼梯改造</w:t>
      </w:r>
      <w:r>
        <w:rPr>
          <w:rFonts w:hint="eastAsia" w:ascii="Times New Roman" w:hAnsi="Times New Roman" w:eastAsia="仿宋_GB2312" w:cs="Times New Roman"/>
          <w:sz w:val="30"/>
          <w:szCs w:val="30"/>
          <w:highlight w:val="none"/>
          <w:lang w:val="en-US" w:eastAsia="zh-CN"/>
        </w:rPr>
        <w:t>等</w:t>
      </w:r>
    </w:p>
    <w:p w14:paraId="778EE789">
      <w:pPr>
        <w:spacing w:line="560" w:lineRule="exact"/>
        <w:ind w:firstLine="640" w:firstLineChars="200"/>
        <w:rPr>
          <w:rFonts w:hint="eastAsia" w:eastAsia="仿宋_GB2312"/>
          <w:sz w:val="32"/>
          <w:szCs w:val="32"/>
          <w:lang w:val="en-US" w:eastAsia="zh-CN"/>
        </w:rPr>
      </w:pPr>
      <w:r>
        <w:rPr>
          <w:rFonts w:hint="default" w:eastAsia="仿宋_GB2312"/>
          <w:sz w:val="32"/>
          <w:szCs w:val="32"/>
          <w:lang w:val="en-US" w:eastAsia="zh-CN"/>
        </w:rPr>
        <w:t>项目实施情况：</w:t>
      </w:r>
      <w:r>
        <w:rPr>
          <w:rFonts w:hint="eastAsia" w:eastAsia="仿宋_GB2312"/>
          <w:sz w:val="32"/>
          <w:szCs w:val="32"/>
          <w:lang w:val="en-US" w:eastAsia="zh-CN"/>
        </w:rPr>
        <w:t>截至2024年12月底，完成的工作主要有：</w:t>
      </w:r>
    </w:p>
    <w:p w14:paraId="0C78E6A5">
      <w:pPr>
        <w:numPr>
          <w:ilvl w:val="0"/>
          <w:numId w:val="0"/>
        </w:numPr>
        <w:spacing w:line="560" w:lineRule="exact"/>
        <w:rPr>
          <w:rFonts w:hint="eastAsia" w:eastAsia="仿宋_GB2312"/>
          <w:sz w:val="32"/>
          <w:szCs w:val="32"/>
          <w:lang w:val="en-US" w:eastAsia="zh-CN"/>
        </w:rPr>
      </w:pPr>
      <w:r>
        <w:rPr>
          <w:rFonts w:hint="eastAsia" w:eastAsia="仿宋_GB2312" w:cs="Times New Roman"/>
          <w:sz w:val="30"/>
          <w:szCs w:val="30"/>
          <w:highlight w:val="none"/>
          <w:lang w:val="en-US" w:eastAsia="zh-CN"/>
        </w:rPr>
        <w:t>1、</w:t>
      </w:r>
      <w:r>
        <w:rPr>
          <w:rFonts w:hint="default" w:ascii="Times New Roman" w:hAnsi="Times New Roman" w:eastAsia="仿宋_GB2312" w:cs="Times New Roman"/>
          <w:sz w:val="30"/>
          <w:szCs w:val="30"/>
          <w:highlight w:val="none"/>
          <w:lang w:val="en-US" w:eastAsia="zh-CN"/>
        </w:rPr>
        <w:t>维修LED 大屏</w:t>
      </w:r>
      <w:r>
        <w:rPr>
          <w:rFonts w:hint="eastAsia" w:eastAsia="仿宋_GB2312" w:cs="Times New Roman"/>
          <w:sz w:val="30"/>
          <w:szCs w:val="30"/>
          <w:highlight w:val="none"/>
          <w:lang w:val="en-US" w:eastAsia="zh-CN"/>
        </w:rPr>
        <w:t>;2</w:t>
      </w:r>
      <w:r>
        <w:rPr>
          <w:rFonts w:hint="default" w:ascii="Times New Roman" w:hAnsi="Times New Roman" w:eastAsia="仿宋_GB2312" w:cs="Times New Roman"/>
          <w:sz w:val="30"/>
          <w:szCs w:val="30"/>
          <w:highlight w:val="none"/>
          <w:lang w:val="en-US" w:eastAsia="zh-CN"/>
        </w:rPr>
        <w:t>更换纱窗</w:t>
      </w:r>
      <w:r>
        <w:rPr>
          <w:rFonts w:hint="eastAsia" w:eastAsia="仿宋_GB2312" w:cs="Times New Roman"/>
          <w:sz w:val="30"/>
          <w:szCs w:val="30"/>
          <w:highlight w:val="none"/>
          <w:lang w:val="en-US" w:eastAsia="zh-CN"/>
        </w:rPr>
        <w:t>;3、</w:t>
      </w:r>
      <w:r>
        <w:rPr>
          <w:rFonts w:hint="default" w:ascii="Times New Roman" w:hAnsi="Times New Roman" w:eastAsia="仿宋_GB2312" w:cs="Times New Roman"/>
          <w:sz w:val="30"/>
          <w:szCs w:val="30"/>
          <w:highlight w:val="none"/>
          <w:lang w:val="en-US" w:eastAsia="zh-CN"/>
        </w:rPr>
        <w:t>维修楼梯墙面</w:t>
      </w:r>
      <w:r>
        <w:rPr>
          <w:rFonts w:hint="eastAsia" w:eastAsia="仿宋_GB2312" w:cs="Times New Roman"/>
          <w:sz w:val="30"/>
          <w:szCs w:val="30"/>
          <w:highlight w:val="none"/>
          <w:lang w:val="en-US" w:eastAsia="zh-CN"/>
        </w:rPr>
        <w:t>；4、一楼楼梯改造</w:t>
      </w:r>
      <w:r>
        <w:rPr>
          <w:rFonts w:hint="eastAsia" w:ascii="Times New Roman" w:hAnsi="Times New Roman" w:eastAsia="仿宋_GB2312" w:cs="Times New Roman"/>
          <w:sz w:val="30"/>
          <w:szCs w:val="30"/>
          <w:highlight w:val="none"/>
          <w:lang w:val="en-US" w:eastAsia="zh-CN"/>
        </w:rPr>
        <w:t>等</w:t>
      </w:r>
      <w:r>
        <w:rPr>
          <w:rFonts w:hint="eastAsia" w:eastAsia="仿宋_GB2312"/>
          <w:sz w:val="32"/>
          <w:szCs w:val="32"/>
          <w:lang w:val="en-US" w:eastAsia="zh-CN"/>
        </w:rPr>
        <w:t>维修现均已完工，已投入使用，师幼满意度高。</w:t>
      </w:r>
    </w:p>
    <w:p w14:paraId="48132082">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30A8425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11C741C5">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年终核减0万元，</w:t>
      </w:r>
      <w:r>
        <w:rPr>
          <w:rFonts w:hint="default" w:ascii="Times New Roman" w:hAnsi="Times New Roman" w:eastAsia="仿宋_GB2312" w:cs="Times New Roman"/>
          <w:sz w:val="32"/>
          <w:szCs w:val="32"/>
          <w:highlight w:val="none"/>
          <w:lang w:val="en-US" w:eastAsia="zh-CN"/>
        </w:rPr>
        <w:t>全年预</w:t>
      </w:r>
      <w:r>
        <w:rPr>
          <w:rFonts w:hint="default" w:eastAsia="仿宋_GB2312" w:cs="Times New Roman"/>
          <w:sz w:val="32"/>
          <w:szCs w:val="32"/>
          <w:highlight w:val="none"/>
          <w:lang w:val="en-US" w:eastAsia="zh-CN"/>
        </w:rPr>
        <w:t>算数</w:t>
      </w:r>
      <w:r>
        <w:rPr>
          <w:rFonts w:hint="eastAsia" w:eastAsia="仿宋_GB2312" w:cs="Times New Roman"/>
          <w:sz w:val="32"/>
          <w:szCs w:val="32"/>
          <w:highlight w:val="none"/>
          <w:lang w:val="en-US" w:eastAsia="zh-CN"/>
        </w:rPr>
        <w:t>30</w:t>
      </w:r>
      <w:r>
        <w:rPr>
          <w:rFonts w:hint="default" w:eastAsia="仿宋_GB2312" w:cs="Times New Roman"/>
          <w:sz w:val="32"/>
          <w:szCs w:val="32"/>
          <w:highlight w:val="none"/>
          <w:lang w:val="en-US" w:eastAsia="zh-CN"/>
        </w:rPr>
        <w:t>万</w:t>
      </w:r>
      <w:r>
        <w:rPr>
          <w:rFonts w:hint="default" w:ascii="Times New Roman" w:hAnsi="Times New Roman" w:eastAsia="仿宋_GB2312" w:cs="Times New Roman"/>
          <w:sz w:val="32"/>
          <w:szCs w:val="32"/>
          <w:highlight w:val="none"/>
          <w:lang w:val="en-US" w:eastAsia="zh-CN"/>
        </w:rPr>
        <w:t>元，</w:t>
      </w:r>
      <w:r>
        <w:rPr>
          <w:rFonts w:hint="eastAsia" w:eastAsia="仿宋_GB2312" w:cs="Times New Roman"/>
          <w:sz w:val="32"/>
          <w:szCs w:val="32"/>
          <w:highlight w:val="none"/>
          <w:lang w:val="en-US" w:eastAsia="zh-CN"/>
        </w:rPr>
        <w:t>资金到位率100%，</w:t>
      </w:r>
      <w:r>
        <w:rPr>
          <w:rFonts w:hint="default" w:ascii="Times New Roman" w:hAnsi="Times New Roman" w:eastAsia="仿宋_GB2312" w:cs="Times New Roman"/>
          <w:sz w:val="32"/>
          <w:szCs w:val="32"/>
          <w:highlight w:val="none"/>
          <w:lang w:val="en-US" w:eastAsia="zh-CN"/>
        </w:rPr>
        <w:t>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eastAsia" w:eastAsia="仿宋_GB2312" w:cs="Times New Roman"/>
          <w:sz w:val="32"/>
          <w:szCs w:val="32"/>
          <w:highlight w:val="none"/>
          <w:lang w:val="en-US" w:eastAsia="zh-CN"/>
        </w:rPr>
        <w:t>。</w:t>
      </w:r>
    </w:p>
    <w:p w14:paraId="6DCC2EC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647C78FD">
      <w:pPr>
        <w:spacing w:line="560" w:lineRule="exact"/>
        <w:ind w:firstLine="640" w:firstLineChars="200"/>
        <w:rPr>
          <w:rFonts w:hint="default" w:eastAsia="仿宋_GB2312" w:cs="Times New Roman"/>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该项目全年预算数</w:t>
      </w:r>
      <w:r>
        <w:rPr>
          <w:rFonts w:hint="eastAsia" w:eastAsia="仿宋_GB2312" w:cs="Times New Roman"/>
          <w:sz w:val="32"/>
          <w:szCs w:val="32"/>
          <w:highlight w:val="none"/>
          <w:lang w:val="en-US" w:eastAsia="zh-CN"/>
        </w:rPr>
        <w:t>30</w:t>
      </w:r>
      <w:r>
        <w:rPr>
          <w:rFonts w:hint="eastAsia" w:ascii="仿宋_GB2312" w:hAnsi="仿宋_GB2312" w:eastAsia="仿宋_GB2312" w:cs="仿宋_GB2312"/>
          <w:sz w:val="32"/>
          <w:szCs w:val="32"/>
          <w:highlight w:val="none"/>
          <w:lang w:val="en-US" w:eastAsia="zh-CN"/>
        </w:rPr>
        <w:t>万元，全年</w:t>
      </w:r>
      <w:r>
        <w:rPr>
          <w:rFonts w:hint="eastAsia" w:eastAsia="仿宋_GB2312" w:cs="Times New Roman"/>
          <w:sz w:val="32"/>
          <w:szCs w:val="32"/>
          <w:highlight w:val="none"/>
          <w:lang w:val="en-US" w:eastAsia="zh-CN"/>
        </w:rPr>
        <w:t>执行数30万元，预算执行率为100%，</w:t>
      </w:r>
      <w:r>
        <w:rPr>
          <w:rFonts w:hint="default" w:eastAsia="仿宋_GB2312" w:cs="Times New Roman"/>
          <w:sz w:val="32"/>
          <w:szCs w:val="32"/>
          <w:highlight w:val="none"/>
          <w:lang w:val="en-US" w:eastAsia="zh-CN"/>
        </w:rPr>
        <w:t>主要用于：</w:t>
      </w:r>
      <w:r>
        <w:rPr>
          <w:rFonts w:hint="eastAsia" w:eastAsia="仿宋_GB2312" w:cs="Times New Roman"/>
          <w:sz w:val="30"/>
          <w:szCs w:val="30"/>
          <w:highlight w:val="none"/>
          <w:lang w:val="en-US" w:eastAsia="zh-CN"/>
        </w:rPr>
        <w:t>1、</w:t>
      </w:r>
      <w:r>
        <w:rPr>
          <w:rFonts w:hint="default" w:ascii="Times New Roman" w:hAnsi="Times New Roman" w:eastAsia="仿宋_GB2312" w:cs="Times New Roman"/>
          <w:sz w:val="30"/>
          <w:szCs w:val="30"/>
          <w:highlight w:val="none"/>
          <w:lang w:val="en-US" w:eastAsia="zh-CN"/>
        </w:rPr>
        <w:t>维修LED</w:t>
      </w:r>
      <w:bookmarkStart w:id="5" w:name="_GoBack"/>
      <w:bookmarkEnd w:id="5"/>
      <w:r>
        <w:rPr>
          <w:rFonts w:hint="default" w:ascii="Times New Roman" w:hAnsi="Times New Roman" w:eastAsia="仿宋_GB2312" w:cs="Times New Roman"/>
          <w:sz w:val="30"/>
          <w:szCs w:val="30"/>
          <w:highlight w:val="none"/>
          <w:lang w:val="en-US" w:eastAsia="zh-CN"/>
        </w:rPr>
        <w:t>大屏</w:t>
      </w:r>
      <w:r>
        <w:rPr>
          <w:rFonts w:hint="eastAsia" w:eastAsia="仿宋_GB2312" w:cs="Times New Roman"/>
          <w:sz w:val="30"/>
          <w:szCs w:val="30"/>
          <w:highlight w:val="none"/>
          <w:lang w:val="en-US" w:eastAsia="zh-CN"/>
        </w:rPr>
        <w:t>;2</w:t>
      </w:r>
      <w:r>
        <w:rPr>
          <w:rFonts w:hint="default" w:ascii="Times New Roman" w:hAnsi="Times New Roman" w:eastAsia="仿宋_GB2312" w:cs="Times New Roman"/>
          <w:sz w:val="30"/>
          <w:szCs w:val="30"/>
          <w:highlight w:val="none"/>
          <w:lang w:val="en-US" w:eastAsia="zh-CN"/>
        </w:rPr>
        <w:t>更换纱窗</w:t>
      </w:r>
      <w:r>
        <w:rPr>
          <w:rFonts w:hint="eastAsia" w:eastAsia="仿宋_GB2312" w:cs="Times New Roman"/>
          <w:sz w:val="30"/>
          <w:szCs w:val="30"/>
          <w:highlight w:val="none"/>
          <w:lang w:val="en-US" w:eastAsia="zh-CN"/>
        </w:rPr>
        <w:t>;3、</w:t>
      </w:r>
      <w:r>
        <w:rPr>
          <w:rFonts w:hint="default" w:ascii="Times New Roman" w:hAnsi="Times New Roman" w:eastAsia="仿宋_GB2312" w:cs="Times New Roman"/>
          <w:sz w:val="30"/>
          <w:szCs w:val="30"/>
          <w:highlight w:val="none"/>
          <w:lang w:val="en-US" w:eastAsia="zh-CN"/>
        </w:rPr>
        <w:t>维修楼梯墙面</w:t>
      </w:r>
      <w:r>
        <w:rPr>
          <w:rFonts w:hint="eastAsia" w:eastAsia="仿宋_GB2312" w:cs="Times New Roman"/>
          <w:sz w:val="30"/>
          <w:szCs w:val="30"/>
          <w:highlight w:val="none"/>
          <w:lang w:val="en-US" w:eastAsia="zh-CN"/>
        </w:rPr>
        <w:t>；4、一楼楼梯改造。</w:t>
      </w:r>
    </w:p>
    <w:p w14:paraId="090A513C">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154D1EFC">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67C2B377">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根据奇台县财政局</w:t>
      </w:r>
      <w:r>
        <w:rPr>
          <w:rFonts w:hint="eastAsia" w:ascii="Times New Roman" w:hAnsi="Times New Roman" w:eastAsia="仿宋_GB2312" w:cs="Times New Roman"/>
          <w:b w:val="0"/>
          <w:bCs w:val="0"/>
          <w:color w:val="auto"/>
          <w:kern w:val="2"/>
          <w:sz w:val="30"/>
          <w:szCs w:val="30"/>
          <w:highlight w:val="none"/>
          <w:lang w:val="en-US" w:eastAsia="zh-CN" w:bidi="ar-SA"/>
        </w:rPr>
        <w:t>《关于下达自治区2024年幼儿园维修改造经费使用计划的通知》（新教函【2024】32号）</w:t>
      </w:r>
      <w:r>
        <w:rPr>
          <w:rFonts w:hint="default" w:ascii="Times New Roman" w:hAnsi="Times New Roman" w:eastAsia="仿宋_GB2312" w:cs="Times New Roman"/>
          <w:sz w:val="32"/>
          <w:szCs w:val="32"/>
        </w:rPr>
        <w:t>文件,本项目拟投入</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rPr>
        <w:t>万元，用于</w:t>
      </w:r>
      <w:r>
        <w:rPr>
          <w:rFonts w:hint="eastAsia" w:eastAsia="仿宋_GB2312" w:cs="Times New Roman"/>
          <w:sz w:val="32"/>
          <w:szCs w:val="32"/>
          <w:lang w:val="en-US" w:eastAsia="zh-CN"/>
        </w:rPr>
        <w:t>维修改造</w:t>
      </w:r>
      <w:r>
        <w:rPr>
          <w:rFonts w:hint="default" w:ascii="Times New Roman" w:hAnsi="Times New Roman" w:eastAsia="仿宋_GB2312" w:cs="Times New Roman"/>
          <w:sz w:val="32"/>
          <w:szCs w:val="32"/>
        </w:rPr>
        <w:t>，以此来支持学前教育快速发展</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保障幼儿园保教工作正常运行。</w:t>
      </w:r>
    </w:p>
    <w:p w14:paraId="1BCA29B8">
      <w:pPr>
        <w:numPr>
          <w:ilvl w:val="0"/>
          <w:numId w:val="1"/>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阶段性目标</w:t>
      </w:r>
    </w:p>
    <w:p w14:paraId="7B63F19A">
      <w:pPr>
        <w:numPr>
          <w:ilvl w:val="0"/>
          <w:numId w:val="0"/>
        </w:numPr>
        <w:spacing w:line="560" w:lineRule="exact"/>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为改善幼儿园办园条件，进行了</w:t>
      </w:r>
      <w:r>
        <w:rPr>
          <w:rFonts w:hint="eastAsia" w:eastAsia="仿宋_GB2312" w:cs="Times New Roman"/>
          <w:sz w:val="30"/>
          <w:szCs w:val="30"/>
          <w:highlight w:val="none"/>
          <w:lang w:val="en-US" w:eastAsia="zh-CN"/>
        </w:rPr>
        <w:t>1、</w:t>
      </w:r>
      <w:r>
        <w:rPr>
          <w:rFonts w:hint="default" w:ascii="Times New Roman" w:hAnsi="Times New Roman" w:eastAsia="仿宋_GB2312" w:cs="Times New Roman"/>
          <w:sz w:val="30"/>
          <w:szCs w:val="30"/>
          <w:highlight w:val="none"/>
          <w:lang w:val="en-US" w:eastAsia="zh-CN"/>
        </w:rPr>
        <w:t>维修LED大屏</w:t>
      </w:r>
      <w:r>
        <w:rPr>
          <w:rFonts w:hint="eastAsia" w:eastAsia="仿宋_GB2312" w:cs="Times New Roman"/>
          <w:sz w:val="30"/>
          <w:szCs w:val="30"/>
          <w:highlight w:val="none"/>
          <w:lang w:val="en-US" w:eastAsia="zh-CN"/>
        </w:rPr>
        <w:t>;2</w:t>
      </w:r>
      <w:r>
        <w:rPr>
          <w:rFonts w:hint="default" w:ascii="Times New Roman" w:hAnsi="Times New Roman" w:eastAsia="仿宋_GB2312" w:cs="Times New Roman"/>
          <w:sz w:val="30"/>
          <w:szCs w:val="30"/>
          <w:highlight w:val="none"/>
          <w:lang w:val="en-US" w:eastAsia="zh-CN"/>
        </w:rPr>
        <w:t>更换纱窗</w:t>
      </w:r>
      <w:r>
        <w:rPr>
          <w:rFonts w:hint="eastAsia" w:eastAsia="仿宋_GB2312" w:cs="Times New Roman"/>
          <w:sz w:val="30"/>
          <w:szCs w:val="30"/>
          <w:highlight w:val="none"/>
          <w:lang w:val="en-US" w:eastAsia="zh-CN"/>
        </w:rPr>
        <w:t>;3、</w:t>
      </w:r>
      <w:r>
        <w:rPr>
          <w:rFonts w:hint="default" w:ascii="Times New Roman" w:hAnsi="Times New Roman" w:eastAsia="仿宋_GB2312" w:cs="Times New Roman"/>
          <w:sz w:val="30"/>
          <w:szCs w:val="30"/>
          <w:highlight w:val="none"/>
          <w:lang w:val="en-US" w:eastAsia="zh-CN"/>
        </w:rPr>
        <w:t>维修楼梯墙面</w:t>
      </w:r>
      <w:r>
        <w:rPr>
          <w:rFonts w:hint="eastAsia" w:eastAsia="仿宋_GB2312" w:cs="Times New Roman"/>
          <w:sz w:val="32"/>
          <w:szCs w:val="32"/>
          <w:highlight w:val="none"/>
          <w:lang w:val="en-US" w:eastAsia="zh-CN"/>
        </w:rPr>
        <w:t>于2024年9月30日完成验收并投入使用，</w:t>
      </w:r>
      <w:r>
        <w:rPr>
          <w:rFonts w:hint="eastAsia" w:eastAsia="仿宋_GB2312" w:cs="Times New Roman"/>
          <w:sz w:val="30"/>
          <w:szCs w:val="30"/>
          <w:highlight w:val="none"/>
          <w:lang w:val="en-US" w:eastAsia="zh-CN"/>
        </w:rPr>
        <w:t>一楼楼梯改造</w:t>
      </w:r>
      <w:r>
        <w:rPr>
          <w:rFonts w:hint="eastAsia" w:eastAsia="仿宋_GB2312" w:cs="Times New Roman"/>
          <w:sz w:val="32"/>
          <w:szCs w:val="32"/>
          <w:highlight w:val="none"/>
          <w:lang w:val="en-US" w:eastAsia="zh-CN"/>
        </w:rPr>
        <w:t>于2024年12月31日完成验收</w:t>
      </w:r>
      <w:r>
        <w:rPr>
          <w:rFonts w:hint="eastAsia" w:ascii="Times New Roman" w:hAnsi="Times New Roman" w:eastAsia="仿宋_GB2312" w:cs="Times New Roman"/>
          <w:sz w:val="32"/>
          <w:szCs w:val="32"/>
          <w:lang w:val="en-US" w:eastAsia="zh-CN"/>
        </w:rPr>
        <w:t>，为师幼提供更好的生活学习环境。</w:t>
      </w:r>
    </w:p>
    <w:p w14:paraId="157C6782">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68FCCD4D">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6FD4429A">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637C0C89">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涵盖投入、过程、产出和效益等方面，不仅关注项目或政策的资金使用情况，还对实施过程的规范性、产出的数量</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质量、</w:t>
      </w:r>
      <w:r>
        <w:rPr>
          <w:rFonts w:hint="eastAsia" w:eastAsia="仿宋_GB2312" w:cs="Times New Roman"/>
          <w:color w:val="auto"/>
          <w:sz w:val="32"/>
          <w:szCs w:val="32"/>
          <w:highlight w:val="none"/>
          <w:lang w:val="en-US" w:eastAsia="zh-CN"/>
        </w:rPr>
        <w:t>时效指标，</w:t>
      </w:r>
      <w:r>
        <w:rPr>
          <w:rFonts w:hint="default" w:ascii="Times New Roman" w:hAnsi="Times New Roman" w:eastAsia="仿宋_GB2312" w:cs="Times New Roman"/>
          <w:color w:val="auto"/>
          <w:sz w:val="32"/>
          <w:szCs w:val="32"/>
          <w:highlight w:val="none"/>
          <w:lang w:val="en-US" w:eastAsia="zh-CN"/>
        </w:rPr>
        <w:t>产生的经济效益、社会效益、</w:t>
      </w:r>
      <w:r>
        <w:rPr>
          <w:rFonts w:hint="eastAsia" w:eastAsia="仿宋_GB2312" w:cs="Times New Roman"/>
          <w:color w:val="auto"/>
          <w:sz w:val="32"/>
          <w:szCs w:val="32"/>
          <w:highlight w:val="none"/>
          <w:lang w:val="en-US" w:eastAsia="zh-CN"/>
        </w:rPr>
        <w:t>满意度</w:t>
      </w:r>
      <w:r>
        <w:rPr>
          <w:rFonts w:hint="default" w:ascii="Times New Roman" w:hAnsi="Times New Roman" w:eastAsia="仿宋_GB2312" w:cs="Times New Roman"/>
          <w:color w:val="auto"/>
          <w:sz w:val="32"/>
          <w:szCs w:val="32"/>
          <w:highlight w:val="none"/>
          <w:lang w:val="en-US" w:eastAsia="zh-CN"/>
        </w:rPr>
        <w:t>进行全面评价。</w:t>
      </w:r>
    </w:p>
    <w:p w14:paraId="6BDB9224">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收集的数据应全面、准确、及时，涉及不同渠道、不同类型的数据，保证评价依据充分。严格遵循既定的评价程序，从前期准备到结果应用，每个环节都要做到严谨、规范，保证评价工作的公正性和客观性。</w:t>
      </w:r>
    </w:p>
    <w:p w14:paraId="782552D8">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505A1060">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（1）评估项目实施效果</w:t>
      </w:r>
    </w:p>
    <w:p w14:paraId="7AA5ECD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通过对项目预算执行情况及各项绩效目标达成程度的系统性分析，全面、客观地评估项目在预定周期内的实施效果，包括数量</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质量、</w:t>
      </w:r>
      <w:r>
        <w:rPr>
          <w:rFonts w:hint="eastAsia" w:ascii="Times New Roman" w:hAnsi="Times New Roman" w:eastAsia="仿宋_GB2312" w:cs="Times New Roman"/>
          <w:color w:val="auto"/>
          <w:sz w:val="32"/>
          <w:szCs w:val="32"/>
          <w:highlight w:val="none"/>
          <w:lang w:val="en-US" w:eastAsia="zh-CN"/>
        </w:rPr>
        <w:t>时效指标，</w:t>
      </w:r>
      <w:r>
        <w:rPr>
          <w:rFonts w:hint="default" w:ascii="Times New Roman" w:hAnsi="Times New Roman" w:eastAsia="仿宋_GB2312" w:cs="Times New Roman"/>
          <w:color w:val="auto"/>
          <w:sz w:val="32"/>
          <w:szCs w:val="32"/>
          <w:highlight w:val="none"/>
          <w:lang w:val="en-US" w:eastAsia="zh-CN"/>
        </w:rPr>
        <w:t>产生的经济效益、社会效益、</w:t>
      </w:r>
      <w:r>
        <w:rPr>
          <w:rFonts w:hint="eastAsia" w:ascii="Times New Roman" w:hAnsi="Times New Roman" w:eastAsia="仿宋_GB2312" w:cs="Times New Roman"/>
          <w:color w:val="auto"/>
          <w:sz w:val="32"/>
          <w:szCs w:val="32"/>
          <w:highlight w:val="none"/>
          <w:lang w:val="en-US" w:eastAsia="zh-CN"/>
        </w:rPr>
        <w:t>满意度</w:t>
      </w:r>
      <w:r>
        <w:rPr>
          <w:rFonts w:hint="default" w:ascii="Times New Roman" w:hAnsi="Times New Roman" w:eastAsia="仿宋_GB2312" w:cs="Times New Roman"/>
          <w:color w:val="auto"/>
          <w:sz w:val="32"/>
          <w:szCs w:val="32"/>
          <w:highlight w:val="none"/>
          <w:lang w:val="en-US" w:eastAsia="zh-CN"/>
        </w:rPr>
        <w:t>多维度指标，为项目后续的改进与优化提供科学依据。</w:t>
      </w:r>
    </w:p>
    <w:p w14:paraId="7C98F4DA">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）强化项目管理责任</w:t>
      </w:r>
    </w:p>
    <w:p w14:paraId="540B9CFA">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CC6A20D">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）促进项目持续改进</w:t>
      </w:r>
    </w:p>
    <w:p w14:paraId="221D62B4">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31C7E75">
      <w:pPr>
        <w:pStyle w:val="10"/>
        <w:widowControl w:val="0"/>
        <w:numPr>
          <w:ilvl w:val="0"/>
          <w:numId w:val="1"/>
        </w:numPr>
        <w:spacing w:before="0" w:after="0" w:line="560" w:lineRule="exact"/>
        <w:ind w:left="0" w:leftChars="0"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绩效评价的对象</w:t>
      </w:r>
    </w:p>
    <w:p w14:paraId="2413E1FB">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kern w:val="28"/>
          <w:sz w:val="32"/>
          <w:szCs w:val="32"/>
          <w:highlight w:val="none"/>
          <w:lang w:val="en-US" w:eastAsia="zh-CN" w:bidi="ar-SA"/>
        </w:rPr>
        <w:t>本项目预算绩效评价报告的评价对象是学前教育经费（2024年普及普惠验收相关）及其预算执行情况。该项目由</w:t>
      </w:r>
      <w:r>
        <w:rPr>
          <w:rFonts w:hint="eastAsia" w:ascii="Times New Roman" w:hAnsi="Times New Roman" w:eastAsia="仿宋_GB2312" w:cs="Times New Roman"/>
          <w:b w:val="0"/>
          <w:bCs w:val="0"/>
          <w:color w:val="auto"/>
          <w:kern w:val="28"/>
          <w:sz w:val="32"/>
          <w:szCs w:val="32"/>
          <w:highlight w:val="none"/>
          <w:lang w:val="en-US" w:eastAsia="zh-CN" w:bidi="ar-SA"/>
        </w:rPr>
        <w:t>奇台县第八幼儿园</w:t>
      </w:r>
      <w:r>
        <w:rPr>
          <w:rFonts w:hint="default" w:ascii="Times New Roman" w:hAnsi="Times New Roman" w:eastAsia="仿宋_GB2312" w:cs="Times New Roman"/>
          <w:b w:val="0"/>
          <w:bCs w:val="0"/>
          <w:color w:val="auto"/>
          <w:kern w:val="28"/>
          <w:sz w:val="32"/>
          <w:szCs w:val="32"/>
          <w:highlight w:val="none"/>
          <w:lang w:val="en-US" w:eastAsia="zh-CN" w:bidi="ar-SA"/>
        </w:rPr>
        <w:t>负责实施，通过该项目的实施，提升了幼儿园良好的信用，促进了幼儿在园健康成长。项目预算涵盖至</w:t>
      </w:r>
      <w:r>
        <w:rPr>
          <w:rFonts w:hint="eastAsia" w:ascii="Times New Roman" w:hAnsi="Times New Roman" w:eastAsia="仿宋_GB2312" w:cs="Times New Roman"/>
          <w:b w:val="0"/>
          <w:bCs w:val="0"/>
          <w:color w:val="auto"/>
          <w:kern w:val="28"/>
          <w:sz w:val="32"/>
          <w:szCs w:val="32"/>
          <w:highlight w:val="none"/>
          <w:lang w:val="en-US" w:eastAsia="zh-CN" w:bidi="ar-SA"/>
        </w:rPr>
        <w:t>2024年12月</w:t>
      </w:r>
      <w:r>
        <w:rPr>
          <w:rFonts w:hint="default" w:ascii="Times New Roman" w:hAnsi="Times New Roman" w:eastAsia="仿宋_GB2312" w:cs="Times New Roman"/>
          <w:b w:val="0"/>
          <w:bCs w:val="0"/>
          <w:color w:val="auto"/>
          <w:kern w:val="28"/>
          <w:sz w:val="32"/>
          <w:szCs w:val="32"/>
          <w:highlight w:val="none"/>
          <w:lang w:val="en-US" w:eastAsia="zh-CN" w:bidi="ar-SA"/>
        </w:rPr>
        <w:t>的全部资金投入与支出，涉及资金总</w:t>
      </w:r>
      <w:r>
        <w:rPr>
          <w:rFonts w:hint="default" w:ascii="Times New Roman" w:hAnsi="Times New Roman" w:eastAsia="仿宋_GB2312" w:cs="Times New Roman"/>
          <w:b w:val="0"/>
          <w:bCs w:val="0"/>
          <w:color w:val="auto"/>
          <w:highlight w:val="none"/>
        </w:rPr>
        <w:t>额为</w:t>
      </w:r>
      <w:r>
        <w:rPr>
          <w:rFonts w:hint="eastAsia" w:ascii="Times New Roman" w:hAnsi="Times New Roman" w:eastAsia="仿宋_GB2312" w:cs="Times New Roman"/>
          <w:b w:val="0"/>
          <w:bCs w:val="0"/>
          <w:color w:val="auto"/>
          <w:highlight w:val="none"/>
          <w:lang w:val="en-US" w:eastAsia="zh-CN"/>
        </w:rPr>
        <w:t>30</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278B142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6D4AC7EE">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41BB686A">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项目预算编制与执行：考察项目资金是否按照预算安排及时、足额拨付和使用，有无超预算、无预算支出等情况，预算执行率是否达到预期目标。</w:t>
      </w:r>
    </w:p>
    <w:p w14:paraId="45132EC8">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7D6089BF">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项目实施进度与产出：对比实际进度与计划进度，查看项目是否按时启动、推进和完成，分析进度偏差的原因，以及对项目整体目标的影响。</w:t>
      </w:r>
    </w:p>
    <w:p w14:paraId="0596BF43">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662A4DF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08F4D1DA">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63E4CED2">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4A1A0803">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4E520360">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6550BE40">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727E20C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6B406004">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2CEF8912">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74F97D9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5013ED5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0BA9A3AC">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438064E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1A4CF61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61092EF4">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41101A7F">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4479A278">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3E35E53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69514C4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F11F4EC">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2A3D602E">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4131F17B">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5805085E">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73AF0CB0">
      <w:pPr>
        <w:spacing w:line="560" w:lineRule="exact"/>
        <w:ind w:firstLine="708" w:firstLineChars="200"/>
        <w:rPr>
          <w:rFonts w:hint="default" w:eastAsia="仿宋_GB2312"/>
          <w:color w:val="000000"/>
          <w:spacing w:val="17"/>
          <w:sz w:val="32"/>
          <w:szCs w:val="32"/>
          <w:lang w:val="en-US" w:eastAsia="zh-CN"/>
        </w:rPr>
      </w:pPr>
      <w:r>
        <w:rPr>
          <w:rFonts w:hint="eastAsia" w:eastAsia="仿宋_GB2312"/>
          <w:color w:val="000000"/>
          <w:spacing w:val="17"/>
          <w:sz w:val="32"/>
          <w:szCs w:val="32"/>
          <w:lang w:val="en-US" w:eastAsia="zh-CN"/>
        </w:rPr>
        <w:t>我园选用以上两位评价方法，对项目的开展、完成的数量有更加直观的衡量标准，将复杂绩效分解为可量化的影响因素，分析各因素的作用方向与程度。</w:t>
      </w:r>
    </w:p>
    <w:p w14:paraId="5A0A2E89">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3480CFE0">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绩效评价标准通常包括计划标准、行业标准、历史标准等，用于对绩效指标完成情况进行比较、分析、评价。本次评价主要采用了</w:t>
      </w:r>
      <w:r>
        <w:rPr>
          <w:rFonts w:hint="eastAsia" w:eastAsia="仿宋_GB2312"/>
          <w:color w:val="000000"/>
          <w:spacing w:val="17"/>
          <w:sz w:val="32"/>
          <w:szCs w:val="32"/>
          <w:lang w:val="en-US" w:eastAsia="zh-CN"/>
        </w:rPr>
        <w:t>计划标准</w:t>
      </w:r>
      <w:r>
        <w:rPr>
          <w:rFonts w:hint="eastAsia" w:eastAsia="仿宋_GB2312"/>
          <w:color w:val="000000"/>
          <w:spacing w:val="17"/>
          <w:sz w:val="32"/>
          <w:szCs w:val="32"/>
        </w:rPr>
        <w:t>。</w:t>
      </w:r>
    </w:p>
    <w:p w14:paraId="1CA6F8A9">
      <w:pPr>
        <w:spacing w:line="560" w:lineRule="exact"/>
        <w:ind w:firstLine="708" w:firstLineChars="200"/>
        <w:rPr>
          <w:rFonts w:eastAsia="仿宋_GB2312"/>
          <w:color w:val="000000"/>
          <w:spacing w:val="17"/>
          <w:sz w:val="32"/>
          <w:szCs w:val="32"/>
        </w:rPr>
      </w:pPr>
      <w:bookmarkStart w:id="0" w:name="_Toc31464"/>
      <w:bookmarkStart w:id="1" w:name="_Toc17882"/>
      <w:r>
        <w:rPr>
          <w:rFonts w:hint="eastAsia" w:eastAsia="仿宋_GB2312"/>
          <w:color w:val="000000"/>
          <w:spacing w:val="17"/>
          <w:sz w:val="32"/>
          <w:szCs w:val="32"/>
        </w:rPr>
        <w:t>计划标准：指以预先制定的目标、计划、预算、定额等作为评价标准。</w:t>
      </w:r>
      <w:bookmarkEnd w:id="0"/>
      <w:bookmarkEnd w:id="1"/>
    </w:p>
    <w:p w14:paraId="6099C694">
      <w:pPr>
        <w:pStyle w:val="10"/>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0715A8A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5CE402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7FB34D8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45427540">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4097B81B">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2D6CAF1B">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b w:val="0"/>
          <w:bCs w:val="0"/>
          <w:kern w:val="2"/>
          <w:sz w:val="30"/>
          <w:szCs w:val="30"/>
          <w:highlight w:val="none"/>
          <w:lang w:val="en-US" w:eastAsia="zh-CN" w:bidi="ar-SA"/>
        </w:rPr>
        <w:t>昌州财教[2023]96号2024年新疆西藏等地区教育特殊补助资金-园舍维修</w:t>
      </w:r>
      <w:r>
        <w:rPr>
          <w:rFonts w:hint="default" w:ascii="Times New Roman" w:hAnsi="Times New Roman" w:eastAsia="仿宋_GB2312" w:cs="Times New Roman"/>
          <w:color w:val="auto"/>
          <w:sz w:val="32"/>
          <w:szCs w:val="32"/>
          <w:highlight w:val="none"/>
        </w:rPr>
        <w:t>在</w:t>
      </w:r>
      <w:r>
        <w:rPr>
          <w:rFonts w:hint="eastAsia" w:eastAsia="仿宋_GB2312" w:cs="Times New Roman"/>
          <w:color w:val="auto"/>
          <w:sz w:val="32"/>
          <w:szCs w:val="32"/>
          <w:highlight w:val="none"/>
          <w:lang w:val="en-US" w:eastAsia="zh-CN"/>
        </w:rPr>
        <w:t>项目竣工完成时间、竣工验收</w:t>
      </w:r>
      <w:r>
        <w:rPr>
          <w:rFonts w:hint="default" w:ascii="Times New Roman" w:hAnsi="Times New Roman" w:eastAsia="仿宋_GB2312" w:cs="Times New Roman"/>
          <w:color w:val="auto"/>
          <w:sz w:val="32"/>
          <w:szCs w:val="32"/>
          <w:highlight w:val="none"/>
        </w:rPr>
        <w:t>方面表现出色，达到了预期的标准与要求。同时，项目也在</w:t>
      </w:r>
      <w:r>
        <w:rPr>
          <w:rFonts w:hint="eastAsia" w:eastAsia="仿宋_GB2312" w:cs="Times New Roman"/>
          <w:color w:val="auto"/>
          <w:sz w:val="32"/>
          <w:szCs w:val="32"/>
          <w:highlight w:val="none"/>
          <w:lang w:val="en-US" w:eastAsia="zh-CN"/>
        </w:rPr>
        <w:t>维修和采购利用率</w:t>
      </w:r>
      <w:r>
        <w:rPr>
          <w:rFonts w:hint="default" w:ascii="Times New Roman" w:hAnsi="Times New Roman" w:eastAsia="仿宋_GB2312" w:cs="Times New Roman"/>
          <w:color w:val="auto"/>
          <w:sz w:val="32"/>
          <w:szCs w:val="32"/>
          <w:highlight w:val="none"/>
        </w:rPr>
        <w:t>取得了显著的成效，如</w:t>
      </w:r>
      <w:r>
        <w:rPr>
          <w:rFonts w:hint="eastAsia" w:eastAsia="仿宋_GB2312" w:cs="Times New Roman"/>
          <w:color w:val="auto"/>
          <w:sz w:val="32"/>
          <w:szCs w:val="32"/>
          <w:highlight w:val="none"/>
          <w:lang w:val="en-US" w:eastAsia="zh-CN"/>
        </w:rPr>
        <w:t>采购设备教师和幼儿能及时利用</w:t>
      </w:r>
      <w:r>
        <w:rPr>
          <w:rFonts w:hint="default" w:ascii="Times New Roman" w:hAnsi="Times New Roman" w:eastAsia="仿宋_GB2312" w:cs="Times New Roman"/>
          <w:color w:val="auto"/>
          <w:sz w:val="32"/>
          <w:szCs w:val="32"/>
          <w:highlight w:val="none"/>
        </w:rPr>
        <w:t>。</w:t>
      </w:r>
    </w:p>
    <w:p w14:paraId="63594F3B">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val="en-US" w:eastAsia="zh-CN"/>
        </w:rPr>
        <w:t>奇台县第五幼儿园</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37F09F5F">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w:t>
      </w:r>
      <w:r>
        <w:rPr>
          <w:rFonts w:hint="default" w:ascii="Times New Roman" w:hAnsi="Times New Roman" w:eastAsia="仿宋_GB2312" w:cs="Times New Roman"/>
          <w:color w:val="auto"/>
          <w:sz w:val="32"/>
          <w:szCs w:val="32"/>
          <w:highlight w:val="none"/>
          <w:lang w:val="en-US" w:eastAsia="zh-CN"/>
        </w:rPr>
        <w:t>经济效益、社会效益、</w:t>
      </w:r>
      <w:r>
        <w:rPr>
          <w:rFonts w:hint="eastAsia" w:eastAsia="仿宋_GB2312" w:cs="Times New Roman"/>
          <w:color w:val="auto"/>
          <w:sz w:val="32"/>
          <w:szCs w:val="32"/>
          <w:highlight w:val="none"/>
          <w:lang w:val="en-US" w:eastAsia="zh-CN"/>
        </w:rPr>
        <w:t>满意度</w:t>
      </w:r>
      <w:r>
        <w:rPr>
          <w:rFonts w:hint="default" w:ascii="Times New Roman" w:hAnsi="Times New Roman" w:eastAsia="仿宋_GB2312" w:cs="Times New Roman"/>
          <w:color w:val="auto"/>
          <w:sz w:val="32"/>
          <w:szCs w:val="32"/>
          <w:highlight w:val="none"/>
        </w:rPr>
        <w:t>方面产生了积极的影响。具体而言，</w:t>
      </w:r>
      <w:r>
        <w:rPr>
          <w:rFonts w:hint="eastAsia" w:eastAsia="仿宋_GB2312" w:cs="Times New Roman"/>
          <w:color w:val="auto"/>
          <w:sz w:val="32"/>
          <w:szCs w:val="32"/>
          <w:highlight w:val="none"/>
          <w:lang w:val="en-US" w:eastAsia="zh-CN"/>
        </w:rPr>
        <w:t>设备利用率、正常运转率、幼儿满意度</w:t>
      </w:r>
      <w:r>
        <w:rPr>
          <w:rFonts w:hint="default" w:ascii="Times New Roman" w:hAnsi="Times New Roman" w:eastAsia="仿宋_GB2312" w:cs="Times New Roman"/>
          <w:color w:val="auto"/>
          <w:sz w:val="32"/>
          <w:szCs w:val="32"/>
          <w:highlight w:val="none"/>
        </w:rPr>
        <w:t>方面的提升，为项目的利益相关者带来了实实在在的利益。</w:t>
      </w:r>
    </w:p>
    <w:p w14:paraId="34C3325F">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b w:val="0"/>
          <w:bCs w:val="0"/>
          <w:kern w:val="2"/>
          <w:sz w:val="30"/>
          <w:szCs w:val="30"/>
          <w:highlight w:val="none"/>
          <w:lang w:val="en-US" w:eastAsia="zh-CN" w:bidi="ar-SA"/>
        </w:rPr>
        <w:t>昌州财教[2023]96号2024年新疆西藏等地区教育特殊补助资金-园舍维修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14:paraId="71BCEE2E">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64968CC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分，属于</w:t>
      </w:r>
      <w:r>
        <w:rPr>
          <w:rFonts w:hint="eastAsia" w:ascii="Times New Roman" w:hAnsi="Times New Roman" w:eastAsia="仿宋_GB2312" w:cs="Times New Roman"/>
          <w:b w:val="0"/>
          <w:bCs w:val="0"/>
          <w:lang w:eastAsia="zh-CN"/>
        </w:rPr>
        <w:t>“</w:t>
      </w:r>
      <w:r>
        <w:rPr>
          <w:rFonts w:hint="eastAsia" w:ascii="Times New Roman" w:hAnsi="Times New Roman" w:eastAsia="仿宋_GB2312" w:cs="Times New Roman"/>
          <w:b w:val="0"/>
          <w:bCs w:val="0"/>
          <w:lang w:val="en-US" w:eastAsia="zh-CN"/>
        </w:rPr>
        <w:t>优”</w:t>
      </w:r>
      <w:r>
        <w:rPr>
          <w:rFonts w:hint="default" w:ascii="Times New Roman" w:hAnsi="Times New Roman" w:eastAsia="仿宋_GB2312" w:cs="Times New Roman"/>
          <w:b w:val="0"/>
          <w:bCs w:val="0"/>
        </w:rPr>
        <w:t>。其中，项目决策类指标权重为20分，得分为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%。项目过程类指标权重为20分，得分为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5BF807DE">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63812D1D">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0FBA9CC4">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40B0170">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FC920BA">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20B376D">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2BFECCD1">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36B3ECF">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6B04AF01">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A1F832E">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1334EFE">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45D5D540">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CEAE4AB">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64784D79">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A54D0D5">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7CA0815">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2FB014B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7DCC527">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76F38193">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5BDB1197">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260C0B51">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5767F1B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1BA7FD5">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5E1AC080">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8E9F8AA">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61F2E64">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2667A24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098C3A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75F832B8">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7385BF41">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54341B77">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5410B28F">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6E15D86F">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6467734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7BA640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761CF13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5C94E0B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w:t>
      </w:r>
      <w:r>
        <w:rPr>
          <w:rFonts w:hint="eastAsia" w:eastAsia="仿宋_GB2312"/>
          <w:sz w:val="32"/>
          <w:szCs w:val="32"/>
        </w:rPr>
        <w:t>根据</w:t>
      </w:r>
      <w:r>
        <w:rPr>
          <w:rFonts w:hint="eastAsia" w:eastAsia="仿宋_GB2312"/>
          <w:sz w:val="32"/>
          <w:szCs w:val="32"/>
          <w:lang w:val="en-US" w:eastAsia="zh-CN"/>
        </w:rPr>
        <w:t>奇台县</w:t>
      </w:r>
      <w:r>
        <w:rPr>
          <w:rFonts w:hint="eastAsia" w:ascii="Times New Roman" w:hAnsi="Times New Roman" w:eastAsia="仿宋_GB2312" w:cs="Times New Roman"/>
          <w:b w:val="0"/>
          <w:bCs w:val="0"/>
          <w:kern w:val="2"/>
          <w:sz w:val="30"/>
          <w:szCs w:val="30"/>
          <w:highlight w:val="none"/>
          <w:lang w:val="en-US" w:eastAsia="zh-CN" w:bidi="ar-SA"/>
        </w:rPr>
        <w:t>昌州财教[2023]96号2024年新疆西藏等地区教育特殊补助资金-园舍维修</w:t>
      </w:r>
      <w:r>
        <w:rPr>
          <w:rFonts w:hint="eastAsia" w:eastAsia="仿宋_GB2312"/>
          <w:sz w:val="32"/>
          <w:szCs w:val="32"/>
          <w:lang w:val="en-US" w:eastAsia="zh-CN"/>
        </w:rPr>
        <w:t>和奇台县财政局</w:t>
      </w:r>
      <w:r>
        <w:rPr>
          <w:rFonts w:hint="eastAsia" w:ascii="Times New Roman" w:hAnsi="Times New Roman" w:eastAsia="仿宋_GB2312" w:cs="Times New Roman"/>
          <w:b w:val="0"/>
          <w:bCs w:val="0"/>
          <w:color w:val="auto"/>
          <w:kern w:val="2"/>
          <w:sz w:val="30"/>
          <w:szCs w:val="30"/>
          <w:highlight w:val="none"/>
          <w:lang w:val="en-US" w:eastAsia="zh-CN" w:bidi="ar-SA"/>
        </w:rPr>
        <w:t>《关于下达自治区2024年幼儿园维修改造经费使用计划的通知》（新教函【2024】32号）</w:t>
      </w:r>
      <w:r>
        <w:rPr>
          <w:rFonts w:hint="eastAsia" w:eastAsia="仿宋_GB2312"/>
          <w:sz w:val="32"/>
          <w:szCs w:val="32"/>
          <w:lang w:val="en-US" w:eastAsia="zh-CN"/>
        </w:rPr>
        <w:t>文件，</w:t>
      </w:r>
      <w:r>
        <w:rPr>
          <w:rFonts w:hint="default" w:ascii="Times New Roman" w:hAnsi="Times New Roman" w:eastAsia="仿宋_GB2312" w:cs="Times New Roman"/>
          <w:sz w:val="32"/>
          <w:szCs w:val="32"/>
          <w:lang w:val="en-US" w:eastAsia="zh-CN"/>
        </w:rPr>
        <w:t>符合行业规划要求，围绕本年度工作重点和工作计划制定经费预算，属于公共财政支持范围。本项目与部门内部其他相关项目不重复。部门发展规划及职能文件等归档完整。</w:t>
      </w:r>
    </w:p>
    <w:p w14:paraId="5DCE21F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4CD64D6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项目申请、设立过程符合相关要求，</w:t>
      </w:r>
      <w:r>
        <w:rPr>
          <w:rFonts w:hint="eastAsia" w:ascii="仿宋_GB2312" w:hAnsi="仿宋_GB2312" w:eastAsia="仿宋_GB2312" w:cs="仿宋_GB2312"/>
          <w:sz w:val="32"/>
          <w:szCs w:val="32"/>
          <w:highlight w:val="none"/>
          <w:lang w:eastAsia="zh-Hans"/>
        </w:rPr>
        <w:t>严格按照审批流程准备符合要求的文件、材料；</w:t>
      </w:r>
      <w:r>
        <w:rPr>
          <w:rFonts w:hint="eastAsia" w:ascii="仿宋_GB2312" w:hAnsi="仿宋_GB2312" w:eastAsia="仿宋_GB2312" w:cs="仿宋_GB2312"/>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保障了程序的规范性。</w:t>
      </w:r>
    </w:p>
    <w:p w14:paraId="3046490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0787FE7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7A31C0D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7EFCF2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1705163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11A0F873">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1BB9822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440A45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确保预算“有据可依”，</w:t>
      </w: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E5AD9E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5055AC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CD65F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385F0551">
      <w:pPr>
        <w:pStyle w:val="10"/>
        <w:numPr>
          <w:ilvl w:val="0"/>
          <w:numId w:val="5"/>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4DB0677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highlight w:val="none"/>
          <w:lang w:val="en-US" w:eastAsia="zh-CN"/>
        </w:rPr>
        <w:t>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B4DDFD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35F0EC7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00092DE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7D10E8C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0C6EB97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02A10A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0BCBF8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w:t>
      </w:r>
      <w:r>
        <w:rPr>
          <w:rFonts w:hint="eastAsia" w:eastAsia="仿宋_GB2312" w:cs="Times New Roman"/>
          <w:sz w:val="32"/>
          <w:szCs w:val="32"/>
          <w:highlight w:val="none"/>
          <w:lang w:val="en-US" w:eastAsia="zh-CN"/>
        </w:rPr>
        <w:t>根据</w:t>
      </w:r>
      <w:r>
        <w:rPr>
          <w:rFonts w:hint="eastAsia" w:eastAsia="仿宋_GB2312"/>
          <w:sz w:val="32"/>
          <w:szCs w:val="32"/>
          <w:highlight w:val="none"/>
          <w:lang w:val="en-US" w:eastAsia="zh-CN"/>
        </w:rPr>
        <w:t>奇台县财政局</w:t>
      </w:r>
      <w:r>
        <w:rPr>
          <w:rFonts w:hint="eastAsia" w:ascii="Times New Roman" w:hAnsi="Times New Roman" w:eastAsia="仿宋_GB2312" w:cs="Times New Roman"/>
          <w:b w:val="0"/>
          <w:bCs w:val="0"/>
          <w:color w:val="auto"/>
          <w:kern w:val="2"/>
          <w:sz w:val="30"/>
          <w:szCs w:val="30"/>
          <w:highlight w:val="none"/>
          <w:lang w:val="en-US" w:eastAsia="zh-CN" w:bidi="ar-SA"/>
        </w:rPr>
        <w:t>《关于下达自治区2024年幼儿园维修改造经费使用计划的通知》（新教函【2024】32号）文件</w:t>
      </w:r>
      <w:r>
        <w:rPr>
          <w:rFonts w:hint="default" w:ascii="Times New Roman" w:hAnsi="Times New Roman" w:eastAsia="仿宋_GB2312" w:cs="Times New Roman"/>
          <w:sz w:val="32"/>
          <w:szCs w:val="32"/>
          <w:highlight w:val="none"/>
          <w:lang w:eastAsia="zh-CN"/>
        </w:rPr>
        <w:t>在资金使用过程中，我们建立了完善的财务管理体系，对资金的流动进行了全程监控与记录。</w:t>
      </w:r>
    </w:p>
    <w:p w14:paraId="2062C9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8BA1E0B">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70D3F7F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239076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eastAsia="仿宋_GB2312" w:cs="Times New Roman"/>
          <w:sz w:val="32"/>
          <w:szCs w:val="32"/>
          <w:highlight w:val="none"/>
          <w:lang w:eastAsia="zh-CN"/>
        </w:rPr>
        <w:t>。</w:t>
      </w: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081B23E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36FAEBE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4666B4E4">
      <w:pPr>
        <w:pStyle w:val="12"/>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23B60EC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w:t>
      </w:r>
      <w:r>
        <w:rPr>
          <w:rFonts w:hint="default" w:ascii="Times New Roman" w:hAnsi="Times New Roman" w:eastAsia="仿宋_GB2312" w:cs="Times New Roman"/>
          <w:sz w:val="32"/>
          <w:szCs w:val="32"/>
          <w:highlight w:val="none"/>
          <w:lang w:val="en-US" w:eastAsia="zh-CN"/>
        </w:rPr>
        <w:t>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w:t>
      </w:r>
      <w:r>
        <w:rPr>
          <w:rFonts w:hint="default" w:ascii="Times New Roman" w:hAnsi="Times New Roman" w:eastAsia="仿宋_GB2312" w:cs="Times New Roman"/>
          <w:sz w:val="32"/>
          <w:szCs w:val="32"/>
          <w:lang w:val="en-US" w:eastAsia="zh-CN"/>
        </w:rPr>
        <w:t>情况如下：</w:t>
      </w:r>
    </w:p>
    <w:p w14:paraId="2C90E212">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52F9122C">
      <w:pPr>
        <w:shd w:val="clear"/>
        <w:spacing w:line="600" w:lineRule="exact"/>
        <w:ind w:firstLine="640" w:firstLineChars="200"/>
        <w:outlineLvl w:val="0"/>
        <w:rPr>
          <w:rFonts w:hint="default" w:ascii="Times New Roman" w:hAnsi="Times New Roman" w:cs="Times New Roma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维修LED</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val="en-US" w:eastAsia="zh-CN"/>
        </w:rPr>
        <w:t>大屏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61E83071">
      <w:pPr>
        <w:shd w:val="clear"/>
        <w:spacing w:line="600" w:lineRule="exact"/>
        <w:ind w:firstLine="640" w:firstLineChars="200"/>
        <w:outlineLvl w:val="0"/>
        <w:rPr>
          <w:rFonts w:hint="default" w:ascii="Times New Roman" w:hAnsi="Times New Roman" w:cs="Times New Roma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更换纱窗</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7m²</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7m²</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5B6A1C47">
      <w:pPr>
        <w:shd w:val="clear"/>
        <w:spacing w:line="600" w:lineRule="exact"/>
        <w:ind w:firstLine="640" w:firstLineChars="200"/>
        <w:outlineLvl w:val="0"/>
        <w:rPr>
          <w:rFonts w:hint="default" w:ascii="Times New Roman" w:hAnsi="Times New Roman" w:cs="Times New Roma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维修楼梯墙面</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250m²</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7m²个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2B6FE718">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29C2937B">
      <w:pPr>
        <w:shd w:val="clear"/>
        <w:spacing w:line="600" w:lineRule="exact"/>
        <w:ind w:firstLine="640" w:firstLineChars="200"/>
        <w:outlineLvl w:val="0"/>
        <w:rPr>
          <w:rFonts w:hint="default" w:ascii="Times New Roman" w:hAnsi="Times New Roman" w:cs="Times New Roma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竣工验收合格率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296095C9">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20871B39">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维修完工及时率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17D88A4A">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39A0E90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项目预算控制率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323DF218">
      <w:pPr>
        <w:pStyle w:val="12"/>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1B0BFAD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14:paraId="28D35967">
      <w:pPr>
        <w:numPr>
          <w:ilvl w:val="0"/>
          <w:numId w:val="6"/>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14:paraId="1DD5B55C">
      <w:pPr>
        <w:pStyle w:val="12"/>
        <w:numPr>
          <w:ilvl w:val="0"/>
          <w:numId w:val="0"/>
        </w:num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r>
        <w:rPr>
          <w:rFonts w:hint="eastAsia" w:eastAsia="仿宋_GB2312" w:cs="Times New Roman"/>
          <w:sz w:val="32"/>
          <w:szCs w:val="32"/>
          <w:highlight w:val="none"/>
          <w:lang w:val="en-US" w:eastAsia="zh-CN"/>
        </w:rPr>
        <w:t>提高教育教学质量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2E27D94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556E8A5A">
      <w:pPr>
        <w:pStyle w:val="12"/>
        <w:numPr>
          <w:ilvl w:val="0"/>
          <w:numId w:val="0"/>
        </w:numPr>
        <w:spacing w:line="560" w:lineRule="exact"/>
        <w:ind w:firstLine="640" w:firstLineChars="200"/>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幼儿满意度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3D72395A">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1CA91323">
      <w:pPr>
        <w:spacing w:line="560" w:lineRule="exact"/>
        <w:ind w:firstLine="600" w:firstLineChars="200"/>
        <w:rPr>
          <w:rFonts w:hint="default" w:ascii="Times New Roman" w:hAnsi="Times New Roman" w:eastAsia="方正仿宋_GBK" w:cs="Times New Roman"/>
          <w:sz w:val="32"/>
          <w:szCs w:val="32"/>
          <w:highlight w:val="none"/>
        </w:rPr>
      </w:pPr>
      <w:r>
        <w:rPr>
          <w:rFonts w:hint="eastAsia" w:ascii="Times New Roman" w:hAnsi="Times New Roman" w:eastAsia="仿宋_GB2312" w:cs="Times New Roman"/>
          <w:b w:val="0"/>
          <w:bCs w:val="0"/>
          <w:kern w:val="2"/>
          <w:sz w:val="30"/>
          <w:szCs w:val="30"/>
          <w:highlight w:val="none"/>
          <w:lang w:val="en-US" w:eastAsia="zh-CN" w:bidi="ar-SA"/>
        </w:rPr>
        <w:t>昌州财教[2023]96号2024年新疆西藏等地区教育特殊补助资金-园舍维修</w:t>
      </w:r>
      <w:r>
        <w:rPr>
          <w:rFonts w:hint="default" w:eastAsia="仿宋_GB2312" w:cs="Times New Roman"/>
          <w:sz w:val="32"/>
          <w:szCs w:val="32"/>
          <w:highlight w:val="none"/>
          <w:lang w:eastAsia="zh-CN"/>
        </w:rPr>
        <w:t>项目年初预算</w:t>
      </w:r>
      <w:r>
        <w:rPr>
          <w:rFonts w:hint="eastAsia" w:eastAsia="仿宋_GB2312" w:cs="Times New Roman"/>
          <w:sz w:val="32"/>
          <w:szCs w:val="32"/>
          <w:highlight w:val="none"/>
          <w:lang w:val="en-US" w:eastAsia="zh-CN"/>
        </w:rPr>
        <w:t>30</w:t>
      </w:r>
      <w:r>
        <w:rPr>
          <w:rFonts w:hint="default" w:eastAsia="仿宋_GB2312" w:cs="Times New Roman"/>
          <w:sz w:val="32"/>
          <w:szCs w:val="32"/>
          <w:highlight w:val="none"/>
          <w:lang w:eastAsia="zh-CN"/>
        </w:rPr>
        <w:t>万元，全年预算</w:t>
      </w:r>
      <w:r>
        <w:rPr>
          <w:rFonts w:hint="eastAsia" w:eastAsia="仿宋_GB2312" w:cs="Times New Roman"/>
          <w:sz w:val="32"/>
          <w:szCs w:val="32"/>
          <w:highlight w:val="none"/>
          <w:lang w:val="en-US" w:eastAsia="zh-CN"/>
        </w:rPr>
        <w:t>30</w:t>
      </w:r>
      <w:r>
        <w:rPr>
          <w:rFonts w:hint="default" w:eastAsia="仿宋_GB2312" w:cs="Times New Roman"/>
          <w:sz w:val="32"/>
          <w:szCs w:val="32"/>
          <w:highlight w:val="none"/>
          <w:lang w:eastAsia="zh-CN"/>
        </w:rPr>
        <w:t>万元，实际支出</w:t>
      </w:r>
      <w:r>
        <w:rPr>
          <w:rFonts w:hint="eastAsia" w:eastAsia="仿宋_GB2312" w:cs="Times New Roman"/>
          <w:sz w:val="32"/>
          <w:szCs w:val="32"/>
          <w:highlight w:val="none"/>
          <w:lang w:val="en-US" w:eastAsia="zh-CN"/>
        </w:rPr>
        <w:t>30</w:t>
      </w:r>
      <w:r>
        <w:rPr>
          <w:rFonts w:hint="default" w:eastAsia="仿宋_GB2312" w:cs="Times New Roman"/>
          <w:sz w:val="32"/>
          <w:szCs w:val="32"/>
          <w:highlight w:val="none"/>
          <w:lang w:eastAsia="zh-CN"/>
        </w:rPr>
        <w:t>万元，预算执行率为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eastAsia="zh-CN"/>
        </w:rPr>
        <w:t>%，项目绩效指标总体完成率为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eastAsia="zh-CN"/>
        </w:rPr>
        <w:t>%</w:t>
      </w:r>
      <w:r>
        <w:rPr>
          <w:rFonts w:hint="eastAsia" w:eastAsia="仿宋_GB2312" w:cs="Times New Roman"/>
          <w:sz w:val="32"/>
          <w:szCs w:val="32"/>
          <w:highlight w:val="none"/>
          <w:lang w:eastAsia="zh-CN"/>
        </w:rPr>
        <w:t>，偏差率为</w:t>
      </w:r>
      <w:r>
        <w:rPr>
          <w:rFonts w:hint="eastAsia" w:eastAsia="仿宋_GB2312" w:cs="Times New Roman"/>
          <w:sz w:val="32"/>
          <w:szCs w:val="32"/>
          <w:highlight w:val="none"/>
          <w:lang w:val="en-US" w:eastAsia="zh-CN"/>
        </w:rPr>
        <w:t>0%</w:t>
      </w:r>
      <w:r>
        <w:rPr>
          <w:rFonts w:hint="eastAsia" w:eastAsia="仿宋_GB2312" w:cs="Times New Roman"/>
          <w:sz w:val="32"/>
          <w:szCs w:val="32"/>
          <w:highlight w:val="none"/>
          <w:lang w:eastAsia="zh-CN"/>
        </w:rPr>
        <w:t>。</w:t>
      </w:r>
    </w:p>
    <w:p w14:paraId="573C2C49">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14:paraId="56FCA495">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268CC80B">
      <w:pPr>
        <w:spacing w:line="560" w:lineRule="exact"/>
        <w:ind w:firstLine="640" w:firstLineChars="200"/>
        <w:rPr>
          <w:rFonts w:hint="eastAsia" w:eastAsia="仿宋_GB2312"/>
          <w:sz w:val="32"/>
          <w:szCs w:val="32"/>
        </w:rPr>
      </w:pPr>
      <w:r>
        <w:rPr>
          <w:rFonts w:hint="eastAsia" w:eastAsia="仿宋_GB2312"/>
          <w:sz w:val="32"/>
          <w:szCs w:val="32"/>
          <w:lang w:val="en-US" w:eastAsia="zh-CN"/>
        </w:rPr>
        <w:t>1、</w:t>
      </w:r>
      <w:r>
        <w:rPr>
          <w:rFonts w:hint="eastAsia" w:eastAsia="仿宋_GB2312"/>
          <w:sz w:val="32"/>
          <w:szCs w:val="32"/>
        </w:rPr>
        <w:t>目标导向，构建分层分类评价体系</w:t>
      </w:r>
    </w:p>
    <w:p w14:paraId="1ECAE8A2">
      <w:pPr>
        <w:spacing w:line="560" w:lineRule="exact"/>
        <w:ind w:firstLine="640" w:firstLineChars="200"/>
        <w:rPr>
          <w:rFonts w:eastAsia="仿宋_GB2312"/>
          <w:sz w:val="32"/>
          <w:szCs w:val="32"/>
        </w:rPr>
      </w:pPr>
      <w:r>
        <w:rPr>
          <w:rFonts w:hint="eastAsia" w:eastAsia="仿宋_GB2312"/>
          <w:sz w:val="32"/>
          <w:szCs w:val="32"/>
        </w:rPr>
        <w:t>围绕战略目标拆解关键指标，实现“组织目标→部门任务→个人职责”三级对齐。</w:t>
      </w: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F344603">
      <w:pPr>
        <w:pStyle w:val="10"/>
        <w:numPr>
          <w:ilvl w:val="0"/>
          <w:numId w:val="0"/>
        </w:numPr>
        <w:spacing w:before="0" w:after="0" w:line="560" w:lineRule="exact"/>
        <w:ind w:firstLine="640" w:firstLineChars="200"/>
        <w:jc w:val="left"/>
        <w:rPr>
          <w:rFonts w:hint="eastAsia" w:ascii="Times New Roman" w:hAnsi="Times New Roman" w:eastAsia="仿宋_GB2312"/>
          <w:b w:val="0"/>
          <w:bCs w:val="0"/>
          <w:kern w:val="2"/>
        </w:rPr>
      </w:pPr>
      <w:r>
        <w:rPr>
          <w:rFonts w:hint="eastAsia" w:ascii="Times New Roman" w:hAnsi="Times New Roman" w:eastAsia="仿宋_GB2312"/>
          <w:b w:val="0"/>
          <w:bCs w:val="0"/>
          <w:kern w:val="2"/>
          <w:lang w:val="en-US" w:eastAsia="zh-CN"/>
        </w:rPr>
        <w:t>2、</w:t>
      </w:r>
      <w:r>
        <w:rPr>
          <w:rFonts w:hint="eastAsia" w:ascii="Times New Roman" w:hAnsi="Times New Roman" w:eastAsia="仿宋_GB2312"/>
          <w:b w:val="0"/>
          <w:bCs w:val="0"/>
          <w:kern w:val="2"/>
        </w:rPr>
        <w:t>动态反馈，强化过程管理</w:t>
      </w:r>
    </w:p>
    <w:p w14:paraId="56A05AFA">
      <w:pPr>
        <w:pStyle w:val="10"/>
        <w:numPr>
          <w:ilvl w:val="0"/>
          <w:numId w:val="0"/>
        </w:numPr>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EBA9AB8">
      <w:pPr>
        <w:ind w:firstLine="640" w:firstLineChars="200"/>
        <w:rPr>
          <w:rFonts w:ascii="Times New Roman" w:hAnsi="Times New Roman" w:eastAsia="仿宋_GB2312" w:cs="Times New Roman"/>
          <w:b w:val="0"/>
          <w:bCs w:val="0"/>
          <w:kern w:val="2"/>
          <w:sz w:val="32"/>
          <w:szCs w:val="32"/>
          <w:lang w:val="en-US" w:eastAsia="zh-CN" w:bidi="ar-SA"/>
        </w:rPr>
      </w:pPr>
      <w:r>
        <w:rPr>
          <w:rFonts w:hint="eastAsia" w:eastAsia="仿宋_GB2312" w:cs="Times New Roman"/>
          <w:b w:val="0"/>
          <w:bCs w:val="0"/>
          <w:kern w:val="2"/>
          <w:sz w:val="32"/>
          <w:szCs w:val="32"/>
          <w:lang w:val="en-US" w:eastAsia="zh-CN" w:bidi="ar-SA"/>
        </w:rPr>
        <w:t>3、</w:t>
      </w:r>
      <w:r>
        <w:rPr>
          <w:rFonts w:hint="eastAsia" w:ascii="Times New Roman" w:hAnsi="Times New Roman" w:eastAsia="仿宋_GB2312" w:cs="Times New Roman"/>
          <w:b w:val="0"/>
          <w:bCs w:val="0"/>
          <w:kern w:val="2"/>
          <w:sz w:val="32"/>
          <w:szCs w:val="32"/>
          <w:lang w:val="en-US" w:eastAsia="zh-CN" w:bidi="ar-SA"/>
        </w:rPr>
        <w:t>数据，提升评价客观性</w:t>
      </w:r>
    </w:p>
    <w:p w14:paraId="6AFFCC3A">
      <w:pPr>
        <w:spacing w:line="560" w:lineRule="exact"/>
        <w:ind w:firstLine="600" w:firstLineChars="200"/>
      </w:pPr>
      <w:r>
        <w:rPr>
          <w:rFonts w:hint="eastAsia" w:ascii="Times New Roman" w:hAnsi="Times New Roman" w:eastAsia="仿宋_GB2312" w:cs="Times New Roman"/>
          <w:b w:val="0"/>
          <w:bCs w:val="0"/>
          <w:kern w:val="2"/>
          <w:sz w:val="30"/>
          <w:szCs w:val="30"/>
          <w:highlight w:val="none"/>
          <w:lang w:val="en-US" w:eastAsia="zh-CN" w:bidi="ar-SA"/>
        </w:rPr>
        <w:t>昌</w:t>
      </w:r>
      <w:r>
        <w:rPr>
          <w:rFonts w:hint="eastAsia" w:ascii="Times New Roman" w:hAnsi="Times New Roman" w:eastAsia="仿宋_GB2312" w:cs="Times New Roman"/>
          <w:b w:val="0"/>
          <w:bCs w:val="0"/>
          <w:kern w:val="2"/>
          <w:sz w:val="32"/>
          <w:szCs w:val="32"/>
          <w:lang w:val="en-US" w:eastAsia="zh-CN" w:bidi="ar-SA"/>
        </w:rPr>
        <w:t>州财教[2023]96号2驱动024年新疆西藏等地区教育特殊补助资金-园舍维修资金中，预算安排数30万元。截止到2024年12月31日，共到30万元，资金执行数30万元。项目开始有预算，对实际执行跟踪监控，项目结束进行绩效评价。县教育局、财政局对经费使用和管理情况进行监督和检查，支出符合国家财经法规和财务管理制度规定以及有关专项资金管理办法的规定；资金拨付有完整的审批程序和手续；支出符合部门预算批复的用途；资金使用无截留、挤占、挪用、虚列支出等情况。</w:t>
      </w:r>
    </w:p>
    <w:p w14:paraId="332CC40F">
      <w:pPr>
        <w:keepNext/>
        <w:keepLines/>
        <w:numPr>
          <w:ilvl w:val="0"/>
          <w:numId w:val="7"/>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23E97FD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779D859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14:paraId="42C31D0E">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5C2CD57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1.指标体系优化：精准聚焦核心目标，每年度根据战略调整指标库，确保核心指标与组织目标强关联。</w:t>
      </w:r>
    </w:p>
    <w:p w14:paraId="0F0253F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61665D3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3.量化与定性结合，避免过度量化。能用数据衡量的指标优先量化，但需保留必要的定性指标。</w:t>
      </w:r>
    </w:p>
    <w:p w14:paraId="415F0E63">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5F8F3207">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7AD58AD8">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2" w:name="page8"/>
      <w:bookmarkEnd w:id="2"/>
      <w:r>
        <w:rPr>
          <w:rFonts w:hint="default" w:ascii="Times New Roman" w:hAnsi="Times New Roman" w:eastAsia="黑体" w:cs="Times New Roman"/>
          <w:sz w:val="32"/>
          <w:szCs w:val="32"/>
        </w:rPr>
        <w:t>明的问题</w:t>
      </w:r>
    </w:p>
    <w:p w14:paraId="642E32E0">
      <w:pPr>
        <w:pStyle w:val="13"/>
        <w:spacing w:after="0" w:line="560" w:lineRule="exac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本项目无其他需说明的问题。</w:t>
      </w:r>
    </w:p>
    <w:p w14:paraId="1F9DD120">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426889DA">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1A4BBE68">
      <w:pPr>
        <w:pStyle w:val="19"/>
        <w:ind w:firstLine="562"/>
        <w:jc w:val="center"/>
        <w:rPr>
          <w:rFonts w:hint="eastAsia" w:ascii="仿宋_GB2312" w:hAnsi="仿宋_GB2312" w:eastAsia="仿宋_GB2312" w:cs="仿宋_GB2312"/>
          <w:sz w:val="28"/>
          <w:szCs w:val="40"/>
        </w:rPr>
      </w:pPr>
      <w:bookmarkStart w:id="3" w:name="_Toc30064_WPSOffice_Level1"/>
      <w:bookmarkStart w:id="4" w:name="_Toc26499_WPSOffice_Level2"/>
      <w:r>
        <w:rPr>
          <w:rFonts w:hint="default" w:ascii="仿宋_GB2312" w:hAnsi="仿宋_GB2312" w:eastAsia="仿宋_GB2312" w:cs="仿宋_GB2312"/>
          <w:b/>
          <w:bCs/>
          <w:sz w:val="28"/>
          <w:szCs w:val="40"/>
        </w:rPr>
        <w:t>学前教育经费（2024年普及普惠验收相关）</w:t>
      </w:r>
      <w:r>
        <w:rPr>
          <w:rFonts w:hint="eastAsia" w:ascii="仿宋_GB2312" w:hAnsi="仿宋_GB2312" w:eastAsia="仿宋_GB2312" w:cs="仿宋_GB2312"/>
          <w:b/>
          <w:bCs/>
          <w:sz w:val="28"/>
          <w:szCs w:val="40"/>
        </w:rPr>
        <w:t>项目绩效评价指标体系及综合评分表</w:t>
      </w:r>
      <w:bookmarkEnd w:id="3"/>
      <w:bookmarkEnd w:id="4"/>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207C2B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2" w:hRule="atLeast"/>
          <w:tblHeader/>
          <w:jc w:val="center"/>
        </w:trPr>
        <w:tc>
          <w:tcPr>
            <w:tcW w:w="1002" w:type="dxa"/>
            <w:shd w:val="clear" w:color="auto" w:fill="FFFFFF"/>
            <w:vAlign w:val="center"/>
          </w:tcPr>
          <w:p w14:paraId="4A590E9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70443DB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6ACB999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3671217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5D2E0C1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3CE2367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5442F3B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19559F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75A75589">
            <w:pPr>
              <w:widowControl/>
              <w:spacing w:line="0" w:lineRule="atLeast"/>
              <w:jc w:val="center"/>
              <w:rPr>
                <w:rFonts w:hint="default" w:ascii="Times New Roman" w:hAnsi="Times New Roman" w:eastAsia="仿宋_GB2312" w:cs="Times New Roman"/>
                <w:color w:val="000000"/>
                <w:kern w:val="0"/>
                <w:sz w:val="18"/>
                <w:szCs w:val="18"/>
              </w:rPr>
            </w:pPr>
          </w:p>
          <w:p w14:paraId="2BFA76F2">
            <w:pPr>
              <w:widowControl/>
              <w:spacing w:line="0" w:lineRule="atLeast"/>
              <w:jc w:val="center"/>
              <w:rPr>
                <w:rFonts w:hint="default" w:ascii="Times New Roman" w:hAnsi="Times New Roman" w:eastAsia="仿宋_GB2312" w:cs="Times New Roman"/>
                <w:color w:val="000000"/>
                <w:kern w:val="0"/>
                <w:sz w:val="18"/>
                <w:szCs w:val="18"/>
              </w:rPr>
            </w:pPr>
          </w:p>
          <w:p w14:paraId="35F74067">
            <w:pPr>
              <w:widowControl/>
              <w:spacing w:line="0" w:lineRule="atLeast"/>
              <w:jc w:val="center"/>
              <w:rPr>
                <w:rFonts w:hint="default" w:ascii="Times New Roman" w:hAnsi="Times New Roman" w:eastAsia="仿宋_GB2312" w:cs="Times New Roman"/>
                <w:color w:val="000000"/>
                <w:kern w:val="0"/>
                <w:sz w:val="18"/>
                <w:szCs w:val="18"/>
              </w:rPr>
            </w:pPr>
          </w:p>
          <w:p w14:paraId="7018DED2">
            <w:pPr>
              <w:widowControl/>
              <w:spacing w:line="0" w:lineRule="atLeast"/>
              <w:jc w:val="center"/>
              <w:rPr>
                <w:rFonts w:hint="default" w:ascii="Times New Roman" w:hAnsi="Times New Roman" w:eastAsia="仿宋_GB2312" w:cs="Times New Roman"/>
                <w:color w:val="000000"/>
                <w:kern w:val="0"/>
                <w:sz w:val="18"/>
                <w:szCs w:val="18"/>
              </w:rPr>
            </w:pPr>
          </w:p>
          <w:p w14:paraId="72FB19DD">
            <w:pPr>
              <w:widowControl/>
              <w:spacing w:line="0" w:lineRule="atLeast"/>
              <w:jc w:val="center"/>
              <w:rPr>
                <w:rFonts w:hint="default" w:ascii="Times New Roman" w:hAnsi="Times New Roman" w:eastAsia="仿宋_GB2312" w:cs="Times New Roman"/>
                <w:color w:val="000000"/>
                <w:kern w:val="0"/>
                <w:sz w:val="18"/>
                <w:szCs w:val="18"/>
              </w:rPr>
            </w:pPr>
          </w:p>
          <w:p w14:paraId="38E2A070">
            <w:pPr>
              <w:widowControl/>
              <w:spacing w:line="0" w:lineRule="atLeast"/>
              <w:jc w:val="center"/>
              <w:rPr>
                <w:rFonts w:hint="default" w:ascii="Times New Roman" w:hAnsi="Times New Roman" w:eastAsia="仿宋_GB2312" w:cs="Times New Roman"/>
                <w:color w:val="000000"/>
                <w:kern w:val="0"/>
                <w:sz w:val="18"/>
                <w:szCs w:val="18"/>
              </w:rPr>
            </w:pPr>
          </w:p>
          <w:p w14:paraId="2BCAC0E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39F5AC4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0072F11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0913960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3ADB0D3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742165C9">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5801676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170003E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14:paraId="270580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67C149D">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01C67160">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36FFD18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30D038A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293C5D2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3C2CDFCB">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3391C96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572A297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14:paraId="2F2FB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8EA2649">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2C3603B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779ADE7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5EA98D7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7EA38CE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63E9BB1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5F83593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6E45F78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128AE16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14:paraId="2EFCD1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62DD3D84">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4C88497">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34312BF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0111C7A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42E2D13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64B31BB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5DFAFBD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5AE57DE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14:paraId="01C91A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184BF665">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173A0CA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5F328973">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395B631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56888D0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1D58464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16F9907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476BFCD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7CA2050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366CC6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0543D663">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57CC10E7">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F8F24F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054533C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38A7210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3CEE8C8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3F0766F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60FDB0A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0814A8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51A7808F">
            <w:pPr>
              <w:spacing w:line="0" w:lineRule="atLeast"/>
              <w:jc w:val="center"/>
              <w:rPr>
                <w:rFonts w:hint="default" w:ascii="Times New Roman" w:hAnsi="Times New Roman" w:eastAsia="仿宋_GB2312" w:cs="Times New Roman"/>
                <w:color w:val="000000"/>
                <w:kern w:val="0"/>
                <w:sz w:val="18"/>
                <w:szCs w:val="18"/>
              </w:rPr>
            </w:pPr>
          </w:p>
          <w:p w14:paraId="64350271">
            <w:pPr>
              <w:spacing w:line="0" w:lineRule="atLeast"/>
              <w:jc w:val="center"/>
              <w:rPr>
                <w:rFonts w:hint="default" w:ascii="Times New Roman" w:hAnsi="Times New Roman" w:eastAsia="仿宋_GB2312" w:cs="Times New Roman"/>
                <w:color w:val="000000"/>
                <w:kern w:val="0"/>
                <w:sz w:val="18"/>
                <w:szCs w:val="18"/>
              </w:rPr>
            </w:pPr>
          </w:p>
          <w:p w14:paraId="0D65C1FC">
            <w:pPr>
              <w:spacing w:line="0" w:lineRule="atLeast"/>
              <w:jc w:val="center"/>
              <w:rPr>
                <w:rFonts w:hint="default" w:ascii="Times New Roman" w:hAnsi="Times New Roman" w:eastAsia="仿宋_GB2312" w:cs="Times New Roman"/>
                <w:color w:val="000000"/>
                <w:kern w:val="0"/>
                <w:sz w:val="18"/>
                <w:szCs w:val="18"/>
              </w:rPr>
            </w:pPr>
          </w:p>
          <w:p w14:paraId="36DBD2C9">
            <w:pPr>
              <w:spacing w:line="0" w:lineRule="atLeast"/>
              <w:jc w:val="center"/>
              <w:rPr>
                <w:rFonts w:hint="default" w:ascii="Times New Roman" w:hAnsi="Times New Roman" w:eastAsia="仿宋_GB2312" w:cs="Times New Roman"/>
                <w:color w:val="000000"/>
                <w:kern w:val="0"/>
                <w:sz w:val="18"/>
                <w:szCs w:val="18"/>
              </w:rPr>
            </w:pPr>
          </w:p>
          <w:p w14:paraId="61C33C09">
            <w:pPr>
              <w:spacing w:line="0" w:lineRule="atLeast"/>
              <w:jc w:val="center"/>
              <w:rPr>
                <w:rFonts w:hint="default" w:ascii="Times New Roman" w:hAnsi="Times New Roman" w:eastAsia="仿宋_GB2312" w:cs="Times New Roman"/>
                <w:color w:val="000000"/>
                <w:kern w:val="0"/>
                <w:sz w:val="18"/>
                <w:szCs w:val="18"/>
              </w:rPr>
            </w:pPr>
          </w:p>
          <w:p w14:paraId="52AF811D">
            <w:pPr>
              <w:spacing w:line="0" w:lineRule="atLeast"/>
              <w:jc w:val="center"/>
              <w:rPr>
                <w:rFonts w:hint="default" w:ascii="Times New Roman" w:hAnsi="Times New Roman" w:eastAsia="仿宋_GB2312" w:cs="Times New Roman"/>
                <w:color w:val="000000"/>
                <w:kern w:val="0"/>
                <w:sz w:val="18"/>
                <w:szCs w:val="18"/>
              </w:rPr>
            </w:pPr>
          </w:p>
          <w:p w14:paraId="22176B41">
            <w:pPr>
              <w:spacing w:line="0" w:lineRule="atLeast"/>
              <w:jc w:val="center"/>
              <w:rPr>
                <w:rFonts w:hint="default" w:ascii="Times New Roman" w:hAnsi="Times New Roman" w:eastAsia="仿宋_GB2312" w:cs="Times New Roman"/>
                <w:color w:val="000000"/>
                <w:kern w:val="0"/>
                <w:sz w:val="18"/>
                <w:szCs w:val="18"/>
              </w:rPr>
            </w:pPr>
          </w:p>
          <w:p w14:paraId="2E8E2B6D">
            <w:pPr>
              <w:spacing w:line="0" w:lineRule="atLeast"/>
              <w:jc w:val="center"/>
              <w:rPr>
                <w:rFonts w:hint="default" w:ascii="Times New Roman" w:hAnsi="Times New Roman" w:eastAsia="仿宋_GB2312" w:cs="Times New Roman"/>
                <w:color w:val="000000"/>
                <w:kern w:val="0"/>
                <w:sz w:val="18"/>
                <w:szCs w:val="18"/>
              </w:rPr>
            </w:pPr>
          </w:p>
          <w:p w14:paraId="4F913843">
            <w:pPr>
              <w:spacing w:line="0" w:lineRule="atLeast"/>
              <w:jc w:val="center"/>
              <w:rPr>
                <w:rFonts w:hint="default" w:ascii="Times New Roman" w:hAnsi="Times New Roman" w:eastAsia="仿宋_GB2312" w:cs="Times New Roman"/>
                <w:color w:val="000000"/>
                <w:kern w:val="0"/>
                <w:sz w:val="18"/>
                <w:szCs w:val="18"/>
              </w:rPr>
            </w:pPr>
          </w:p>
          <w:p w14:paraId="1497691E">
            <w:pPr>
              <w:spacing w:line="0" w:lineRule="atLeast"/>
              <w:jc w:val="center"/>
              <w:rPr>
                <w:rFonts w:hint="default" w:ascii="Times New Roman" w:hAnsi="Times New Roman" w:eastAsia="仿宋_GB2312" w:cs="Times New Roman"/>
                <w:color w:val="000000"/>
                <w:kern w:val="0"/>
                <w:sz w:val="18"/>
                <w:szCs w:val="18"/>
              </w:rPr>
            </w:pPr>
          </w:p>
          <w:p w14:paraId="1A3D8A3D">
            <w:pPr>
              <w:spacing w:line="0" w:lineRule="atLeast"/>
              <w:jc w:val="center"/>
              <w:rPr>
                <w:rFonts w:hint="default" w:ascii="Times New Roman" w:hAnsi="Times New Roman" w:eastAsia="仿宋_GB2312" w:cs="Times New Roman"/>
                <w:color w:val="000000"/>
                <w:kern w:val="0"/>
                <w:sz w:val="18"/>
                <w:szCs w:val="18"/>
              </w:rPr>
            </w:pPr>
          </w:p>
          <w:p w14:paraId="441B0673">
            <w:pPr>
              <w:spacing w:line="0" w:lineRule="atLeast"/>
              <w:jc w:val="center"/>
              <w:rPr>
                <w:rFonts w:hint="default" w:ascii="Times New Roman" w:hAnsi="Times New Roman" w:eastAsia="仿宋_GB2312" w:cs="Times New Roman"/>
                <w:color w:val="000000"/>
                <w:kern w:val="0"/>
                <w:sz w:val="18"/>
                <w:szCs w:val="18"/>
              </w:rPr>
            </w:pPr>
          </w:p>
          <w:p w14:paraId="023AF31F">
            <w:pPr>
              <w:spacing w:line="0" w:lineRule="atLeast"/>
              <w:jc w:val="center"/>
              <w:rPr>
                <w:rFonts w:hint="default" w:ascii="Times New Roman" w:hAnsi="Times New Roman" w:eastAsia="仿宋_GB2312" w:cs="Times New Roman"/>
                <w:color w:val="000000"/>
                <w:kern w:val="0"/>
                <w:sz w:val="18"/>
                <w:szCs w:val="18"/>
              </w:rPr>
            </w:pPr>
          </w:p>
          <w:p w14:paraId="63447B09">
            <w:pPr>
              <w:spacing w:line="0" w:lineRule="atLeast"/>
              <w:jc w:val="center"/>
              <w:rPr>
                <w:rFonts w:hint="default" w:ascii="Times New Roman" w:hAnsi="Times New Roman" w:eastAsia="仿宋_GB2312" w:cs="Times New Roman"/>
                <w:color w:val="000000"/>
                <w:kern w:val="0"/>
                <w:sz w:val="18"/>
                <w:szCs w:val="18"/>
              </w:rPr>
            </w:pPr>
          </w:p>
          <w:p w14:paraId="07AD0230">
            <w:pPr>
              <w:spacing w:line="0" w:lineRule="atLeast"/>
              <w:jc w:val="center"/>
              <w:rPr>
                <w:rFonts w:hint="default" w:ascii="Times New Roman" w:hAnsi="Times New Roman" w:eastAsia="仿宋_GB2312" w:cs="Times New Roman"/>
                <w:color w:val="000000"/>
                <w:kern w:val="0"/>
                <w:sz w:val="18"/>
                <w:szCs w:val="18"/>
              </w:rPr>
            </w:pPr>
          </w:p>
          <w:p w14:paraId="6580F7F2">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7E82CB9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511A160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641C454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565AFCA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5559EEA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14955CA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27F7521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6FED1F5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67DD4D5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0E6F92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5697E14C">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4E3149C4">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16F324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061ADB6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6FDE004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7B837B9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4BFC72DA">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5145E3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29C33A75">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1B22374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6CB9040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508F810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140A7AB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4D84186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5F9F154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11A4449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01495A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0B059B3C">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3614C51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36A9B8A8">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6993EAC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56AD356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53EEA44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01CDA14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1EA63FA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5A9D5C1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593290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6C1F728E">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9B34CD2">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2DDDDA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205621D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78EE722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6A84AB0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6CB4DB5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0D61139F">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default" w:ascii="Times New Roman" w:hAnsi="Times New Roman" w:eastAsia="仿宋_GB2312" w:cs="Times New Roman"/>
                <w:b/>
                <w:bCs/>
                <w:color w:val="000000"/>
                <w:kern w:val="0"/>
                <w:sz w:val="18"/>
                <w:szCs w:val="18"/>
              </w:rPr>
              <w:t>4</w:t>
            </w:r>
          </w:p>
        </w:tc>
      </w:tr>
      <w:tr w14:paraId="59FED7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3CABC9A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64C5644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583E692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6D43C50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53F2C45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7BED5F8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2CAD734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756A2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0BFA9DAE">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6281337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53B05FD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11AC798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712F5AF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071741E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1A0CEDB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6B11365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4DCE5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113692C8">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724F957E">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4575478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2F26BB7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58D7CE1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08538AC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7422CE4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B3FF4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45779836">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711E028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09B74EE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2ABC82D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07FDE44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53534B9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2B336152">
            <w:pPr>
              <w:widowControl/>
              <w:spacing w:line="0" w:lineRule="atLeast"/>
              <w:jc w:val="center"/>
              <w:rPr>
                <w:rFonts w:hint="default"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2DBCB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368002D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6BF4DDC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2770E93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14:paraId="6C2CC113">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4C0C1F2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3F9241E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14:paraId="7ACD9C2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3A25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5B757AEC">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4F6525EA">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3AF3704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167179E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4083D8B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2FEB671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45882BF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1A9AC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2AD5D43B">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0AF3A61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14:paraId="1A8B613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1A234B27">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38D8D342">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258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89"/>
        <w:gridCol w:w="990"/>
        <w:gridCol w:w="990"/>
        <w:gridCol w:w="921"/>
        <w:gridCol w:w="578"/>
        <w:gridCol w:w="1375"/>
        <w:gridCol w:w="1224"/>
        <w:gridCol w:w="798"/>
        <w:gridCol w:w="715"/>
        <w:gridCol w:w="811"/>
        <w:gridCol w:w="564"/>
        <w:gridCol w:w="646"/>
        <w:gridCol w:w="990"/>
      </w:tblGrid>
      <w:tr w14:paraId="782EF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2580" w:type="dxa"/>
            <w:gridSpan w:val="14"/>
            <w:tcBorders>
              <w:top w:val="nil"/>
              <w:left w:val="nil"/>
              <w:bottom w:val="nil"/>
              <w:right w:val="nil"/>
            </w:tcBorders>
            <w:shd w:val="clear" w:color="auto" w:fill="auto"/>
            <w:vAlign w:val="center"/>
          </w:tcPr>
          <w:p w14:paraId="78B3D98B">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11DF8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2580" w:type="dxa"/>
            <w:gridSpan w:val="14"/>
            <w:tcBorders>
              <w:top w:val="nil"/>
              <w:left w:val="nil"/>
              <w:bottom w:val="nil"/>
              <w:right w:val="nil"/>
            </w:tcBorders>
            <w:shd w:val="clear" w:color="auto" w:fill="auto"/>
            <w:vAlign w:val="center"/>
          </w:tcPr>
          <w:p w14:paraId="2761AF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293FC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7802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060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02ADA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昌州财教[2023]96号2024年新疆西藏等地区教育特殊补助资金-园舍维修</w:t>
            </w:r>
          </w:p>
        </w:tc>
      </w:tr>
      <w:tr w14:paraId="4C25A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9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69F7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485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7C0F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奇台县第五幼儿园</w:t>
            </w:r>
          </w:p>
        </w:tc>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14C6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7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0AB0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奇台县第五幼儿园</w:t>
            </w:r>
          </w:p>
        </w:tc>
      </w:tr>
      <w:tr w14:paraId="18C3F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9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E2ED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788F33">
            <w:pPr>
              <w:jc w:val="center"/>
              <w:rPr>
                <w:rFonts w:hint="eastAsia" w:ascii="宋体" w:hAnsi="宋体" w:eastAsia="宋体" w:cs="宋体"/>
                <w:i w:val="0"/>
                <w:iCs w:val="0"/>
                <w:color w:val="000000"/>
                <w:sz w:val="20"/>
                <w:szCs w:val="20"/>
                <w:u w:val="none"/>
              </w:rPr>
            </w:pP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292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9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44D5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EEF8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1799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BB71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C82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07D64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137C5">
            <w:pPr>
              <w:jc w:val="center"/>
              <w:rPr>
                <w:rFonts w:hint="eastAsia" w:ascii="宋体" w:hAnsi="宋体" w:eastAsia="宋体" w:cs="宋体"/>
                <w:i w:val="0"/>
                <w:iCs w:val="0"/>
                <w:color w:val="000000"/>
                <w:sz w:val="20"/>
                <w:szCs w:val="20"/>
                <w:u w:val="none"/>
              </w:rPr>
            </w:pP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1BCC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BA2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w:t>
            </w:r>
          </w:p>
        </w:tc>
        <w:tc>
          <w:tcPr>
            <w:tcW w:w="19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215E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w:t>
            </w:r>
          </w:p>
        </w:tc>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5099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w:t>
            </w:r>
          </w:p>
        </w:tc>
        <w:tc>
          <w:tcPr>
            <w:tcW w:w="1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0D90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01BA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02C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14:paraId="779C1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211DE">
            <w:pPr>
              <w:jc w:val="center"/>
              <w:rPr>
                <w:rFonts w:hint="eastAsia" w:ascii="宋体" w:hAnsi="宋体" w:eastAsia="宋体" w:cs="宋体"/>
                <w:i w:val="0"/>
                <w:iCs w:val="0"/>
                <w:color w:val="000000"/>
                <w:sz w:val="20"/>
                <w:szCs w:val="20"/>
                <w:u w:val="none"/>
              </w:rPr>
            </w:pP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5799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BA4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9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19DD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741D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EC26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558C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5E4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1893D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934C4">
            <w:pPr>
              <w:jc w:val="center"/>
              <w:rPr>
                <w:rFonts w:hint="eastAsia" w:ascii="宋体" w:hAnsi="宋体" w:eastAsia="宋体" w:cs="宋体"/>
                <w:i w:val="0"/>
                <w:iCs w:val="0"/>
                <w:color w:val="000000"/>
                <w:sz w:val="20"/>
                <w:szCs w:val="20"/>
                <w:u w:val="none"/>
              </w:rPr>
            </w:pP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CC2F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0F84D">
            <w:pPr>
              <w:jc w:val="center"/>
              <w:rPr>
                <w:rFonts w:hint="eastAsia" w:ascii="宋体" w:hAnsi="宋体" w:eastAsia="宋体" w:cs="宋体"/>
                <w:i w:val="0"/>
                <w:iCs w:val="0"/>
                <w:color w:val="000000"/>
                <w:sz w:val="20"/>
                <w:szCs w:val="20"/>
                <w:u w:val="none"/>
              </w:rPr>
            </w:pPr>
          </w:p>
        </w:tc>
        <w:tc>
          <w:tcPr>
            <w:tcW w:w="19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50BBD9">
            <w:pPr>
              <w:jc w:val="center"/>
              <w:rPr>
                <w:rFonts w:hint="eastAsia" w:ascii="宋体" w:hAnsi="宋体" w:eastAsia="宋体" w:cs="宋体"/>
                <w:i w:val="0"/>
                <w:iCs w:val="0"/>
                <w:color w:val="000000"/>
                <w:sz w:val="20"/>
                <w:szCs w:val="20"/>
                <w:u w:val="none"/>
              </w:rPr>
            </w:pPr>
          </w:p>
        </w:tc>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784F40">
            <w:pPr>
              <w:jc w:val="center"/>
              <w:rPr>
                <w:rFonts w:hint="eastAsia" w:ascii="宋体" w:hAnsi="宋体" w:eastAsia="宋体" w:cs="宋体"/>
                <w:i w:val="0"/>
                <w:iCs w:val="0"/>
                <w:color w:val="000000"/>
                <w:sz w:val="20"/>
                <w:szCs w:val="20"/>
                <w:u w:val="none"/>
              </w:rPr>
            </w:pPr>
          </w:p>
        </w:tc>
        <w:tc>
          <w:tcPr>
            <w:tcW w:w="1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CBA9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D0F7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494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64733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E5E5F">
            <w:pPr>
              <w:jc w:val="center"/>
              <w:rPr>
                <w:rFonts w:hint="eastAsia" w:ascii="宋体" w:hAnsi="宋体" w:eastAsia="宋体" w:cs="宋体"/>
                <w:i w:val="0"/>
                <w:iCs w:val="0"/>
                <w:color w:val="000000"/>
                <w:sz w:val="20"/>
                <w:szCs w:val="20"/>
                <w:u w:val="none"/>
              </w:rPr>
            </w:pP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C876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9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E9D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9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8CFB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248413">
            <w:pPr>
              <w:jc w:val="center"/>
              <w:rPr>
                <w:rFonts w:hint="eastAsia" w:ascii="宋体" w:hAnsi="宋体" w:eastAsia="宋体" w:cs="宋体"/>
                <w:i w:val="0"/>
                <w:iCs w:val="0"/>
                <w:color w:val="000000"/>
                <w:sz w:val="20"/>
                <w:szCs w:val="20"/>
                <w:u w:val="none"/>
              </w:rPr>
            </w:pPr>
          </w:p>
        </w:tc>
        <w:tc>
          <w:tcPr>
            <w:tcW w:w="1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19AD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2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AA9D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45A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36590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3332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584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96858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574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2DBA6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5D662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99AB5">
            <w:pPr>
              <w:jc w:val="center"/>
              <w:rPr>
                <w:rFonts w:hint="eastAsia" w:ascii="宋体" w:hAnsi="宋体" w:eastAsia="宋体" w:cs="宋体"/>
                <w:i w:val="0"/>
                <w:iCs w:val="0"/>
                <w:color w:val="000000"/>
                <w:sz w:val="20"/>
                <w:szCs w:val="20"/>
                <w:u w:val="none"/>
              </w:rPr>
            </w:pPr>
          </w:p>
        </w:tc>
        <w:tc>
          <w:tcPr>
            <w:tcW w:w="5843"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40ACB678">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此项目主要用于园舍维修，改善幼儿园办园条件，保障幼儿园保教工作正常运行。保障3-6岁幼儿接受学前免费教育持续加强，家长满意度、学生满意度大于等于95%。更好地提升幼儿园的整体办园水平，能为孩子们提供更好的教育服务，让他们在幼儿园阶段得到全面发展。</w:t>
            </w:r>
          </w:p>
        </w:tc>
        <w:tc>
          <w:tcPr>
            <w:tcW w:w="5748"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79AB0EB7">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维修LED 大屏：1个、更换纱窗：7m2；维修楼梯墙面：250m2；竣工验收合格率100%；维修完工及时率（%）：100%。项目预算控制率100%；提高教学质量100%；幼儿满意度95%。</w:t>
            </w:r>
          </w:p>
        </w:tc>
      </w:tr>
      <w:tr w14:paraId="79B06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4C9114">
            <w:pPr>
              <w:jc w:val="center"/>
              <w:rPr>
                <w:rFonts w:hint="eastAsia" w:ascii="宋体" w:hAnsi="宋体" w:eastAsia="宋体" w:cs="宋体"/>
                <w:i w:val="0"/>
                <w:iCs w:val="0"/>
                <w:color w:val="000000"/>
                <w:sz w:val="20"/>
                <w:szCs w:val="20"/>
                <w:u w:val="none"/>
              </w:rPr>
            </w:pPr>
          </w:p>
        </w:tc>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C7DF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2F2D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48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2DF2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3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5626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2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FA01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5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3195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EEAD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0C3F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5C8AF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643E6">
            <w:pPr>
              <w:jc w:val="center"/>
              <w:rPr>
                <w:rFonts w:hint="eastAsia" w:ascii="宋体" w:hAnsi="宋体" w:eastAsia="宋体" w:cs="宋体"/>
                <w:i w:val="0"/>
                <w:iCs w:val="0"/>
                <w:color w:val="0000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B37D2">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B036D">
            <w:pPr>
              <w:jc w:val="center"/>
              <w:rPr>
                <w:rFonts w:hint="eastAsia" w:ascii="宋体" w:hAnsi="宋体" w:eastAsia="宋体" w:cs="宋体"/>
                <w:i w:val="0"/>
                <w:iCs w:val="0"/>
                <w:color w:val="000000"/>
                <w:sz w:val="20"/>
                <w:szCs w:val="20"/>
                <w:u w:val="none"/>
              </w:rPr>
            </w:pPr>
          </w:p>
        </w:tc>
        <w:tc>
          <w:tcPr>
            <w:tcW w:w="248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CFE48">
            <w:pPr>
              <w:jc w:val="center"/>
              <w:rPr>
                <w:rFonts w:hint="eastAsia" w:ascii="宋体" w:hAnsi="宋体" w:eastAsia="宋体" w:cs="宋体"/>
                <w:i w:val="0"/>
                <w:iCs w:val="0"/>
                <w:color w:val="000000"/>
                <w:sz w:val="20"/>
                <w:szCs w:val="20"/>
                <w:u w:val="none"/>
              </w:rPr>
            </w:pP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738E2">
            <w:pPr>
              <w:jc w:val="center"/>
              <w:rPr>
                <w:rFonts w:hint="eastAsia" w:ascii="宋体" w:hAnsi="宋体" w:eastAsia="宋体" w:cs="宋体"/>
                <w:i w:val="0"/>
                <w:iCs w:val="0"/>
                <w:color w:val="000000"/>
                <w:sz w:val="20"/>
                <w:szCs w:val="20"/>
                <w:u w:val="none"/>
              </w:rPr>
            </w:pPr>
          </w:p>
        </w:tc>
        <w:tc>
          <w:tcPr>
            <w:tcW w:w="12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D14DC">
            <w:pPr>
              <w:jc w:val="center"/>
              <w:rPr>
                <w:rFonts w:hint="eastAsia" w:ascii="宋体" w:hAnsi="宋体" w:eastAsia="宋体" w:cs="宋体"/>
                <w:i w:val="0"/>
                <w:iCs w:val="0"/>
                <w:color w:val="000000"/>
                <w:sz w:val="20"/>
                <w:szCs w:val="20"/>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50118">
            <w:pPr>
              <w:jc w:val="center"/>
              <w:rPr>
                <w:rFonts w:hint="eastAsia" w:ascii="宋体" w:hAnsi="宋体" w:eastAsia="宋体" w:cs="宋体"/>
                <w:i w:val="0"/>
                <w:iCs w:val="0"/>
                <w:color w:val="000000"/>
                <w:sz w:val="20"/>
                <w:szCs w:val="20"/>
                <w:u w:val="none"/>
              </w:rPr>
            </w:pPr>
          </w:p>
        </w:tc>
        <w:tc>
          <w:tcPr>
            <w:tcW w:w="13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A6419">
            <w:pPr>
              <w:jc w:val="center"/>
              <w:rPr>
                <w:rFonts w:hint="eastAsia" w:ascii="宋体" w:hAnsi="宋体" w:eastAsia="宋体" w:cs="宋体"/>
                <w:i w:val="0"/>
                <w:iCs w:val="0"/>
                <w:color w:val="000000"/>
                <w:sz w:val="20"/>
                <w:szCs w:val="20"/>
                <w:u w:val="none"/>
              </w:rPr>
            </w:pPr>
          </w:p>
        </w:tc>
        <w:tc>
          <w:tcPr>
            <w:tcW w:w="1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6B609">
            <w:pPr>
              <w:jc w:val="center"/>
              <w:rPr>
                <w:rFonts w:hint="eastAsia" w:ascii="宋体" w:hAnsi="宋体" w:eastAsia="宋体" w:cs="宋体"/>
                <w:i w:val="0"/>
                <w:iCs w:val="0"/>
                <w:color w:val="000000"/>
                <w:sz w:val="20"/>
                <w:szCs w:val="20"/>
                <w:u w:val="none"/>
              </w:rPr>
            </w:pPr>
          </w:p>
        </w:tc>
      </w:tr>
      <w:tr w14:paraId="6BEA7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CE0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CB56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98F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48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91B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维修LED 大屏</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0BA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EB6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087B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7CE1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E8858C">
            <w:pPr>
              <w:jc w:val="center"/>
              <w:rPr>
                <w:rFonts w:hint="eastAsia" w:ascii="宋体" w:hAnsi="宋体" w:eastAsia="宋体" w:cs="宋体"/>
                <w:i w:val="0"/>
                <w:iCs w:val="0"/>
                <w:color w:val="000000"/>
                <w:sz w:val="20"/>
                <w:szCs w:val="20"/>
                <w:u w:val="none"/>
              </w:rPr>
            </w:pPr>
          </w:p>
        </w:tc>
      </w:tr>
      <w:tr w14:paraId="32CCD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5A5C9">
            <w:pPr>
              <w:jc w:val="center"/>
              <w:rPr>
                <w:rFonts w:hint="eastAsia" w:ascii="宋体" w:hAnsi="宋体" w:eastAsia="宋体" w:cs="宋体"/>
                <w:i w:val="0"/>
                <w:iCs w:val="0"/>
                <w:color w:val="0000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52B343">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0D9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48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0ED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更换纱窗</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472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=7m2</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BF1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=7m2</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D7F5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FE32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F47E5F">
            <w:pPr>
              <w:jc w:val="center"/>
              <w:rPr>
                <w:rFonts w:hint="eastAsia" w:ascii="宋体" w:hAnsi="宋体" w:eastAsia="宋体" w:cs="宋体"/>
                <w:i w:val="0"/>
                <w:iCs w:val="0"/>
                <w:color w:val="000000"/>
                <w:sz w:val="20"/>
                <w:szCs w:val="20"/>
                <w:u w:val="none"/>
              </w:rPr>
            </w:pPr>
          </w:p>
        </w:tc>
      </w:tr>
      <w:tr w14:paraId="6C0DD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060B9">
            <w:pPr>
              <w:jc w:val="center"/>
              <w:rPr>
                <w:rFonts w:hint="eastAsia" w:ascii="宋体" w:hAnsi="宋体" w:eastAsia="宋体" w:cs="宋体"/>
                <w:i w:val="0"/>
                <w:iCs w:val="0"/>
                <w:color w:val="0000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26A7A">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B36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48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D24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维修楼梯墙面</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E90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=250m2</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FC6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=250m2</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692E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67B1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211207">
            <w:pPr>
              <w:jc w:val="center"/>
              <w:rPr>
                <w:rFonts w:hint="eastAsia" w:ascii="宋体" w:hAnsi="宋体" w:eastAsia="宋体" w:cs="宋体"/>
                <w:i w:val="0"/>
                <w:iCs w:val="0"/>
                <w:color w:val="000000"/>
                <w:sz w:val="20"/>
                <w:szCs w:val="20"/>
                <w:u w:val="none"/>
              </w:rPr>
            </w:pPr>
          </w:p>
        </w:tc>
      </w:tr>
      <w:tr w14:paraId="3F46B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4190D">
            <w:pPr>
              <w:jc w:val="center"/>
              <w:rPr>
                <w:rFonts w:hint="eastAsia" w:ascii="宋体" w:hAnsi="宋体" w:eastAsia="宋体" w:cs="宋体"/>
                <w:i w:val="0"/>
                <w:iCs w:val="0"/>
                <w:color w:val="0000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E87C4">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CB3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48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731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竣工验收合格率（%）</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70B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0DB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918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1498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55F433">
            <w:pPr>
              <w:jc w:val="center"/>
              <w:rPr>
                <w:rFonts w:hint="eastAsia" w:ascii="宋体" w:hAnsi="宋体" w:eastAsia="宋体" w:cs="宋体"/>
                <w:i w:val="0"/>
                <w:iCs w:val="0"/>
                <w:color w:val="000000"/>
                <w:sz w:val="20"/>
                <w:szCs w:val="20"/>
                <w:u w:val="none"/>
              </w:rPr>
            </w:pPr>
          </w:p>
        </w:tc>
      </w:tr>
      <w:tr w14:paraId="31065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1D8B3">
            <w:pPr>
              <w:jc w:val="center"/>
              <w:rPr>
                <w:rFonts w:hint="eastAsia" w:ascii="宋体" w:hAnsi="宋体" w:eastAsia="宋体" w:cs="宋体"/>
                <w:i w:val="0"/>
                <w:iCs w:val="0"/>
                <w:color w:val="0000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D73265">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AA6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48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009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维修完工及时率（%）</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AE2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8B4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C7F9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45F1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FC3EA4">
            <w:pPr>
              <w:jc w:val="center"/>
              <w:rPr>
                <w:rFonts w:hint="eastAsia" w:ascii="宋体" w:hAnsi="宋体" w:eastAsia="宋体" w:cs="宋体"/>
                <w:i w:val="0"/>
                <w:iCs w:val="0"/>
                <w:color w:val="000000"/>
                <w:sz w:val="20"/>
                <w:szCs w:val="20"/>
                <w:u w:val="none"/>
              </w:rPr>
            </w:pPr>
          </w:p>
        </w:tc>
      </w:tr>
      <w:tr w14:paraId="518BF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9A079">
            <w:pPr>
              <w:jc w:val="center"/>
              <w:rPr>
                <w:rFonts w:hint="eastAsia" w:ascii="宋体" w:hAnsi="宋体" w:eastAsia="宋体" w:cs="宋体"/>
                <w:i w:val="0"/>
                <w:iCs w:val="0"/>
                <w:color w:val="000000"/>
                <w:sz w:val="20"/>
                <w:szCs w:val="20"/>
                <w:u w:val="none"/>
              </w:rPr>
            </w:pPr>
          </w:p>
        </w:tc>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1E49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610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48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FC0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项目预算控制率</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A31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659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828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7A91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66F867">
            <w:pPr>
              <w:jc w:val="center"/>
              <w:rPr>
                <w:rFonts w:hint="eastAsia" w:ascii="宋体" w:hAnsi="宋体" w:eastAsia="宋体" w:cs="宋体"/>
                <w:i w:val="0"/>
                <w:iCs w:val="0"/>
                <w:color w:val="000000"/>
                <w:sz w:val="20"/>
                <w:szCs w:val="20"/>
                <w:u w:val="none"/>
              </w:rPr>
            </w:pPr>
          </w:p>
        </w:tc>
      </w:tr>
      <w:tr w14:paraId="00F46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9BFC0">
            <w:pPr>
              <w:jc w:val="center"/>
              <w:rPr>
                <w:rFonts w:hint="eastAsia" w:ascii="宋体" w:hAnsi="宋体" w:eastAsia="宋体" w:cs="宋体"/>
                <w:i w:val="0"/>
                <w:iCs w:val="0"/>
                <w:color w:val="0000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01335">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EAB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248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2D197">
            <w:pPr>
              <w:jc w:val="left"/>
              <w:rPr>
                <w:rFonts w:hint="eastAsia" w:ascii="宋体" w:hAnsi="宋体" w:eastAsia="宋体" w:cs="宋体"/>
                <w:i w:val="0"/>
                <w:iCs w:val="0"/>
                <w:color w:val="000000"/>
                <w:sz w:val="20"/>
                <w:szCs w:val="20"/>
                <w:u w:val="none"/>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D4F77">
            <w:pPr>
              <w:jc w:val="center"/>
              <w:rPr>
                <w:rFonts w:hint="eastAsia" w:ascii="宋体" w:hAnsi="宋体" w:eastAsia="宋体" w:cs="宋体"/>
                <w:i w:val="0"/>
                <w:iCs w:val="0"/>
                <w:color w:val="000000"/>
                <w:sz w:val="20"/>
                <w:szCs w:val="20"/>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DBA09">
            <w:pPr>
              <w:jc w:val="center"/>
              <w:rPr>
                <w:rFonts w:hint="eastAsia" w:ascii="宋体" w:hAnsi="宋体" w:eastAsia="宋体" w:cs="宋体"/>
                <w:i w:val="0"/>
                <w:iCs w:val="0"/>
                <w:color w:val="000000"/>
                <w:sz w:val="20"/>
                <w:szCs w:val="20"/>
                <w:u w:val="none"/>
              </w:rPr>
            </w:pP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1AB917">
            <w:pPr>
              <w:jc w:val="center"/>
              <w:rPr>
                <w:rFonts w:hint="eastAsia" w:ascii="宋体" w:hAnsi="宋体" w:eastAsia="宋体" w:cs="宋体"/>
                <w:i w:val="0"/>
                <w:iCs w:val="0"/>
                <w:color w:val="000000"/>
                <w:sz w:val="20"/>
                <w:szCs w:val="20"/>
                <w:u w:val="none"/>
              </w:rPr>
            </w:pP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5E45F9">
            <w:pPr>
              <w:jc w:val="center"/>
              <w:rPr>
                <w:rFonts w:hint="eastAsia" w:ascii="宋体" w:hAnsi="宋体" w:eastAsia="宋体" w:cs="宋体"/>
                <w:i w:val="0"/>
                <w:iCs w:val="0"/>
                <w:color w:val="000000"/>
                <w:sz w:val="20"/>
                <w:szCs w:val="20"/>
                <w:u w:val="none"/>
              </w:rPr>
            </w:pP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3177D4">
            <w:pPr>
              <w:jc w:val="center"/>
              <w:rPr>
                <w:rFonts w:hint="eastAsia" w:ascii="宋体" w:hAnsi="宋体" w:eastAsia="宋体" w:cs="宋体"/>
                <w:i w:val="0"/>
                <w:iCs w:val="0"/>
                <w:color w:val="000000"/>
                <w:sz w:val="20"/>
                <w:szCs w:val="20"/>
                <w:u w:val="none"/>
              </w:rPr>
            </w:pPr>
          </w:p>
        </w:tc>
      </w:tr>
      <w:tr w14:paraId="34EEA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4653A">
            <w:pPr>
              <w:jc w:val="center"/>
              <w:rPr>
                <w:rFonts w:hint="eastAsia" w:ascii="宋体" w:hAnsi="宋体" w:eastAsia="宋体" w:cs="宋体"/>
                <w:i w:val="0"/>
                <w:iCs w:val="0"/>
                <w:color w:val="0000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086C6">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502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248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BDF43">
            <w:pPr>
              <w:jc w:val="left"/>
              <w:rPr>
                <w:rFonts w:hint="eastAsia" w:ascii="宋体" w:hAnsi="宋体" w:eastAsia="宋体" w:cs="宋体"/>
                <w:i w:val="0"/>
                <w:iCs w:val="0"/>
                <w:color w:val="000000"/>
                <w:sz w:val="20"/>
                <w:szCs w:val="20"/>
                <w:u w:val="none"/>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A95A9">
            <w:pPr>
              <w:jc w:val="center"/>
              <w:rPr>
                <w:rFonts w:hint="eastAsia" w:ascii="宋体" w:hAnsi="宋体" w:eastAsia="宋体" w:cs="宋体"/>
                <w:i w:val="0"/>
                <w:iCs w:val="0"/>
                <w:color w:val="000000"/>
                <w:sz w:val="20"/>
                <w:szCs w:val="20"/>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B51AD">
            <w:pPr>
              <w:jc w:val="center"/>
              <w:rPr>
                <w:rFonts w:hint="eastAsia" w:ascii="宋体" w:hAnsi="宋体" w:eastAsia="宋体" w:cs="宋体"/>
                <w:i w:val="0"/>
                <w:iCs w:val="0"/>
                <w:color w:val="000000"/>
                <w:sz w:val="20"/>
                <w:szCs w:val="20"/>
                <w:u w:val="none"/>
              </w:rPr>
            </w:pP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2ED3B1">
            <w:pPr>
              <w:jc w:val="center"/>
              <w:rPr>
                <w:rFonts w:hint="eastAsia" w:ascii="宋体" w:hAnsi="宋体" w:eastAsia="宋体" w:cs="宋体"/>
                <w:i w:val="0"/>
                <w:iCs w:val="0"/>
                <w:color w:val="000000"/>
                <w:sz w:val="20"/>
                <w:szCs w:val="20"/>
                <w:u w:val="none"/>
              </w:rPr>
            </w:pP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BD9181">
            <w:pPr>
              <w:jc w:val="center"/>
              <w:rPr>
                <w:rFonts w:hint="eastAsia" w:ascii="宋体" w:hAnsi="宋体" w:eastAsia="宋体" w:cs="宋体"/>
                <w:i w:val="0"/>
                <w:iCs w:val="0"/>
                <w:color w:val="000000"/>
                <w:sz w:val="20"/>
                <w:szCs w:val="20"/>
                <w:u w:val="none"/>
              </w:rPr>
            </w:pP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B3DE18">
            <w:pPr>
              <w:jc w:val="center"/>
              <w:rPr>
                <w:rFonts w:hint="eastAsia" w:ascii="宋体" w:hAnsi="宋体" w:eastAsia="宋体" w:cs="宋体"/>
                <w:i w:val="0"/>
                <w:iCs w:val="0"/>
                <w:color w:val="000000"/>
                <w:sz w:val="20"/>
                <w:szCs w:val="20"/>
                <w:u w:val="none"/>
              </w:rPr>
            </w:pPr>
          </w:p>
        </w:tc>
      </w:tr>
      <w:tr w14:paraId="4B183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EB5E4">
            <w:pPr>
              <w:jc w:val="center"/>
              <w:rPr>
                <w:rFonts w:hint="eastAsia" w:ascii="宋体" w:hAnsi="宋体" w:eastAsia="宋体" w:cs="宋体"/>
                <w:i w:val="0"/>
                <w:iCs w:val="0"/>
                <w:color w:val="000000"/>
                <w:sz w:val="20"/>
                <w:szCs w:val="20"/>
                <w:u w:val="none"/>
              </w:rPr>
            </w:pPr>
          </w:p>
        </w:tc>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B503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E16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248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76346">
            <w:pPr>
              <w:jc w:val="left"/>
              <w:rPr>
                <w:rFonts w:hint="eastAsia" w:ascii="宋体" w:hAnsi="宋体" w:eastAsia="宋体" w:cs="宋体"/>
                <w:i w:val="0"/>
                <w:iCs w:val="0"/>
                <w:color w:val="000000"/>
                <w:sz w:val="20"/>
                <w:szCs w:val="20"/>
                <w:u w:val="none"/>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5AAED">
            <w:pPr>
              <w:jc w:val="center"/>
              <w:rPr>
                <w:rFonts w:hint="eastAsia" w:ascii="宋体" w:hAnsi="宋体" w:eastAsia="宋体" w:cs="宋体"/>
                <w:i w:val="0"/>
                <w:iCs w:val="0"/>
                <w:color w:val="000000"/>
                <w:sz w:val="20"/>
                <w:szCs w:val="20"/>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5F1A1">
            <w:pPr>
              <w:jc w:val="center"/>
              <w:rPr>
                <w:rFonts w:hint="eastAsia" w:ascii="宋体" w:hAnsi="宋体" w:eastAsia="宋体" w:cs="宋体"/>
                <w:i w:val="0"/>
                <w:iCs w:val="0"/>
                <w:color w:val="000000"/>
                <w:sz w:val="20"/>
                <w:szCs w:val="20"/>
                <w:u w:val="none"/>
              </w:rPr>
            </w:pP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5E20BF">
            <w:pPr>
              <w:jc w:val="center"/>
              <w:rPr>
                <w:rFonts w:hint="eastAsia" w:ascii="宋体" w:hAnsi="宋体" w:eastAsia="宋体" w:cs="宋体"/>
                <w:i w:val="0"/>
                <w:iCs w:val="0"/>
                <w:color w:val="000000"/>
                <w:sz w:val="20"/>
                <w:szCs w:val="20"/>
                <w:u w:val="none"/>
              </w:rPr>
            </w:pP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9E9DE0">
            <w:pPr>
              <w:jc w:val="center"/>
              <w:rPr>
                <w:rFonts w:hint="eastAsia" w:ascii="宋体" w:hAnsi="宋体" w:eastAsia="宋体" w:cs="宋体"/>
                <w:i w:val="0"/>
                <w:iCs w:val="0"/>
                <w:color w:val="000000"/>
                <w:sz w:val="20"/>
                <w:szCs w:val="20"/>
                <w:u w:val="none"/>
              </w:rPr>
            </w:pP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EB1784">
            <w:pPr>
              <w:jc w:val="center"/>
              <w:rPr>
                <w:rFonts w:hint="eastAsia" w:ascii="宋体" w:hAnsi="宋体" w:eastAsia="宋体" w:cs="宋体"/>
                <w:i w:val="0"/>
                <w:iCs w:val="0"/>
                <w:color w:val="000000"/>
                <w:sz w:val="20"/>
                <w:szCs w:val="20"/>
                <w:u w:val="none"/>
              </w:rPr>
            </w:pPr>
          </w:p>
        </w:tc>
      </w:tr>
      <w:tr w14:paraId="19766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BED4D">
            <w:pPr>
              <w:jc w:val="center"/>
              <w:rPr>
                <w:rFonts w:hint="eastAsia" w:ascii="宋体" w:hAnsi="宋体" w:eastAsia="宋体" w:cs="宋体"/>
                <w:i w:val="0"/>
                <w:iCs w:val="0"/>
                <w:color w:val="0000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1E852">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6BA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48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17A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提高教育教学质量</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2C4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1FE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4108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3B94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B6C615">
            <w:pPr>
              <w:jc w:val="center"/>
              <w:rPr>
                <w:rFonts w:hint="eastAsia" w:ascii="宋体" w:hAnsi="宋体" w:eastAsia="宋体" w:cs="宋体"/>
                <w:i w:val="0"/>
                <w:iCs w:val="0"/>
                <w:color w:val="000000"/>
                <w:sz w:val="20"/>
                <w:szCs w:val="20"/>
                <w:u w:val="none"/>
              </w:rPr>
            </w:pPr>
          </w:p>
        </w:tc>
      </w:tr>
      <w:tr w14:paraId="76F94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980CD">
            <w:pPr>
              <w:jc w:val="center"/>
              <w:rPr>
                <w:rFonts w:hint="eastAsia" w:ascii="宋体" w:hAnsi="宋体" w:eastAsia="宋体" w:cs="宋体"/>
                <w:i w:val="0"/>
                <w:iCs w:val="0"/>
                <w:color w:val="000000"/>
                <w:sz w:val="20"/>
                <w:szCs w:val="20"/>
                <w:u w:val="none"/>
              </w:rPr>
            </w:pPr>
          </w:p>
        </w:tc>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81772">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8F4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248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756E9">
            <w:pPr>
              <w:jc w:val="left"/>
              <w:rPr>
                <w:rFonts w:hint="eastAsia" w:ascii="宋体" w:hAnsi="宋体" w:eastAsia="宋体" w:cs="宋体"/>
                <w:i w:val="0"/>
                <w:iCs w:val="0"/>
                <w:color w:val="000000"/>
                <w:sz w:val="20"/>
                <w:szCs w:val="20"/>
                <w:u w:val="none"/>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6DC2E">
            <w:pPr>
              <w:jc w:val="center"/>
              <w:rPr>
                <w:rFonts w:hint="eastAsia" w:ascii="宋体" w:hAnsi="宋体" w:eastAsia="宋体" w:cs="宋体"/>
                <w:i w:val="0"/>
                <w:iCs w:val="0"/>
                <w:color w:val="000000"/>
                <w:sz w:val="20"/>
                <w:szCs w:val="20"/>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02B7E">
            <w:pPr>
              <w:jc w:val="center"/>
              <w:rPr>
                <w:rFonts w:hint="eastAsia" w:ascii="宋体" w:hAnsi="宋体" w:eastAsia="宋体" w:cs="宋体"/>
                <w:i w:val="0"/>
                <w:iCs w:val="0"/>
                <w:color w:val="000000"/>
                <w:sz w:val="20"/>
                <w:szCs w:val="20"/>
                <w:u w:val="none"/>
              </w:rPr>
            </w:pP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0ADFA0">
            <w:pPr>
              <w:jc w:val="center"/>
              <w:rPr>
                <w:rFonts w:hint="eastAsia" w:ascii="宋体" w:hAnsi="宋体" w:eastAsia="宋体" w:cs="宋体"/>
                <w:i w:val="0"/>
                <w:iCs w:val="0"/>
                <w:color w:val="000000"/>
                <w:sz w:val="20"/>
                <w:szCs w:val="20"/>
                <w:u w:val="none"/>
              </w:rPr>
            </w:pP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C5F527">
            <w:pPr>
              <w:jc w:val="center"/>
              <w:rPr>
                <w:rFonts w:hint="eastAsia" w:ascii="宋体" w:hAnsi="宋体" w:eastAsia="宋体" w:cs="宋体"/>
                <w:i w:val="0"/>
                <w:iCs w:val="0"/>
                <w:color w:val="000000"/>
                <w:sz w:val="20"/>
                <w:szCs w:val="20"/>
                <w:u w:val="none"/>
              </w:rPr>
            </w:pP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0DA3EC">
            <w:pPr>
              <w:jc w:val="center"/>
              <w:rPr>
                <w:rFonts w:hint="eastAsia" w:ascii="宋体" w:hAnsi="宋体" w:eastAsia="宋体" w:cs="宋体"/>
                <w:i w:val="0"/>
                <w:iCs w:val="0"/>
                <w:color w:val="000000"/>
                <w:sz w:val="20"/>
                <w:szCs w:val="20"/>
                <w:u w:val="none"/>
              </w:rPr>
            </w:pPr>
          </w:p>
        </w:tc>
      </w:tr>
      <w:tr w14:paraId="5F27A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71E4C">
            <w:pPr>
              <w:jc w:val="center"/>
              <w:rPr>
                <w:rFonts w:hint="eastAsia" w:ascii="宋体" w:hAnsi="宋体" w:eastAsia="宋体" w:cs="宋体"/>
                <w:i w:val="0"/>
                <w:iCs w:val="0"/>
                <w:color w:val="000000"/>
                <w:sz w:val="20"/>
                <w:szCs w:val="20"/>
                <w:u w:val="none"/>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192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EC5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48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BB5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幼儿满意度</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CE2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670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F673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677D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FDF358">
            <w:pPr>
              <w:jc w:val="center"/>
              <w:rPr>
                <w:rFonts w:hint="eastAsia" w:ascii="宋体" w:hAnsi="宋体" w:eastAsia="宋体" w:cs="宋体"/>
                <w:i w:val="0"/>
                <w:iCs w:val="0"/>
                <w:color w:val="000000"/>
                <w:sz w:val="20"/>
                <w:szCs w:val="20"/>
                <w:u w:val="none"/>
              </w:rPr>
            </w:pPr>
          </w:p>
        </w:tc>
      </w:tr>
      <w:tr w14:paraId="38596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80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D70E8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5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2933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1C65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100.00分</w:t>
            </w:r>
          </w:p>
        </w:tc>
        <w:tc>
          <w:tcPr>
            <w:tcW w:w="16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DF3246">
            <w:pPr>
              <w:jc w:val="center"/>
              <w:rPr>
                <w:rFonts w:hint="eastAsia" w:ascii="宋体" w:hAnsi="宋体" w:eastAsia="宋体" w:cs="宋体"/>
                <w:i w:val="0"/>
                <w:iCs w:val="0"/>
                <w:color w:val="000000"/>
                <w:sz w:val="20"/>
                <w:szCs w:val="20"/>
                <w:u w:val="none"/>
              </w:rPr>
            </w:pPr>
          </w:p>
        </w:tc>
      </w:tr>
    </w:tbl>
    <w:p w14:paraId="73F73A9E">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Times New Roman" w:hAnsi="Times New Roman" w:eastAsia="仿宋_GB2312" w:cs="Times New Roman"/>
          <w:b/>
          <w:bCs/>
          <w:i w:val="0"/>
          <w:iCs w:val="0"/>
          <w:color w:val="000000"/>
          <w:kern w:val="0"/>
          <w:sz w:val="22"/>
          <w:szCs w:val="22"/>
          <w:u w:val="none"/>
          <w:lang w:val="en-US" w:eastAsia="zh-CN" w:bidi="ar"/>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50BED83">
        <w:pPr>
          <w:pStyle w:val="7"/>
          <w:jc w:val="center"/>
        </w:pPr>
        <w:r>
          <w:fldChar w:fldCharType="begin"/>
        </w:r>
        <w:r>
          <w:instrText xml:space="preserve">PAGE   \* MERGEFORMAT</w:instrText>
        </w:r>
        <w:r>
          <w:fldChar w:fldCharType="separate"/>
        </w:r>
        <w:r>
          <w:rPr>
            <w:lang w:val="zh-CN"/>
          </w:rPr>
          <w:t>13</w:t>
        </w:r>
        <w:r>
          <w:fldChar w:fldCharType="end"/>
        </w:r>
      </w:p>
    </w:sdtContent>
  </w:sdt>
  <w:p w14:paraId="38431AD2">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B772C1"/>
    <w:multiLevelType w:val="singleLevel"/>
    <w:tmpl w:val="A6B772C1"/>
    <w:lvl w:ilvl="0" w:tentative="0">
      <w:start w:val="2"/>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08DD271A"/>
    <w:multiLevelType w:val="singleLevel"/>
    <w:tmpl w:val="08DD271A"/>
    <w:lvl w:ilvl="0" w:tentative="0">
      <w:start w:val="1"/>
      <w:numFmt w:val="decimal"/>
      <w:lvlText w:val="%1."/>
      <w:lvlJc w:val="left"/>
      <w:pPr>
        <w:tabs>
          <w:tab w:val="left" w:pos="312"/>
        </w:tabs>
      </w:p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1"/>
  </w:num>
  <w:num w:numId="3">
    <w:abstractNumId w:val="5"/>
  </w:num>
  <w:num w:numId="4">
    <w:abstractNumId w:val="4"/>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9E2CFB"/>
    <w:rsid w:val="03EC461B"/>
    <w:rsid w:val="04E937D1"/>
    <w:rsid w:val="05EF1C96"/>
    <w:rsid w:val="071A5591"/>
    <w:rsid w:val="07397B77"/>
    <w:rsid w:val="0AD007F3"/>
    <w:rsid w:val="0B5C479C"/>
    <w:rsid w:val="0BEE1578"/>
    <w:rsid w:val="0D082A6E"/>
    <w:rsid w:val="0E2A60B8"/>
    <w:rsid w:val="0E3C619F"/>
    <w:rsid w:val="0F6273CA"/>
    <w:rsid w:val="100F38EC"/>
    <w:rsid w:val="11170296"/>
    <w:rsid w:val="125B36A2"/>
    <w:rsid w:val="12C66037"/>
    <w:rsid w:val="12CD1ABC"/>
    <w:rsid w:val="13471461"/>
    <w:rsid w:val="13B90F01"/>
    <w:rsid w:val="14414AE5"/>
    <w:rsid w:val="155E4C4D"/>
    <w:rsid w:val="181066D2"/>
    <w:rsid w:val="1C671E73"/>
    <w:rsid w:val="1D322C47"/>
    <w:rsid w:val="1D500637"/>
    <w:rsid w:val="1DD45AAC"/>
    <w:rsid w:val="22290DFD"/>
    <w:rsid w:val="22EC04AF"/>
    <w:rsid w:val="23616034"/>
    <w:rsid w:val="23696C97"/>
    <w:rsid w:val="24480FA2"/>
    <w:rsid w:val="25227A45"/>
    <w:rsid w:val="25696CE7"/>
    <w:rsid w:val="268A3AF4"/>
    <w:rsid w:val="26AC3A6A"/>
    <w:rsid w:val="2B9D7E25"/>
    <w:rsid w:val="2C7C7A3B"/>
    <w:rsid w:val="2F364819"/>
    <w:rsid w:val="2FD63906"/>
    <w:rsid w:val="30A8101F"/>
    <w:rsid w:val="324B3330"/>
    <w:rsid w:val="3275657E"/>
    <w:rsid w:val="33454B85"/>
    <w:rsid w:val="34E008D9"/>
    <w:rsid w:val="36C919C5"/>
    <w:rsid w:val="37215DAE"/>
    <w:rsid w:val="38CA40DD"/>
    <w:rsid w:val="38E66069"/>
    <w:rsid w:val="395F2B56"/>
    <w:rsid w:val="3B482032"/>
    <w:rsid w:val="3BBA0580"/>
    <w:rsid w:val="3BECE841"/>
    <w:rsid w:val="3CDE204C"/>
    <w:rsid w:val="3D363C36"/>
    <w:rsid w:val="3E9C3F6D"/>
    <w:rsid w:val="3FF7797D"/>
    <w:rsid w:val="40F17A06"/>
    <w:rsid w:val="40FC5BAD"/>
    <w:rsid w:val="42F16CBA"/>
    <w:rsid w:val="43100499"/>
    <w:rsid w:val="46690BD8"/>
    <w:rsid w:val="478D4585"/>
    <w:rsid w:val="488B00E4"/>
    <w:rsid w:val="49F70BF1"/>
    <w:rsid w:val="4B4340EE"/>
    <w:rsid w:val="4EAD0021"/>
    <w:rsid w:val="4FF9569C"/>
    <w:rsid w:val="503D507A"/>
    <w:rsid w:val="51FA74D0"/>
    <w:rsid w:val="52AA4A52"/>
    <w:rsid w:val="539D3AD1"/>
    <w:rsid w:val="553F1687"/>
    <w:rsid w:val="55491426"/>
    <w:rsid w:val="56F01BF6"/>
    <w:rsid w:val="581568FA"/>
    <w:rsid w:val="59943D66"/>
    <w:rsid w:val="59E051FD"/>
    <w:rsid w:val="59E6355E"/>
    <w:rsid w:val="5B821531"/>
    <w:rsid w:val="5BC72C2C"/>
    <w:rsid w:val="5BFF6039"/>
    <w:rsid w:val="5CB92345"/>
    <w:rsid w:val="5D76A616"/>
    <w:rsid w:val="5D7F20B9"/>
    <w:rsid w:val="5DAC7D0E"/>
    <w:rsid w:val="5E1A1500"/>
    <w:rsid w:val="5F0C633D"/>
    <w:rsid w:val="5F245E25"/>
    <w:rsid w:val="5F98B5AF"/>
    <w:rsid w:val="5FE733F7"/>
    <w:rsid w:val="5FFE8511"/>
    <w:rsid w:val="5FFEACE2"/>
    <w:rsid w:val="609D5BF6"/>
    <w:rsid w:val="61073070"/>
    <w:rsid w:val="61B9080E"/>
    <w:rsid w:val="61DF3FED"/>
    <w:rsid w:val="62606CE8"/>
    <w:rsid w:val="642B176B"/>
    <w:rsid w:val="643EE26D"/>
    <w:rsid w:val="656019A0"/>
    <w:rsid w:val="65F242EE"/>
    <w:rsid w:val="666D7E19"/>
    <w:rsid w:val="67E4235D"/>
    <w:rsid w:val="681D13CB"/>
    <w:rsid w:val="68376930"/>
    <w:rsid w:val="68F91E38"/>
    <w:rsid w:val="6B3158B9"/>
    <w:rsid w:val="6B8238D6"/>
    <w:rsid w:val="6BA02A3F"/>
    <w:rsid w:val="6C105349"/>
    <w:rsid w:val="6C1E5A53"/>
    <w:rsid w:val="6F5C41AC"/>
    <w:rsid w:val="6FAF6C78"/>
    <w:rsid w:val="6FFD53ED"/>
    <w:rsid w:val="716167CC"/>
    <w:rsid w:val="718A7AD1"/>
    <w:rsid w:val="71A63DAB"/>
    <w:rsid w:val="72A44BC2"/>
    <w:rsid w:val="7317C656"/>
    <w:rsid w:val="734ED73F"/>
    <w:rsid w:val="73C82B32"/>
    <w:rsid w:val="73F94DAE"/>
    <w:rsid w:val="74220495"/>
    <w:rsid w:val="747D1B6F"/>
    <w:rsid w:val="749E5641"/>
    <w:rsid w:val="75C554F1"/>
    <w:rsid w:val="76271066"/>
    <w:rsid w:val="77FD8BE9"/>
    <w:rsid w:val="78000AED"/>
    <w:rsid w:val="78036054"/>
    <w:rsid w:val="79A9BD3F"/>
    <w:rsid w:val="7AC5270E"/>
    <w:rsid w:val="7B776F12"/>
    <w:rsid w:val="7BFFFDD0"/>
    <w:rsid w:val="7C336E5F"/>
    <w:rsid w:val="7C8D4919"/>
    <w:rsid w:val="7CD2376D"/>
    <w:rsid w:val="7D7A5F86"/>
    <w:rsid w:val="7E4B683A"/>
    <w:rsid w:val="7E576649"/>
    <w:rsid w:val="7E5E656D"/>
    <w:rsid w:val="7E777DB7"/>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10407</Words>
  <Characters>10953</Characters>
  <Lines>58</Lines>
  <Paragraphs>16</Paragraphs>
  <TotalTime>6</TotalTime>
  <ScaleCrop>false</ScaleCrop>
  <LinksUpToDate>false</LinksUpToDate>
  <CharactersWithSpaces>10977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T</cp:lastModifiedBy>
  <dcterms:modified xsi:type="dcterms:W3CDTF">2025-09-19T09:24:07Z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DED757DDF1F54957ACC9FD3AEE5781D9</vt:lpwstr>
  </property>
  <property fmtid="{D5CDD505-2E9C-101B-9397-08002B2CF9AE}" pid="4" name="KSOTemplateDocerSaveRecord">
    <vt:lpwstr>eyJoZGlkIjoiZTA5ZjRmYmUwZDBlOTg4NmNkMmE5MmFiNTdjZGMwZDUiLCJ1c2VySWQiOiIxNDE0NTMxNzI1In0=</vt:lpwstr>
  </property>
</Properties>
</file>