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昌州财教[2023]92号2024年中央义务教育薄弱环节改善与能力提升补助资金</w:t>
      </w:r>
    </w:p>
    <w:p>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项目支出绩效评价报告</w:t>
      </w:r>
    </w:p>
    <w:p>
      <w:pPr>
        <w:spacing w:line="540" w:lineRule="exact"/>
        <w:jc w:val="center"/>
        <w:rPr>
          <w:rFonts w:hint="default" w:ascii="Times New Roman" w:hAnsi="Times New Roman" w:eastAsia="华文中宋" w:cs="Times New Roman"/>
          <w:b/>
          <w:kern w:val="0"/>
          <w:sz w:val="52"/>
          <w:szCs w:val="52"/>
          <w:highlight w:val="none"/>
        </w:rPr>
      </w:pPr>
    </w:p>
    <w:p>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pStyle w:val="10"/>
        <w:rPr>
          <w:rFonts w:hint="default" w:ascii="Times New Roman" w:hAnsi="Times New Roman" w:cs="Times New Roman"/>
          <w:highlight w:val="none"/>
        </w:rPr>
      </w:pP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Fonts w:hint="default" w:ascii="Times New Roman" w:hAnsi="Times New Roman" w:eastAsia="仿宋_GB2312" w:cs="Times New Roman"/>
          <w:kern w:val="0"/>
          <w:sz w:val="30"/>
          <w:szCs w:val="30"/>
          <w:highlight w:val="none"/>
        </w:rPr>
      </w:pPr>
    </w:p>
    <w:p>
      <w:pPr>
        <w:spacing w:line="700" w:lineRule="exact"/>
        <w:ind w:left="1796" w:leftChars="684" w:hanging="360" w:hangingChars="1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项目名称：昌州财教[2023]92号2024年中央义务教育薄弱环节改善与能力提升补助资金</w:t>
      </w:r>
    </w:p>
    <w:p>
      <w:pPr>
        <w:spacing w:line="700" w:lineRule="exact"/>
        <w:ind w:firstLine="1440" w:firstLineChars="400"/>
        <w:jc w:val="left"/>
        <w:rPr>
          <w:rFonts w:hint="eastAsia"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val="en-US" w:eastAsia="zh-CN"/>
        </w:rPr>
        <w:t>奇台县第五中学</w:t>
      </w:r>
    </w:p>
    <w:p>
      <w:pPr>
        <w:spacing w:line="700" w:lineRule="exact"/>
        <w:ind w:firstLine="1440" w:firstLineChars="400"/>
        <w:jc w:val="left"/>
        <w:rPr>
          <w:rFonts w:hint="eastAsia"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val="en-US" w:eastAsia="zh-CN"/>
        </w:rPr>
        <w:t>奇台县第五中学</w:t>
      </w:r>
    </w:p>
    <w:p>
      <w:pPr>
        <w:spacing w:line="700" w:lineRule="exact"/>
        <w:ind w:firstLine="1440" w:firstLineChars="400"/>
        <w:jc w:val="left"/>
        <w:rPr>
          <w:rFonts w:hint="eastAsia"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val="en-US" w:eastAsia="zh-CN"/>
        </w:rPr>
        <w:t>马永平</w:t>
      </w:r>
    </w:p>
    <w:p>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5</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6</w:t>
      </w:r>
      <w:r>
        <w:rPr>
          <w:rFonts w:hint="default" w:ascii="Times New Roman" w:hAnsi="Times New Roman" w:eastAsia="仿宋_GB2312" w:cs="Times New Roman"/>
          <w:kern w:val="0"/>
          <w:sz w:val="36"/>
          <w:szCs w:val="36"/>
          <w:highlight w:val="none"/>
        </w:rPr>
        <w:t>日</w:t>
      </w:r>
    </w:p>
    <w:p>
      <w:pPr>
        <w:spacing w:line="540" w:lineRule="exact"/>
        <w:jc w:val="center"/>
        <w:rPr>
          <w:rFonts w:hint="default" w:ascii="Times New Roman" w:hAnsi="Times New Roman" w:eastAsia="仿宋_GB2312" w:cs="Times New Roman"/>
          <w:kern w:val="0"/>
          <w:sz w:val="30"/>
          <w:szCs w:val="30"/>
          <w:highlight w:val="none"/>
        </w:rPr>
      </w:pPr>
    </w:p>
    <w:p>
      <w:pPr>
        <w:spacing w:line="540" w:lineRule="exact"/>
        <w:rPr>
          <w:rStyle w:val="16"/>
          <w:rFonts w:hint="default" w:ascii="Times New Roman" w:hAnsi="Times New Roman" w:eastAsia="黑体" w:cs="Times New Roman"/>
          <w:b w:val="0"/>
          <w:spacing w:val="-4"/>
          <w:sz w:val="32"/>
          <w:szCs w:val="32"/>
          <w:highlight w:val="none"/>
        </w:rPr>
      </w:pPr>
    </w:p>
    <w:p>
      <w:pPr>
        <w:spacing w:line="540" w:lineRule="exact"/>
        <w:ind w:firstLine="640"/>
        <w:rPr>
          <w:rStyle w:val="16"/>
          <w:rFonts w:hint="default" w:ascii="Times New Roman" w:hAnsi="Times New Roman" w:eastAsia="黑体" w:cs="Times New Roman"/>
          <w:b w:val="0"/>
          <w:spacing w:val="-4"/>
          <w:sz w:val="32"/>
          <w:szCs w:val="32"/>
          <w:highlight w:val="none"/>
        </w:rPr>
      </w:pPr>
    </w:p>
    <w:p>
      <w:pPr>
        <w:spacing w:line="540" w:lineRule="exact"/>
        <w:rPr>
          <w:rStyle w:val="16"/>
          <w:rFonts w:hint="default" w:ascii="Times New Roman" w:hAnsi="Times New Roman" w:eastAsia="黑体" w:cs="Times New Roman"/>
          <w:b w:val="0"/>
          <w:spacing w:val="-4"/>
          <w:sz w:val="32"/>
          <w:szCs w:val="32"/>
          <w:highlight w:val="none"/>
        </w:rPr>
      </w:pPr>
    </w:p>
    <w:p>
      <w:pPr>
        <w:spacing w:line="560" w:lineRule="exact"/>
        <w:ind w:firstLine="640" w:firstLineChars="200"/>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pPr>
        <w:spacing w:line="560" w:lineRule="exact"/>
        <w:ind w:firstLine="600" w:firstLineChars="200"/>
        <w:rPr>
          <w:rFonts w:hint="default" w:ascii="Times New Roman" w:hAnsi="Times New Roman" w:eastAsia="仿宋_GB2312" w:cs="Times New Roman"/>
          <w:sz w:val="30"/>
          <w:szCs w:val="30"/>
          <w:highlight w:val="none"/>
          <w:lang w:val="en-US" w:eastAsia="zh-CN"/>
        </w:rPr>
      </w:pPr>
      <w:r>
        <w:rPr>
          <w:rFonts w:hint="eastAsia" w:eastAsia="仿宋_GB2312" w:cs="Times New Roman"/>
          <w:sz w:val="30"/>
          <w:szCs w:val="30"/>
          <w:highlight w:val="none"/>
          <w:lang w:val="en-US" w:eastAsia="zh-CN"/>
        </w:rPr>
        <w:t>按</w:t>
      </w:r>
      <w:r>
        <w:rPr>
          <w:rFonts w:hint="default" w:ascii="Times New Roman" w:hAnsi="Times New Roman" w:eastAsia="仿宋_GB2312" w:cs="Times New Roman"/>
          <w:sz w:val="30"/>
          <w:szCs w:val="30"/>
          <w:highlight w:val="none"/>
          <w:lang w:val="en-US" w:eastAsia="zh-CN"/>
        </w:rPr>
        <w:t>照党中央、国务院关于加强县域义务教育建设的决策部署，为整体提升办学水平，更好贯彻执行党和国家、上级党委、政府有关教育工作和思想政治工作的方针、政策和法规，落实全县教育发展战略和发展规划，根据自治区财政厅《关于提前下达2024年中央义务教育薄弱环节改善与能力提升补助资金预算的通知》（新财教【2023】239号）文件，昌州财教【2023】92号《关于提前下达2024年中央义务教育薄弱环节改善与能力提升补助资金预算的通知》预算安排表，此次共拨付2024年义务教育薄弱环节改善与能力提升补助资金经费113万元。</w:t>
      </w:r>
    </w:p>
    <w:p>
      <w:pPr>
        <w:pStyle w:val="10"/>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pPr>
        <w:spacing w:line="560" w:lineRule="exact"/>
        <w:ind w:firstLine="600" w:firstLineChars="200"/>
        <w:rPr>
          <w:rFonts w:hint="default" w:ascii="Times New Roman" w:hAnsi="Times New Roman" w:eastAsia="仿宋_GB2312" w:cs="Times New Roman"/>
          <w:sz w:val="30"/>
          <w:szCs w:val="30"/>
          <w:highlight w:val="none"/>
          <w:lang w:val="en-US" w:eastAsia="zh-CN"/>
        </w:rPr>
      </w:pPr>
      <w:r>
        <w:rPr>
          <w:rFonts w:hint="default" w:ascii="Times New Roman" w:hAnsi="Times New Roman" w:eastAsia="仿宋_GB2312" w:cs="Times New Roman"/>
          <w:sz w:val="30"/>
          <w:szCs w:val="30"/>
          <w:highlight w:val="none"/>
          <w:lang w:val="en-US" w:eastAsia="zh-CN"/>
        </w:rPr>
        <w:t>项目主要内容：2024年中央义务教育薄弱环节改善与能力提升补助资金113万元。主要用于录播教室改造，购置教师机、体音美器材、实验室器材、护眼灯等方面的支出。</w:t>
      </w:r>
    </w:p>
    <w:p>
      <w:pPr>
        <w:spacing w:line="560" w:lineRule="exact"/>
        <w:ind w:firstLine="640" w:firstLineChars="200"/>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项目实施情况：</w:t>
      </w:r>
      <w:r>
        <w:rPr>
          <w:rFonts w:hint="default" w:ascii="Times New Roman" w:hAnsi="Times New Roman" w:eastAsia="仿宋_GB2312" w:cs="Times New Roman"/>
          <w:sz w:val="32"/>
          <w:szCs w:val="32"/>
          <w:highlight w:val="none"/>
          <w:lang w:val="en-US" w:eastAsia="zh-CN"/>
        </w:rPr>
        <w:t>此项目实施共投入资金113万元。主要用于购买教学、实验器材，其中包括计算机、饮水机、体音美器材、实验室器材护眼灯设备5类，</w:t>
      </w:r>
      <w:r>
        <w:rPr>
          <w:rFonts w:hint="eastAsia" w:eastAsia="仿宋_GB2312" w:cs="Times New Roman"/>
          <w:sz w:val="32"/>
          <w:szCs w:val="32"/>
          <w:highlight w:val="none"/>
          <w:lang w:val="en-US" w:eastAsia="zh-CN"/>
        </w:rPr>
        <w:t>该项目已全部完成实施，设施设备已经全部投入使用</w:t>
      </w:r>
      <w:r>
        <w:rPr>
          <w:rFonts w:hint="eastAsia" w:eastAsia="仿宋_GB2312" w:cs="Times New Roman"/>
          <w:color w:val="0000FF"/>
          <w:sz w:val="30"/>
          <w:szCs w:val="30"/>
          <w:highlight w:val="none"/>
          <w:lang w:val="en-US" w:eastAsia="zh-CN"/>
        </w:rPr>
        <w:t>。</w:t>
      </w:r>
    </w:p>
    <w:p>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113</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color w:val="auto"/>
          <w:sz w:val="32"/>
          <w:szCs w:val="32"/>
          <w:highlight w:val="none"/>
          <w:lang w:val="en-US" w:eastAsia="zh-CN"/>
        </w:rPr>
        <w:t>113</w:t>
      </w:r>
      <w:r>
        <w:rPr>
          <w:rFonts w:hint="default" w:ascii="Times New Roman" w:hAnsi="Times New Roman" w:eastAsia="仿宋_GB2312" w:cs="Times New Roman"/>
          <w:sz w:val="32"/>
          <w:szCs w:val="32"/>
          <w:highlight w:val="none"/>
          <w:lang w:val="en-US" w:eastAsia="zh-CN"/>
        </w:rPr>
        <w:t>万元，该项目资金已全部落实到位，资金来源为财政拨款。</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color w:val="auto"/>
          <w:sz w:val="32"/>
          <w:szCs w:val="32"/>
          <w:highlight w:val="none"/>
          <w:lang w:val="en-US" w:eastAsia="zh-CN"/>
        </w:rPr>
        <w:t>113</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113</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113</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%，主要用于：主要用于购买教学、实验器材，其中包括计算机、饮水机、体音美器材、实验室器材护眼灯设备5类。</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pPr>
        <w:spacing w:line="560" w:lineRule="exact"/>
        <w:ind w:firstLine="640" w:firstLineChars="20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r>
        <w:rPr>
          <w:rFonts w:hint="eastAsia" w:eastAsia="仿宋_GB2312" w:cs="Times New Roman"/>
          <w:sz w:val="32"/>
          <w:szCs w:val="32"/>
          <w:highlight w:val="none"/>
          <w:lang w:eastAsia="zh-CN"/>
        </w:rPr>
        <w:t>：</w:t>
      </w:r>
    </w:p>
    <w:p>
      <w:pPr>
        <w:spacing w:line="560" w:lineRule="exact"/>
        <w:ind w:firstLine="640" w:firstLineChars="20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昌州财教【2023】92号《关于提前下达2024年中央义务教育薄弱环节改善与能力提升补助资金预算的通知》预算安排表，此次共拨付2024年义务教育薄弱环节改善与能力提升补助资金经费113万元。购买设备5类，政府采购率大于等于100%，设备质量合格率和验收率大于等于100%，设备采购完成时间2024年12月前，设备采购成本控制率小于等于113万元，设备利用率大于等于100%，提高学生学习环境，使学生和老师满意度大于等于9</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w:t>
      </w:r>
    </w:p>
    <w:p>
      <w:pPr>
        <w:spacing w:line="560" w:lineRule="exact"/>
        <w:ind w:firstLine="640" w:firstLineChars="20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阶段性目标</w:t>
      </w:r>
      <w:r>
        <w:rPr>
          <w:rFonts w:hint="eastAsia" w:eastAsia="仿宋_GB2312" w:cs="Times New Roman"/>
          <w:sz w:val="32"/>
          <w:szCs w:val="32"/>
          <w:highlight w:val="none"/>
          <w:lang w:eastAsia="zh-CN"/>
        </w:rPr>
        <w:t>：</w:t>
      </w:r>
      <w:r>
        <w:rPr>
          <w:rFonts w:hint="eastAsia" w:eastAsia="仿宋_GB2312" w:cs="Times New Roman"/>
          <w:sz w:val="32"/>
          <w:szCs w:val="32"/>
          <w:highlight w:val="none"/>
          <w:lang w:val="en-US" w:eastAsia="zh-CN"/>
        </w:rPr>
        <w:t>截止2024年8月31日，该项目要完成全部招标采购，资金执行数大于等于25.96万元，设备购置数量大于等于3类，</w:t>
      </w:r>
      <w:r>
        <w:rPr>
          <w:rFonts w:hint="default" w:ascii="Times New Roman" w:hAnsi="Times New Roman" w:eastAsia="仿宋_GB2312" w:cs="Times New Roman"/>
          <w:sz w:val="32"/>
          <w:szCs w:val="32"/>
          <w:highlight w:val="none"/>
        </w:rPr>
        <w:t>设备质量合格率和验收率大于等于100%，设备采购成本控制率小于等于113万元，设备利用率大于等于100%，提高学生学习环境，使学生和老师满意度大于等于9</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w:t>
      </w:r>
    </w:p>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在评价指标体系的构建上，充分考虑了项目的性质、目标以及预期成果，选取了具有代表性和可衡量性的关键指标，涵盖了购置设备数量</w:t>
      </w:r>
      <w:r>
        <w:rPr>
          <w:rFonts w:hint="eastAsia" w:eastAsia="仿宋_GB2312" w:cs="Times New Roman"/>
          <w:sz w:val="32"/>
          <w:szCs w:val="32"/>
          <w:highlight w:val="none"/>
          <w:lang w:val="en-US" w:eastAsia="zh-CN"/>
        </w:rPr>
        <w:t>、政府采购率、设备质量合格率、设备验收合格率、设备采购完成时间、项目预算控制率、设备利用率、是否有效提高学习环境</w:t>
      </w:r>
      <w:r>
        <w:rPr>
          <w:rFonts w:hint="default" w:ascii="Times New Roman" w:hAnsi="Times New Roman" w:eastAsia="仿宋_GB2312" w:cs="Times New Roman"/>
          <w:sz w:val="32"/>
          <w:szCs w:val="32"/>
          <w:highlight w:val="none"/>
          <w:lang w:val="en-US" w:eastAsia="zh-CN"/>
        </w:rPr>
        <w:t>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w:t>
      </w:r>
      <w:r>
        <w:rPr>
          <w:rFonts w:hint="default" w:ascii="Times New Roman" w:hAnsi="Times New Roman" w:eastAsia="仿宋_GB2312" w:cs="Times New Roman"/>
          <w:sz w:val="32"/>
          <w:szCs w:val="32"/>
          <w:highlight w:val="none"/>
          <w:lang w:val="en-US" w:eastAsia="zh-CN"/>
        </w:rPr>
        <w:t>购置设备数量</w:t>
      </w:r>
      <w:r>
        <w:rPr>
          <w:rFonts w:hint="eastAsia" w:eastAsia="仿宋_GB2312" w:cs="Times New Roman"/>
          <w:sz w:val="32"/>
          <w:szCs w:val="32"/>
          <w:highlight w:val="none"/>
          <w:lang w:val="en-US" w:eastAsia="zh-CN"/>
        </w:rPr>
        <w:t>、政府采购率、设备质量合格率、设备验收合格率、设备采购完成时间、项目预算控制率、设备利用率、是否有效提高学习环境</w:t>
      </w:r>
      <w:r>
        <w:rPr>
          <w:rFonts w:hint="default" w:ascii="Times New Roman" w:hAnsi="Times New Roman" w:eastAsia="仿宋_GB2312" w:cs="Times New Roman"/>
          <w:sz w:val="32"/>
          <w:szCs w:val="32"/>
          <w:highlight w:val="none"/>
        </w:rPr>
        <w:t>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本项目预算绩效评价报告的评价对象是昌州财教[2023]92号2024年中央义务教育薄弱环节改善与能力提升补助资金及其预算执行情况。该项目由</w:t>
      </w:r>
      <w:r>
        <w:rPr>
          <w:rFonts w:hint="eastAsia" w:ascii="Times New Roman" w:hAnsi="Times New Roman" w:eastAsia="仿宋_GB2312" w:cs="Times New Roman"/>
          <w:b w:val="0"/>
          <w:bCs w:val="0"/>
          <w:highlight w:val="none"/>
          <w:lang w:val="en-US" w:eastAsia="zh-CN"/>
        </w:rPr>
        <w:t>奇台县第五中学</w:t>
      </w:r>
      <w:r>
        <w:rPr>
          <w:rFonts w:hint="default" w:ascii="Times New Roman" w:hAnsi="Times New Roman" w:eastAsia="仿宋_GB2312" w:cs="Times New Roman"/>
          <w:b w:val="0"/>
          <w:bCs w:val="0"/>
          <w:highlight w:val="none"/>
        </w:rPr>
        <w:t>负责实施，旨在</w:t>
      </w:r>
      <w:r>
        <w:rPr>
          <w:rFonts w:hint="default" w:ascii="Times New Roman" w:hAnsi="Times New Roman" w:eastAsia="仿宋_GB2312" w:cs="Times New Roman"/>
          <w:b w:val="0"/>
          <w:bCs w:val="0"/>
          <w:highlight w:val="none"/>
          <w:lang w:val="en-US" w:eastAsia="zh-CN"/>
        </w:rPr>
        <w:t>购买设备5类，提高学生学习环境，使学生和老师满意度大于等于9</w:t>
      </w:r>
      <w:r>
        <w:rPr>
          <w:rFonts w:hint="eastAsia" w:ascii="Times New Roman" w:hAnsi="Times New Roman" w:eastAsia="仿宋_GB2312" w:cs="Times New Roman"/>
          <w:b w:val="0"/>
          <w:bCs w:val="0"/>
          <w:highlight w:val="none"/>
          <w:lang w:val="en-US" w:eastAsia="zh-CN"/>
        </w:rPr>
        <w:t>5</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113</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0"/>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0"/>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4</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w:t>
      </w:r>
      <w:r>
        <w:rPr>
          <w:rFonts w:hint="eastAsia" w:ascii="Times New Roman" w:hAnsi="Times New Roman" w:eastAsia="仿宋_GB2312" w:cs="Times New Roman"/>
          <w:b w:val="0"/>
          <w:bCs w:val="0"/>
          <w:highlight w:val="none"/>
          <w:lang w:val="en-US" w:eastAsia="zh-CN"/>
        </w:rPr>
        <w:t>教育教学</w:t>
      </w:r>
      <w:r>
        <w:rPr>
          <w:rFonts w:hint="default" w:ascii="Times New Roman" w:hAnsi="Times New Roman" w:eastAsia="仿宋_GB2312" w:cs="Times New Roman"/>
          <w:b w:val="0"/>
          <w:bCs w:val="0"/>
          <w:highlight w:val="none"/>
        </w:rPr>
        <w:t>等方面的综合影响。</w:t>
      </w:r>
    </w:p>
    <w:p>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pPr>
        <w:pStyle w:val="1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w:t>
      </w:r>
      <w:r>
        <w:rPr>
          <w:rFonts w:hint="eastAsia"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0分，项目产出权重为40分，项目效益权重为</w:t>
      </w:r>
      <w:r>
        <w:rPr>
          <w:rFonts w:hint="eastAsia" w:eastAsia="仿宋_GB2312" w:cs="Times New Roman"/>
          <w:color w:val="000000"/>
          <w:spacing w:val="17"/>
          <w:sz w:val="32"/>
          <w:szCs w:val="32"/>
          <w:highlight w:val="none"/>
          <w:lang w:val="en-US" w:eastAsia="zh-CN"/>
        </w:rPr>
        <w:t>3</w:t>
      </w:r>
      <w:r>
        <w:rPr>
          <w:rFonts w:hint="default" w:ascii="Times New Roman" w:hAnsi="Times New Roman" w:eastAsia="仿宋_GB2312" w:cs="Times New Roman"/>
          <w:color w:val="000000"/>
          <w:spacing w:val="17"/>
          <w:sz w:val="32"/>
          <w:szCs w:val="32"/>
          <w:highlight w:val="none"/>
        </w:rPr>
        <w:t>0分。</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0"/>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10"/>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 xml:space="preserve">（一）成本效益分析法。是指将投入与产出、效益进行关联性分析的方法。 </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（二）比较法。是指将实施情况与绩效目标、历史情况、不同部门和地区同类支出情况进行比较的方法。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（三）因素分析法。是指综合分析影响绩效目标实现、实施效果的内外部因素的方法。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（四）最低成本法。是指在绩效目标确定的前提下，成本最小者为优的方法。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（五）公众评判法。是指通过专家评估、公众问卷及抽样调查等方式进行评判的方法。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（六）标杆管理法。是指以国内外同行业中较高的绩效水平为标杆进行评判的方法。</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（七）其他评价方法。</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r>
        <w:rPr>
          <w:rFonts w:hint="eastAsia"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指以预先制定的目标、计划、预算、定额等作为评价标准。</w:t>
      </w:r>
    </w:p>
    <w:p>
      <w:pPr>
        <w:pStyle w:val="10"/>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3"/>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default" w:ascii="Times New Roman" w:hAnsi="Times New Roman" w:eastAsia="仿宋_GB2312" w:cs="Times New Roman"/>
          <w:color w:val="auto"/>
          <w:sz w:val="32"/>
          <w:szCs w:val="32"/>
          <w:highlight w:val="none"/>
        </w:rPr>
        <w:t>昌州财教[2023]92号2024年中央义务教育薄弱环节改善与能力提升补助资金</w:t>
      </w:r>
      <w:r>
        <w:rPr>
          <w:rFonts w:hint="default" w:ascii="Times New Roman" w:hAnsi="Times New Roman" w:eastAsia="仿宋_GB2312" w:cs="Times New Roman"/>
          <w:sz w:val="32"/>
          <w:szCs w:val="32"/>
          <w:highlight w:val="none"/>
        </w:rPr>
        <w:t>在购买设备政府采购率，设备质量合格率和验收率，设备利用率，设备采购完成时间，设备采购成本控制率，提高学生学习环境，学生和老师满意度等方面表现出色，达到了预期的标准与要求。同时，项目也在</w:t>
      </w:r>
      <w:r>
        <w:rPr>
          <w:rFonts w:hint="eastAsia" w:eastAsia="仿宋_GB2312" w:cs="Times New Roman"/>
          <w:color w:val="auto"/>
          <w:sz w:val="32"/>
          <w:szCs w:val="32"/>
          <w:highlight w:val="none"/>
          <w:lang w:val="en-US" w:eastAsia="zh-CN"/>
        </w:rPr>
        <w:t>教育教学方面</w:t>
      </w:r>
      <w:r>
        <w:rPr>
          <w:rFonts w:hint="default" w:ascii="Times New Roman" w:hAnsi="Times New Roman" w:eastAsia="仿宋_GB2312" w:cs="Times New Roman"/>
          <w:sz w:val="32"/>
          <w:szCs w:val="32"/>
          <w:highlight w:val="none"/>
        </w:rPr>
        <w:t>取得了显著的成效，如提高学生学习环境，学生和老师满意度等。</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奇台县第五中学</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从项目效益的角度来看，本项目不仅实现了预期的社会效益等方面产生了积极的影响。具体而言学习环境等方面的提升，为项目的利益相关者带来了实实在在的利益。</w:t>
      </w:r>
    </w:p>
    <w:p>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综上所述，昌州财教[2023]92号2024年中央义务教育薄弱环节改善与能力提升补助资金在绩效评价中表现出色，达到了项目的预期目标，并在多个方面取得了显著的成效。</w:t>
      </w:r>
    </w:p>
    <w:p>
      <w:pPr>
        <w:pStyle w:val="10"/>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分，属于“优”。其中，项目决策类指标权重为20分，得分为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w:t>
      </w:r>
      <w:r>
        <w:rPr>
          <w:rFonts w:hint="eastAsia"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rPr>
        <w:t>0分，得分为</w:t>
      </w:r>
      <w:r>
        <w:rPr>
          <w:rFonts w:hint="eastAsia" w:ascii="Times New Roman" w:hAnsi="Times New Roman" w:eastAsia="仿宋_GB2312" w:cs="Times New Roman"/>
          <w:b w:val="0"/>
          <w:bCs w:val="0"/>
          <w:highlight w:val="none"/>
          <w:lang w:val="en-US" w:eastAsia="zh-CN"/>
        </w:rPr>
        <w:t>10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w:t>
      </w:r>
      <w:r>
        <w:rPr>
          <w:rFonts w:hint="eastAsia"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val="0"/>
          <w:bCs w:val="0"/>
          <w:highlight w:val="none"/>
        </w:rPr>
        <w:t>0分，得分为</w:t>
      </w:r>
      <w:r>
        <w:rPr>
          <w:rFonts w:hint="eastAsia" w:ascii="Times New Roman" w:hAnsi="Times New Roman" w:eastAsia="仿宋_GB2312" w:cs="Times New Roman"/>
          <w:b w:val="0"/>
          <w:bCs w:val="0"/>
          <w:highlight w:val="none"/>
          <w:lang w:val="en-US" w:eastAsia="zh-CN"/>
        </w:rPr>
        <w:t>30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pPr>
        <w:pStyle w:val="10"/>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4"/>
        <w:tblW w:w="8760" w:type="dxa"/>
        <w:jc w:val="center"/>
        <w:tblInd w:w="0" w:type="dxa"/>
        <w:tblLayout w:type="fixed"/>
        <w:tblCellMar>
          <w:top w:w="0" w:type="dxa"/>
          <w:left w:w="108" w:type="dxa"/>
          <w:bottom w:w="0" w:type="dxa"/>
          <w:right w:w="108" w:type="dxa"/>
        </w:tblCellMar>
      </w:tblPr>
      <w:tblGrid>
        <w:gridCol w:w="2787"/>
        <w:gridCol w:w="1927"/>
        <w:gridCol w:w="2023"/>
        <w:gridCol w:w="2023"/>
      </w:tblGrid>
      <w:tr>
        <w:tblPrEx>
          <w:tblLayout w:type="fixed"/>
          <w:tblCellMar>
            <w:top w:w="0" w:type="dxa"/>
            <w:left w:w="108" w:type="dxa"/>
            <w:bottom w:w="0" w:type="dxa"/>
            <w:right w:w="108" w:type="dxa"/>
          </w:tblCellMar>
        </w:tblPrEx>
        <w:trPr>
          <w:trHeight w:val="90" w:hRule="atLeast"/>
          <w:tblHeader/>
          <w:jc w:val="center"/>
        </w:trPr>
        <w:tc>
          <w:tcPr>
            <w:tcW w:w="278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927"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202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w:t>
            </w:r>
            <w:r>
              <w:rPr>
                <w:rFonts w:hint="default" w:ascii="Times New Roman" w:hAnsi="Times New Roman" w:eastAsia="仿宋_GB2312" w:cs="Times New Roman"/>
                <w:color w:val="000000"/>
                <w:sz w:val="21"/>
                <w:szCs w:val="21"/>
                <w:highlight w:val="none"/>
                <w:lang w:val="en-US" w:eastAsia="zh-CN"/>
              </w:rPr>
              <w:t>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3</w:t>
            </w:r>
            <w:r>
              <w:rPr>
                <w:rFonts w:hint="default" w:ascii="Times New Roman" w:hAnsi="Times New Roman" w:eastAsia="仿宋_GB2312" w:cs="Times New Roman"/>
                <w:color w:val="000000"/>
                <w:sz w:val="21"/>
                <w:szCs w:val="21"/>
                <w:highlight w:val="none"/>
                <w:lang w:val="en-US" w:eastAsia="zh-CN"/>
              </w:rPr>
              <w:t>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30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tblPrEx>
          <w:tblLayout w:type="fixed"/>
          <w:tblCellMar>
            <w:top w:w="0" w:type="dxa"/>
            <w:left w:w="108" w:type="dxa"/>
            <w:bottom w:w="0" w:type="dxa"/>
            <w:right w:w="108" w:type="dxa"/>
          </w:tblCellMar>
        </w:tblPrEx>
        <w:trPr>
          <w:trHeight w:val="340" w:hRule="atLeast"/>
          <w:jc w:val="center"/>
        </w:trPr>
        <w:tc>
          <w:tcPr>
            <w:tcW w:w="278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927"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c>
          <w:tcPr>
            <w:tcW w:w="2023"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highlight w:val="none"/>
              </w:rPr>
            </w:pPr>
            <w:r>
              <w:rPr>
                <w:rFonts w:hint="eastAsia" w:eastAsia="仿宋_GB2312" w:cs="Times New Roman"/>
                <w:color w:val="000000"/>
                <w:sz w:val="21"/>
                <w:szCs w:val="21"/>
                <w:highlight w:val="none"/>
                <w:lang w:val="en-US" w:eastAsia="zh-CN"/>
              </w:rPr>
              <w:t>100%</w:t>
            </w:r>
          </w:p>
        </w:tc>
      </w:tr>
    </w:tbl>
    <w:p>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pPr>
        <w:pStyle w:val="10"/>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w:t>
      </w:r>
      <w:r>
        <w:rPr>
          <w:rFonts w:hint="default" w:ascii="Times New Roman" w:hAnsi="Times New Roman" w:eastAsia="仿宋_GB2312" w:cs="Times New Roman"/>
          <w:sz w:val="32"/>
          <w:szCs w:val="32"/>
          <w:highlight w:val="none"/>
          <w:lang w:eastAsia="zh-Hans"/>
        </w:rPr>
        <w:t>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Han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eastAsia="zh-Han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0"/>
        <w:numPr>
          <w:ilvl w:val="0"/>
          <w:numId w:val="4"/>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113</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113</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pPr>
        <w:pStyle w:val="12"/>
        <w:numPr>
          <w:ilvl w:val="0"/>
          <w:numId w:val="4"/>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指标1：购置设备数量 ，指标值：=5类 ，实际完成值：=5类，指标完成率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指标1：政府采购率，指标值：&gt;=100%，实际完成值：100%，指标完成率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：设备质量合格率，指标值：&gt;=100%，实际完成值：100%，指标完成率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：设备验收合格率，指标值：&gt;=100%，实际完成值：100%，指标完成率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设备采购完成时间</w:t>
      </w:r>
      <w:r>
        <w:rPr>
          <w:rFonts w:hint="default" w:ascii="Times New Roman" w:hAnsi="Times New Roman" w:eastAsia="仿宋_GB2312" w:cs="Times New Roman"/>
          <w:sz w:val="32"/>
          <w:szCs w:val="32"/>
          <w:highlight w:val="none"/>
        </w:rPr>
        <w:t>，指标值：=2024年12月30日，实际完成值：2024年12月30日，指标完成率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pStyle w:val="12"/>
        <w:numPr>
          <w:ilvl w:val="0"/>
          <w:numId w:val="4"/>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numPr>
          <w:ilvl w:val="0"/>
          <w:numId w:val="5"/>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numPr>
          <w:ilvl w:val="0"/>
          <w:numId w:val="0"/>
        </w:num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指标1：经济效益指标：设备利用率</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=100%，实际完成值：100%，指标完成率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：社会效益指标：有效提高学习环境</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eastAsia="zh-CN"/>
        </w:rPr>
        <w:t>有效提高</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eastAsia="zh-CN"/>
        </w:rPr>
        <w:t>有效提高</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numPr>
          <w:ilvl w:val="0"/>
          <w:numId w:val="0"/>
        </w:numPr>
        <w:shd w:val="clear"/>
        <w:spacing w:line="600" w:lineRule="exact"/>
        <w:ind w:firstLine="640" w:firstLineChars="200"/>
        <w:outlineLvl w:val="0"/>
        <w:rPr>
          <w:highlight w:val="none"/>
        </w:rPr>
      </w:pPr>
      <w:r>
        <w:rPr>
          <w:rFonts w:hint="eastAsia" w:eastAsia="仿宋_GB2312" w:cs="Times New Roman"/>
          <w:sz w:val="32"/>
          <w:szCs w:val="32"/>
          <w:highlight w:val="none"/>
          <w:lang w:val="en-US" w:eastAsia="zh-CN"/>
        </w:rPr>
        <w:t xml:space="preserve">2. </w:t>
      </w:r>
      <w:r>
        <w:rPr>
          <w:rFonts w:hint="default" w:ascii="Times New Roman" w:hAnsi="Times New Roman" w:eastAsia="仿宋_GB2312" w:cs="Times New Roman"/>
          <w:sz w:val="32"/>
          <w:szCs w:val="32"/>
          <w:highlight w:val="none"/>
          <w:lang w:val="en-US" w:eastAsia="zh-CN"/>
        </w:rPr>
        <w:t>满意度</w:t>
      </w:r>
    </w:p>
    <w:p>
      <w:pPr>
        <w:numPr>
          <w:ilvl w:val="0"/>
          <w:numId w:val="0"/>
        </w:numPr>
        <w:shd w:val="clear"/>
        <w:spacing w:line="600" w:lineRule="exact"/>
        <w:ind w:firstLine="960" w:firstLineChars="3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w:t>
      </w:r>
      <w:r>
        <w:rPr>
          <w:rFonts w:hint="default" w:ascii="Times New Roman" w:hAnsi="Times New Roman" w:eastAsia="仿宋_GB2312" w:cs="Times New Roman"/>
          <w:sz w:val="32"/>
          <w:szCs w:val="32"/>
          <w:highlight w:val="none"/>
          <w:lang w:val="en-US" w:eastAsia="zh-CN"/>
        </w:rPr>
        <w:t>教师满意度</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numPr>
          <w:ilvl w:val="0"/>
          <w:numId w:val="0"/>
        </w:numPr>
        <w:shd w:val="clear"/>
        <w:spacing w:line="600" w:lineRule="exact"/>
        <w:ind w:firstLine="960" w:firstLineChars="3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学生</w:t>
      </w:r>
      <w:r>
        <w:rPr>
          <w:rFonts w:hint="default" w:ascii="Times New Roman" w:hAnsi="Times New Roman" w:eastAsia="仿宋_GB2312" w:cs="Times New Roman"/>
          <w:sz w:val="32"/>
          <w:szCs w:val="32"/>
          <w:highlight w:val="none"/>
          <w:lang w:val="en-US" w:eastAsia="zh-CN"/>
        </w:rPr>
        <w:t>满意度</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eastAsia="zh-CN"/>
        </w:rPr>
        <w:t>。</w:t>
      </w:r>
    </w:p>
    <w:p>
      <w:pPr>
        <w:spacing w:line="560" w:lineRule="exact"/>
        <w:ind w:firstLine="643" w:firstLineChars="200"/>
        <w:rPr>
          <w:rFonts w:hint="default" w:ascii="Times New Roman" w:hAnsi="Times New Roman" w:eastAsia="楷体_GB2312" w:cs="Times New Roman"/>
          <w:b/>
          <w:bCs/>
          <w:sz w:val="32"/>
          <w:szCs w:val="32"/>
          <w:highlight w:val="none"/>
          <w:lang w:val="en-US" w:eastAsia="zh-Han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eastAsia="zh-Hans"/>
        </w:rPr>
        <w:t>预算执行进度与绩效指标总体完成率偏差</w:t>
      </w:r>
    </w:p>
    <w:p>
      <w:pPr>
        <w:pStyle w:val="19"/>
        <w:spacing w:line="560" w:lineRule="exact"/>
        <w:ind w:firstLine="640"/>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昌州财教[2023]92号2024年中央义务教育薄弱环节改善与能力提升补助资金项目年初预算</w:t>
      </w:r>
      <w:r>
        <w:rPr>
          <w:rFonts w:hint="eastAsia" w:ascii="Times New Roman" w:hAnsi="Times New Roman" w:eastAsia="仿宋_GB2312" w:cs="Times New Roman"/>
          <w:kern w:val="2"/>
          <w:sz w:val="32"/>
          <w:szCs w:val="32"/>
          <w:highlight w:val="none"/>
          <w:lang w:val="en-US" w:eastAsia="zh-CN" w:bidi="ar-SA"/>
        </w:rPr>
        <w:t>113</w:t>
      </w:r>
      <w:r>
        <w:rPr>
          <w:rFonts w:hint="default" w:ascii="Times New Roman" w:hAnsi="Times New Roman" w:eastAsia="仿宋_GB2312" w:cs="Times New Roman"/>
          <w:kern w:val="2"/>
          <w:sz w:val="32"/>
          <w:szCs w:val="32"/>
          <w:highlight w:val="none"/>
          <w:lang w:val="en-US" w:eastAsia="zh-CN" w:bidi="ar-SA"/>
        </w:rPr>
        <w:t>万元，全年预算</w:t>
      </w:r>
      <w:r>
        <w:rPr>
          <w:rFonts w:hint="eastAsia" w:ascii="Times New Roman" w:hAnsi="Times New Roman" w:eastAsia="仿宋_GB2312" w:cs="Times New Roman"/>
          <w:kern w:val="2"/>
          <w:sz w:val="32"/>
          <w:szCs w:val="32"/>
          <w:highlight w:val="none"/>
          <w:lang w:val="en-US" w:eastAsia="zh-CN" w:bidi="ar-SA"/>
        </w:rPr>
        <w:t>113</w:t>
      </w:r>
      <w:r>
        <w:rPr>
          <w:rFonts w:hint="default" w:ascii="Times New Roman" w:hAnsi="Times New Roman" w:eastAsia="仿宋_GB2312" w:cs="Times New Roman"/>
          <w:kern w:val="2"/>
          <w:sz w:val="32"/>
          <w:szCs w:val="32"/>
          <w:highlight w:val="none"/>
          <w:lang w:val="en-US" w:eastAsia="zh-CN" w:bidi="ar-SA"/>
        </w:rPr>
        <w:t>万元，实际支出</w:t>
      </w:r>
      <w:r>
        <w:rPr>
          <w:rFonts w:hint="eastAsia" w:ascii="Times New Roman" w:hAnsi="Times New Roman" w:eastAsia="仿宋_GB2312" w:cs="Times New Roman"/>
          <w:kern w:val="2"/>
          <w:sz w:val="32"/>
          <w:szCs w:val="32"/>
          <w:highlight w:val="none"/>
          <w:lang w:val="en-US" w:eastAsia="zh-CN" w:bidi="ar-SA"/>
        </w:rPr>
        <w:t>113</w:t>
      </w:r>
      <w:r>
        <w:rPr>
          <w:rFonts w:hint="default" w:ascii="Times New Roman" w:hAnsi="Times New Roman" w:eastAsia="仿宋_GB2312" w:cs="Times New Roman"/>
          <w:kern w:val="2"/>
          <w:sz w:val="32"/>
          <w:szCs w:val="32"/>
          <w:highlight w:val="none"/>
          <w:lang w:val="en-US" w:eastAsia="zh-CN" w:bidi="ar-SA"/>
        </w:rPr>
        <w:t>万元，预算执行率为</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%，项目绩效指标总体完成率为</w:t>
      </w:r>
      <w:r>
        <w:rPr>
          <w:rFonts w:hint="eastAsia" w:ascii="Times New Roman" w:hAnsi="Times New Roman" w:eastAsia="仿宋_GB2312" w:cs="Times New Roman"/>
          <w:kern w:val="2"/>
          <w:sz w:val="32"/>
          <w:szCs w:val="32"/>
          <w:highlight w:val="none"/>
          <w:lang w:val="en-US" w:eastAsia="zh-CN" w:bidi="ar-SA"/>
        </w:rPr>
        <w:t>100</w:t>
      </w:r>
      <w:r>
        <w:rPr>
          <w:rFonts w:hint="default"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总体</w:t>
      </w:r>
      <w:r>
        <w:rPr>
          <w:rFonts w:hint="default" w:ascii="Times New Roman" w:hAnsi="Times New Roman" w:eastAsia="仿宋_GB2312" w:cs="Times New Roman"/>
          <w:kern w:val="2"/>
          <w:sz w:val="32"/>
          <w:szCs w:val="32"/>
          <w:highlight w:val="none"/>
          <w:lang w:val="en-US" w:eastAsia="zh-CN" w:bidi="ar-SA"/>
        </w:rPr>
        <w:t>偏差率为</w:t>
      </w:r>
      <w:r>
        <w:rPr>
          <w:rFonts w:hint="eastAsia" w:ascii="Times New Roman" w:hAnsi="Times New Roman" w:eastAsia="仿宋_GB2312" w:cs="Times New Roman"/>
          <w:kern w:val="2"/>
          <w:sz w:val="32"/>
          <w:szCs w:val="32"/>
          <w:highlight w:val="none"/>
          <w:lang w:val="en-US" w:eastAsia="zh-CN" w:bidi="ar-SA"/>
        </w:rPr>
        <w:t>0</w:t>
      </w:r>
      <w:r>
        <w:rPr>
          <w:rFonts w:hint="default" w:ascii="Times New Roman" w:hAnsi="Times New Roman" w:eastAsia="仿宋_GB2312" w:cs="Times New Roman"/>
          <w:kern w:val="2"/>
          <w:sz w:val="32"/>
          <w:szCs w:val="32"/>
          <w:highlight w:val="none"/>
          <w:lang w:val="en-US" w:eastAsia="zh-CN" w:bidi="ar-SA"/>
        </w:rPr>
        <w:t>%</w:t>
      </w:r>
      <w:r>
        <w:rPr>
          <w:rFonts w:hint="eastAsia"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偏差</w:t>
      </w:r>
      <w:r>
        <w:rPr>
          <w:rFonts w:hint="default" w:ascii="Times New Roman" w:hAnsi="Times New Roman" w:eastAsia="仿宋_GB2312" w:cs="Times New Roman"/>
          <w:kern w:val="2"/>
          <w:sz w:val="32"/>
          <w:szCs w:val="32"/>
          <w:highlight w:val="none"/>
          <w:lang w:val="en-US" w:eastAsia="zh-CN" w:bidi="ar-SA"/>
        </w:rPr>
        <w:t>原因</w:t>
      </w:r>
      <w:r>
        <w:rPr>
          <w:rFonts w:hint="eastAsia" w:ascii="Times New Roman" w:hAnsi="Times New Roman" w:eastAsia="仿宋_GB2312" w:cs="Times New Roman"/>
          <w:kern w:val="2"/>
          <w:sz w:val="32"/>
          <w:szCs w:val="32"/>
          <w:highlight w:val="none"/>
          <w:lang w:val="en-US" w:eastAsia="zh-CN" w:bidi="ar-SA"/>
        </w:rPr>
        <w:t>无</w:t>
      </w:r>
      <w:r>
        <w:rPr>
          <w:rFonts w:hint="default" w:ascii="Times New Roman" w:hAnsi="Times New Roman"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Hans" w:bidi="ar-SA"/>
        </w:rPr>
        <w:t>改进</w:t>
      </w:r>
      <w:r>
        <w:rPr>
          <w:rFonts w:hint="default" w:ascii="Times New Roman" w:hAnsi="Times New Roman" w:eastAsia="仿宋_GB2312" w:cs="Times New Roman"/>
          <w:kern w:val="2"/>
          <w:sz w:val="32"/>
          <w:szCs w:val="32"/>
          <w:highlight w:val="none"/>
          <w:lang w:val="en-US" w:eastAsia="zh-CN" w:bidi="ar-SA"/>
        </w:rPr>
        <w:t>措施</w:t>
      </w:r>
      <w:r>
        <w:rPr>
          <w:rFonts w:hint="eastAsia" w:ascii="Times New Roman" w:hAnsi="Times New Roman" w:eastAsia="仿宋_GB2312" w:cs="Times New Roman"/>
          <w:kern w:val="2"/>
          <w:sz w:val="32"/>
          <w:szCs w:val="32"/>
          <w:highlight w:val="none"/>
          <w:lang w:val="en-US" w:eastAsia="zh-CN" w:bidi="ar-SA"/>
        </w:rPr>
        <w:t>无</w:t>
      </w:r>
      <w:r>
        <w:rPr>
          <w:rFonts w:hint="default" w:ascii="Times New Roman" w:hAnsi="Times New Roman" w:eastAsia="仿宋_GB2312" w:cs="Times New Roman"/>
          <w:kern w:val="2"/>
          <w:sz w:val="32"/>
          <w:szCs w:val="32"/>
          <w:highlight w:val="none"/>
          <w:lang w:val="en-US" w:eastAsia="zh-CN" w:bidi="ar-SA"/>
        </w:rPr>
        <w:t>。</w:t>
      </w:r>
    </w:p>
    <w:p>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黑体" w:cs="Times New Roman"/>
          <w:sz w:val="32"/>
          <w:szCs w:val="32"/>
          <w:highlight w:val="none"/>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0"/>
        <w:spacing w:before="0" w:after="0" w:line="560" w:lineRule="exact"/>
        <w:ind w:firstLine="640" w:firstLineChars="200"/>
        <w:jc w:val="left"/>
        <w:rPr>
          <w:rFonts w:hint="default"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kern w:val="2"/>
          <w:highlight w:val="none"/>
        </w:rPr>
        <w:t>严格坚持先做事、后验收、再拨付的原则，</w:t>
      </w:r>
      <w:r>
        <w:rPr>
          <w:rFonts w:hint="eastAsia" w:ascii="Times New Roman" w:hAnsi="Times New Roman" w:eastAsia="仿宋_GB2312" w:cs="Times New Roman"/>
          <w:b w:val="0"/>
          <w:bCs w:val="0"/>
          <w:kern w:val="2"/>
          <w:highlight w:val="none"/>
          <w:lang w:eastAsia="zh-CN"/>
        </w:rPr>
        <w:t>杜绝</w:t>
      </w:r>
      <w:r>
        <w:rPr>
          <w:rFonts w:hint="default" w:ascii="Times New Roman" w:hAnsi="Times New Roman" w:eastAsia="仿宋_GB2312" w:cs="Times New Roman"/>
          <w:b w:val="0"/>
          <w:bCs w:val="0"/>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六、</w:t>
      </w:r>
      <w:r>
        <w:rPr>
          <w:rFonts w:hint="default" w:ascii="Times New Roman" w:hAnsi="Times New Roman" w:eastAsia="黑体" w:cs="Times New Roman"/>
          <w:sz w:val="32"/>
          <w:szCs w:val="32"/>
          <w:highlight w:val="none"/>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rFonts w:hint="default" w:ascii="Times New Roman" w:hAnsi="Times New Roman" w:cs="Times New Roman"/>
          <w:sz w:val="22"/>
          <w:szCs w:val="28"/>
          <w:highlight w:val="none"/>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highlight w:val="none"/>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pPr>
        <w:pStyle w:val="13"/>
        <w:spacing w:after="0" w:line="560" w:lineRule="exact"/>
        <w:ind w:left="0" w:leftChars="0" w:firstLine="640"/>
        <w:rPr>
          <w:rFonts w:hint="default" w:ascii="Times New Roman" w:hAnsi="Times New Roman" w:eastAsia="仿宋_GB2312" w:cs="Times New Roman"/>
          <w:sz w:val="32"/>
          <w:szCs w:val="32"/>
          <w:highlight w:val="none"/>
          <w:lang w:eastAsia="zh-Hans"/>
        </w:rPr>
      </w:pPr>
      <w:r>
        <w:rPr>
          <w:rFonts w:hint="default" w:ascii="Times New Roman" w:hAnsi="Times New Roman" w:eastAsia="仿宋_GB2312" w:cs="Times New Roman"/>
          <w:sz w:val="32"/>
          <w:szCs w:val="32"/>
          <w:highlight w:val="none"/>
          <w:lang w:eastAsia="zh-Hans"/>
        </w:rPr>
        <w:t>本项目无其他需说明的问题。</w:t>
      </w:r>
    </w:p>
    <w:p>
      <w:pPr>
        <w:pStyle w:val="13"/>
        <w:spacing w:after="0" w:line="560" w:lineRule="exact"/>
        <w:ind w:left="0" w:leftChars="0" w:firstLine="0" w:firstLineChars="0"/>
        <w:rPr>
          <w:rFonts w:hint="eastAsia" w:ascii="Times New Roman" w:hAnsi="Times New Roman" w:eastAsia="仿宋_GB2312" w:cs="Times New Roman"/>
          <w:sz w:val="32"/>
          <w:szCs w:val="32"/>
          <w:highlight w:val="none"/>
          <w:lang w:eastAsia="zh-CN"/>
        </w:rPr>
      </w:pPr>
    </w:p>
    <w:p>
      <w:pPr>
        <w:pStyle w:val="13"/>
        <w:spacing w:after="0" w:line="560" w:lineRule="exact"/>
        <w:ind w:left="0" w:leftChars="0" w:firstLine="640"/>
        <w:rPr>
          <w:rFonts w:hint="default" w:ascii="Times New Roman" w:hAnsi="Times New Roman" w:eastAsia="仿宋_GB2312" w:cs="Times New Roman"/>
          <w:sz w:val="32"/>
          <w:szCs w:val="32"/>
          <w:highlight w:val="none"/>
        </w:rPr>
      </w:pPr>
    </w:p>
    <w:p>
      <w:pPr>
        <w:pStyle w:val="13"/>
        <w:spacing w:after="0" w:line="560" w:lineRule="exact"/>
        <w:ind w:left="0" w:leftChars="0" w:firstLine="0" w:firstLineChars="0"/>
        <w:rPr>
          <w:rFonts w:hint="default" w:ascii="Times New Roman" w:hAnsi="Times New Roman" w:eastAsia="仿宋_GB2312" w:cs="Times New Roman"/>
          <w:sz w:val="32"/>
          <w:szCs w:val="32"/>
          <w:highlight w:val="none"/>
        </w:rPr>
      </w:pPr>
    </w:p>
    <w:p>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1</w:t>
      </w:r>
    </w:p>
    <w:p>
      <w:pPr>
        <w:pStyle w:val="19"/>
        <w:ind w:firstLine="562"/>
        <w:jc w:val="center"/>
        <w:rPr>
          <w:rFonts w:hint="eastAsia" w:ascii="仿宋_GB2312" w:hAnsi="仿宋_GB2312" w:eastAsia="仿宋_GB2312" w:cs="仿宋_GB2312"/>
          <w:sz w:val="28"/>
          <w:szCs w:val="40"/>
          <w:highlight w:val="none"/>
        </w:rPr>
      </w:pPr>
      <w:bookmarkStart w:id="3" w:name="_GoBack"/>
      <w:bookmarkEnd w:id="3"/>
      <w:bookmarkStart w:id="1" w:name="_Toc26499_WPSOffice_Level2"/>
      <w:bookmarkStart w:id="2" w:name="_Toc30064_WPSOffice_Level1"/>
      <w:r>
        <w:rPr>
          <w:rFonts w:hint="default" w:ascii="仿宋_GB2312" w:hAnsi="仿宋_GB2312" w:eastAsia="仿宋_GB2312" w:cs="仿宋_GB2312"/>
          <w:b/>
          <w:bCs/>
          <w:sz w:val="28"/>
          <w:szCs w:val="40"/>
          <w:highlight w:val="none"/>
        </w:rPr>
        <w:t>2024年中央义务教育薄弱环节改善与能力提升补助资金</w:t>
      </w:r>
      <w:r>
        <w:rPr>
          <w:rFonts w:hint="eastAsia" w:ascii="仿宋_GB2312" w:hAnsi="仿宋_GB2312" w:eastAsia="仿宋_GB2312" w:cs="仿宋_GB2312"/>
          <w:b/>
          <w:bCs/>
          <w:sz w:val="28"/>
          <w:szCs w:val="40"/>
          <w:highlight w:val="none"/>
        </w:rPr>
        <w:t>项目绩效评价指标体系及综合评分表</w:t>
      </w:r>
      <w:bookmarkEnd w:id="1"/>
      <w:bookmarkEnd w:id="2"/>
    </w:p>
    <w:tbl>
      <w:tblPr>
        <w:tblStyle w:val="1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2"/>
        <w:gridCol w:w="1000"/>
        <w:gridCol w:w="1071"/>
        <w:gridCol w:w="1725"/>
        <w:gridCol w:w="5216"/>
        <w:gridCol w:w="5"/>
        <w:gridCol w:w="1299"/>
        <w:gridCol w:w="136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2"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三级指标</w:t>
            </w:r>
          </w:p>
        </w:tc>
        <w:tc>
          <w:tcPr>
            <w:tcW w:w="172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指标说明</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权重</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2" w:type="dxa"/>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1725"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1365" w:type="dxa"/>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73"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2" w:type="dxa"/>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2"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1725" w:type="dxa"/>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1304" w:type="dxa"/>
            <w:gridSpan w:val="2"/>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2"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1725"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1304" w:type="dxa"/>
            <w:gridSpan w:val="2"/>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393" w:hRule="atLeast"/>
          <w:jc w:val="center"/>
        </w:trPr>
        <w:tc>
          <w:tcPr>
            <w:tcW w:w="10019" w:type="dxa"/>
            <w:gridSpan w:val="6"/>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合计</w:t>
            </w:r>
          </w:p>
        </w:tc>
        <w:tc>
          <w:tcPr>
            <w:tcW w:w="1299"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fldChar w:fldCharType="begin"/>
            </w:r>
            <w:r>
              <w:rPr>
                <w:rFonts w:hint="default" w:ascii="Times New Roman" w:hAnsi="Times New Roman" w:eastAsia="仿宋_GB2312" w:cs="Times New Roman"/>
                <w:b/>
                <w:bCs/>
                <w:color w:val="000000"/>
                <w:kern w:val="0"/>
                <w:sz w:val="18"/>
                <w:szCs w:val="18"/>
                <w:highlight w:val="none"/>
              </w:rPr>
              <w:instrText xml:space="preserve"> = sum(F2:F18) \* MERGEFORMAT </w:instrText>
            </w:r>
            <w:r>
              <w:rPr>
                <w:rFonts w:hint="default" w:ascii="Times New Roman" w:hAnsi="Times New Roman" w:eastAsia="仿宋_GB2312" w:cs="Times New Roman"/>
                <w:b/>
                <w:bCs/>
                <w:color w:val="000000"/>
                <w:kern w:val="0"/>
                <w:sz w:val="18"/>
                <w:szCs w:val="18"/>
                <w:highlight w:val="none"/>
              </w:rPr>
              <w:fldChar w:fldCharType="separate"/>
            </w:r>
            <w:r>
              <w:rPr>
                <w:rFonts w:hint="default" w:ascii="Times New Roman" w:hAnsi="Times New Roman" w:eastAsia="仿宋_GB2312" w:cs="Times New Roman"/>
                <w:b/>
                <w:bCs/>
                <w:color w:val="000000"/>
                <w:kern w:val="0"/>
                <w:sz w:val="18"/>
                <w:szCs w:val="18"/>
                <w:highlight w:val="none"/>
              </w:rPr>
              <w:t>100</w:t>
            </w:r>
            <w:r>
              <w:rPr>
                <w:rFonts w:hint="default" w:ascii="Times New Roman" w:hAnsi="Times New Roman" w:eastAsia="仿宋_GB2312" w:cs="Times New Roman"/>
                <w:b/>
                <w:bCs/>
                <w:color w:val="000000"/>
                <w:kern w:val="0"/>
                <w:sz w:val="18"/>
                <w:szCs w:val="18"/>
                <w:highlight w:val="none"/>
              </w:rPr>
              <w:fldChar w:fldCharType="end"/>
            </w:r>
          </w:p>
        </w:tc>
        <w:tc>
          <w:tcPr>
            <w:tcW w:w="1365" w:type="dxa"/>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100</w:t>
            </w:r>
          </w:p>
        </w:tc>
      </w:tr>
    </w:tbl>
    <w:p>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附件</w:t>
      </w:r>
      <w:r>
        <w:rPr>
          <w:rFonts w:hint="eastAsia" w:eastAsia="黑体" w:cs="Times New Roman"/>
          <w:sz w:val="32"/>
          <w:szCs w:val="32"/>
          <w:highlight w:val="none"/>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highlight w:val="none"/>
          <w:u w:val="none"/>
          <w:lang w:val="en-US" w:eastAsia="zh-CN" w:bidi="ar"/>
        </w:rPr>
      </w:pPr>
      <w:r>
        <w:rPr>
          <w:rFonts w:hint="eastAsia" w:ascii="仿宋_GB2312" w:hAnsi="仿宋_GB2312" w:eastAsia="仿宋_GB2312" w:cs="仿宋_GB2312"/>
          <w:b/>
          <w:bCs/>
          <w:i w:val="0"/>
          <w:iCs w:val="0"/>
          <w:color w:val="000000"/>
          <w:kern w:val="0"/>
          <w:sz w:val="28"/>
          <w:szCs w:val="28"/>
          <w:highlight w:val="none"/>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highlight w:val="none"/>
          <w:u w:val="none"/>
          <w:lang w:val="en-US" w:eastAsia="zh-CN" w:bidi="ar"/>
        </w:rPr>
      </w:pPr>
    </w:p>
    <w:tbl>
      <w:tblPr>
        <w:tblStyle w:val="14"/>
        <w:tblW w:w="1372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80"/>
        <w:gridCol w:w="1080"/>
        <w:gridCol w:w="1080"/>
        <w:gridCol w:w="1080"/>
        <w:gridCol w:w="1005"/>
        <w:gridCol w:w="630"/>
        <w:gridCol w:w="1500"/>
        <w:gridCol w:w="1335"/>
        <w:gridCol w:w="870"/>
        <w:gridCol w:w="780"/>
        <w:gridCol w:w="885"/>
        <w:gridCol w:w="615"/>
        <w:gridCol w:w="705"/>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项目名称</w:t>
            </w:r>
          </w:p>
        </w:tc>
        <w:tc>
          <w:tcPr>
            <w:tcW w:w="115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昌州财教[2023]92号2024年中央义务教育薄弱环节改善与能力提升补助资金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主管部门</w:t>
            </w:r>
          </w:p>
        </w:tc>
        <w:tc>
          <w:tcPr>
            <w:tcW w:w="52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奇台县第五中学</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实施单位</w:t>
            </w:r>
          </w:p>
        </w:tc>
        <w:tc>
          <w:tcPr>
            <w:tcW w:w="406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奇台县第五中学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80"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项目资金</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年初预算数</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全年预算数</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全年执行数</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年度资金总额</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113.00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113.00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113.00</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其中：当年财政拨款</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113</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113</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113</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 xml:space="preserve">  其他资金</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0.00</w:t>
            </w: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0"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1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20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年度总体目标</w:t>
            </w: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预期目标</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46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6375" w:type="dxa"/>
            <w:gridSpan w:val="6"/>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昌州财教【2023】92号《关于提前下达2024年中央义务教育薄弱环节改善与能力提升补助资金预算的通知》预算安排表，此次共拨付2024年义务教育薄弱环节改善与能力提升补助资金经费113万元。购买设备5类，政府采购率大于等于100%，设备质量合格率和验收率大于等于100%，设备采购完成时间2024年12月前，设备采购成本控制率小于等于113万元，设备利用率大于等于100%，提高学生学习环境，使学生和老师满意度大于等于95%。</w:t>
            </w:r>
          </w:p>
        </w:tc>
        <w:tc>
          <w:tcPr>
            <w:tcW w:w="6270" w:type="dxa"/>
            <w:gridSpan w:val="7"/>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此项目实施共投入资金113万元。主要用于购买教学、实验器材，其中包括计算机、饮水机、体音美器材、实验室器材护眼灯设备5类，购买设备政府采购率大于等于100%，设备质量合格率和验收率大于等于100%，，设备利用率大于等于100%，设备采购完成时间2024年12月前，设备采购成本控制率小于等于113万元，提高学生学习环境，使学生和老师满意度大于等于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271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5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年度指标值</w:t>
            </w: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实际完成值</w:t>
            </w:r>
          </w:p>
        </w:tc>
        <w:tc>
          <w:tcPr>
            <w:tcW w:w="165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w:t>
            </w:r>
          </w:p>
        </w:tc>
        <w:tc>
          <w:tcPr>
            <w:tcW w:w="150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得分</w:t>
            </w:r>
          </w:p>
        </w:tc>
        <w:tc>
          <w:tcPr>
            <w:tcW w:w="178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271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5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65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50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78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年度绩效指标完成情况</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产出指标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数量指标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购置设备数量</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=5类</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=5类</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政府采购率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设备质量合格率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质量指标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设备验收合格率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时效指标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设备采购完成时间</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=2024年12月30日</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=2024年12月30日</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成本指标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项目预算控制率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20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生态环境成本指标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效益指标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经济效益指标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设备利用率</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&lt;=100%</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社会效益指标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有效提高学习环境</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有效提高</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有效提高</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生态效益指标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highlight w:val="none"/>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教师满意度</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0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满意度指标</w:t>
            </w:r>
          </w:p>
        </w:tc>
        <w:tc>
          <w:tcPr>
            <w:tcW w:w="2715"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学生满意度</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&gt;=95%</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=95%</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5</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70" w:hRule="atLeast"/>
        </w:trPr>
        <w:tc>
          <w:tcPr>
            <w:tcW w:w="879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总分</w:t>
            </w:r>
          </w:p>
        </w:tc>
        <w:tc>
          <w:tcPr>
            <w:tcW w:w="165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w:t>
            </w:r>
          </w:p>
        </w:tc>
        <w:tc>
          <w:tcPr>
            <w:tcW w:w="1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100分</w:t>
            </w:r>
          </w:p>
        </w:tc>
        <w:tc>
          <w:tcPr>
            <w:tcW w:w="17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0"/>
                <w:szCs w:val="20"/>
                <w:highlight w:val="none"/>
                <w:u w:val="none"/>
              </w:rPr>
            </w:pPr>
          </w:p>
        </w:tc>
      </w:tr>
    </w:tbl>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highlight w:val="none"/>
          <w:u w:val="none"/>
          <w:lang w:val="en-US" w:eastAsia="zh-CN" w:bidi="ar"/>
        </w:rPr>
      </w:pP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highlight w:val="none"/>
          <w:u w:val="none"/>
          <w:lang w:val="en-US" w:eastAsia="zh-CN" w:bidi="ar"/>
        </w:rPr>
      </w:pPr>
      <w:r>
        <w:rPr>
          <w:rFonts w:hint="default" w:ascii="Times New Roman" w:hAnsi="Times New Roman" w:eastAsia="仿宋_GB2312" w:cs="Times New Roman"/>
          <w:b/>
          <w:bCs/>
          <w:i w:val="0"/>
          <w:iCs w:val="0"/>
          <w:color w:val="000000"/>
          <w:kern w:val="0"/>
          <w:sz w:val="22"/>
          <w:szCs w:val="22"/>
          <w:highlight w:val="none"/>
          <w:u w:val="none"/>
          <w:lang w:val="en-US" w:eastAsia="zh-CN" w:bidi="ar"/>
        </w:rPr>
        <w:t>（ 2024年度）</w:t>
      </w:r>
    </w:p>
    <w:p>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7"/>
          <w:jc w:val="center"/>
        </w:pPr>
        <w:r>
          <w:fldChar w:fldCharType="begin"/>
        </w:r>
        <w:r>
          <w:instrText xml:space="preserve">PAGE   \* MERGEFORMAT</w:instrText>
        </w:r>
        <w:r>
          <w:fldChar w:fldCharType="separate"/>
        </w:r>
        <w:r>
          <w:rPr>
            <w:lang w:val="zh-CN"/>
          </w:rPr>
          <w:t>13</w:t>
        </w:r>
        <w:r>
          <w:fldChar w:fldCharType="end"/>
        </w:r>
      </w:p>
    </w:sdtContent>
  </w:sdt>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57460C61"/>
    <w:multiLevelType w:val="singleLevel"/>
    <w:tmpl w:val="57460C61"/>
    <w:lvl w:ilvl="0" w:tentative="0">
      <w:start w:val="1"/>
      <w:numFmt w:val="decimal"/>
      <w:lvlText w:val="%1."/>
      <w:lvlJc w:val="left"/>
      <w:pPr>
        <w:tabs>
          <w:tab w:val="left" w:pos="312"/>
        </w:tabs>
      </w:p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CB286B"/>
    <w:rsid w:val="00F26FF6"/>
    <w:rsid w:val="01610122"/>
    <w:rsid w:val="02510197"/>
    <w:rsid w:val="03EC461B"/>
    <w:rsid w:val="03EE33BF"/>
    <w:rsid w:val="071A5591"/>
    <w:rsid w:val="07397B77"/>
    <w:rsid w:val="0AD007F3"/>
    <w:rsid w:val="0D082A6E"/>
    <w:rsid w:val="0D7611AE"/>
    <w:rsid w:val="0E3C619F"/>
    <w:rsid w:val="0F6273CA"/>
    <w:rsid w:val="100F38EC"/>
    <w:rsid w:val="11170296"/>
    <w:rsid w:val="11427B0D"/>
    <w:rsid w:val="12C66037"/>
    <w:rsid w:val="12CD1ABC"/>
    <w:rsid w:val="13471461"/>
    <w:rsid w:val="13B90F01"/>
    <w:rsid w:val="14B27E01"/>
    <w:rsid w:val="155E4C4D"/>
    <w:rsid w:val="15AD791A"/>
    <w:rsid w:val="176A1687"/>
    <w:rsid w:val="181066D2"/>
    <w:rsid w:val="18371EB1"/>
    <w:rsid w:val="197D7D98"/>
    <w:rsid w:val="19EC6C79"/>
    <w:rsid w:val="1C671E73"/>
    <w:rsid w:val="1CE67A02"/>
    <w:rsid w:val="1D322C47"/>
    <w:rsid w:val="22290DFD"/>
    <w:rsid w:val="23616034"/>
    <w:rsid w:val="23696C97"/>
    <w:rsid w:val="24480FA2"/>
    <w:rsid w:val="246A53BC"/>
    <w:rsid w:val="25227A45"/>
    <w:rsid w:val="26AC3A6A"/>
    <w:rsid w:val="2A4A0D9B"/>
    <w:rsid w:val="2B9D7E25"/>
    <w:rsid w:val="2C7C7A3B"/>
    <w:rsid w:val="2E6C7D06"/>
    <w:rsid w:val="2F364819"/>
    <w:rsid w:val="2FD63906"/>
    <w:rsid w:val="33294694"/>
    <w:rsid w:val="352E0FF2"/>
    <w:rsid w:val="37215DAE"/>
    <w:rsid w:val="38CA40DD"/>
    <w:rsid w:val="38DE382B"/>
    <w:rsid w:val="395F2B56"/>
    <w:rsid w:val="3B482032"/>
    <w:rsid w:val="3BBA0580"/>
    <w:rsid w:val="3BECE841"/>
    <w:rsid w:val="3C1057FB"/>
    <w:rsid w:val="3CA43E5C"/>
    <w:rsid w:val="3CDE204C"/>
    <w:rsid w:val="3D363C36"/>
    <w:rsid w:val="3E9C3F6D"/>
    <w:rsid w:val="3FF7797D"/>
    <w:rsid w:val="42F16CBA"/>
    <w:rsid w:val="46690BD8"/>
    <w:rsid w:val="46DB30D4"/>
    <w:rsid w:val="49F70BF1"/>
    <w:rsid w:val="4A435BE4"/>
    <w:rsid w:val="4B4340EE"/>
    <w:rsid w:val="501E6ED7"/>
    <w:rsid w:val="503D507A"/>
    <w:rsid w:val="51FA74D0"/>
    <w:rsid w:val="52AA4A52"/>
    <w:rsid w:val="539D3AD1"/>
    <w:rsid w:val="54781E2D"/>
    <w:rsid w:val="58FC1D80"/>
    <w:rsid w:val="59943D66"/>
    <w:rsid w:val="59E051FD"/>
    <w:rsid w:val="59E6355E"/>
    <w:rsid w:val="5A8E2EAB"/>
    <w:rsid w:val="5AC00AB3"/>
    <w:rsid w:val="5AEC4883"/>
    <w:rsid w:val="5B821531"/>
    <w:rsid w:val="5BFF6039"/>
    <w:rsid w:val="5D6B1282"/>
    <w:rsid w:val="5D76A616"/>
    <w:rsid w:val="5D7F20B9"/>
    <w:rsid w:val="5DAC7D0E"/>
    <w:rsid w:val="5F98B5AF"/>
    <w:rsid w:val="5FFE8511"/>
    <w:rsid w:val="5FFEACE2"/>
    <w:rsid w:val="609D5BF6"/>
    <w:rsid w:val="61073070"/>
    <w:rsid w:val="61B9080E"/>
    <w:rsid w:val="61DF3FED"/>
    <w:rsid w:val="62606CE8"/>
    <w:rsid w:val="642B176B"/>
    <w:rsid w:val="64356146"/>
    <w:rsid w:val="643EE26D"/>
    <w:rsid w:val="64F6723F"/>
    <w:rsid w:val="656019A0"/>
    <w:rsid w:val="65F242EE"/>
    <w:rsid w:val="666D7E19"/>
    <w:rsid w:val="68376930"/>
    <w:rsid w:val="68F91E38"/>
    <w:rsid w:val="6B144A6A"/>
    <w:rsid w:val="6B3158B9"/>
    <w:rsid w:val="6BA02A3F"/>
    <w:rsid w:val="6C105349"/>
    <w:rsid w:val="6C1E5A53"/>
    <w:rsid w:val="6F1576B2"/>
    <w:rsid w:val="6F5C41AC"/>
    <w:rsid w:val="6FAF6C78"/>
    <w:rsid w:val="716167CC"/>
    <w:rsid w:val="718A7AD1"/>
    <w:rsid w:val="71A97BF2"/>
    <w:rsid w:val="71C823A7"/>
    <w:rsid w:val="72A44BC2"/>
    <w:rsid w:val="7317C656"/>
    <w:rsid w:val="734ED73F"/>
    <w:rsid w:val="73C82B32"/>
    <w:rsid w:val="73F94DAE"/>
    <w:rsid w:val="74220495"/>
    <w:rsid w:val="747D1B6F"/>
    <w:rsid w:val="749E5641"/>
    <w:rsid w:val="74A569D0"/>
    <w:rsid w:val="74EB6AD9"/>
    <w:rsid w:val="76271066"/>
    <w:rsid w:val="77FD8BE9"/>
    <w:rsid w:val="78000AED"/>
    <w:rsid w:val="78036054"/>
    <w:rsid w:val="79A9BD3F"/>
    <w:rsid w:val="7AC5270E"/>
    <w:rsid w:val="7B776F12"/>
    <w:rsid w:val="7BDE7397"/>
    <w:rsid w:val="7BFFFDD0"/>
    <w:rsid w:val="7C336E5F"/>
    <w:rsid w:val="7C8D4919"/>
    <w:rsid w:val="7D7A5F86"/>
    <w:rsid w:val="7E4B683A"/>
    <w:rsid w:val="7E5E656D"/>
    <w:rsid w:val="7E7B3C1E"/>
    <w:rsid w:val="7E8F2BCB"/>
    <w:rsid w:val="7F322512"/>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text"/>
    <w:basedOn w:val="1"/>
    <w:link w:val="22"/>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spacing w:after="120"/>
      <w:ind w:left="420" w:leftChars="200"/>
    </w:pPr>
    <w:rPr>
      <w:rFonts w:ascii="Calibri" w:hAnsi="Calibri"/>
    </w:rPr>
  </w:style>
  <w:style w:type="paragraph" w:styleId="6">
    <w:name w:val="Balloon Text"/>
    <w:basedOn w:val="1"/>
    <w:link w:val="20"/>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1">
    <w:name w:val="annotation subject"/>
    <w:basedOn w:val="3"/>
    <w:next w:val="3"/>
    <w:link w:val="23"/>
    <w:qFormat/>
    <w:uiPriority w:val="0"/>
    <w:rPr>
      <w:b/>
      <w:bCs/>
    </w:rPr>
  </w:style>
  <w:style w:type="paragraph" w:styleId="12">
    <w:name w:val="Body Text First Indent"/>
    <w:basedOn w:val="4"/>
    <w:qFormat/>
    <w:uiPriority w:val="0"/>
    <w:pPr>
      <w:spacing w:after="0"/>
      <w:ind w:firstLine="200" w:firstLineChars="200"/>
    </w:pPr>
  </w:style>
  <w:style w:type="paragraph" w:styleId="13">
    <w:name w:val="Body Text First Indent 2"/>
    <w:basedOn w:val="5"/>
    <w:qFormat/>
    <w:uiPriority w:val="0"/>
    <w:pPr>
      <w:ind w:firstLine="42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6"/>
    <w:qFormat/>
    <w:uiPriority w:val="0"/>
    <w:rPr>
      <w:rFonts w:ascii="Times New Roman" w:hAnsi="Times New Roman" w:eastAsia="宋体" w:cs="Times New Roman"/>
      <w:kern w:val="2"/>
      <w:sz w:val="18"/>
      <w:szCs w:val="18"/>
    </w:rPr>
  </w:style>
  <w:style w:type="character" w:customStyle="1" w:styleId="21">
    <w:name w:val="页眉 字符"/>
    <w:basedOn w:val="15"/>
    <w:link w:val="8"/>
    <w:qFormat/>
    <w:uiPriority w:val="0"/>
    <w:rPr>
      <w:rFonts w:ascii="Times New Roman" w:hAnsi="Times New Roman" w:eastAsia="宋体" w:cs="Times New Roman"/>
      <w:kern w:val="2"/>
      <w:sz w:val="18"/>
      <w:szCs w:val="18"/>
    </w:rPr>
  </w:style>
  <w:style w:type="character" w:customStyle="1" w:styleId="22">
    <w:name w:val="批注文字 字符"/>
    <w:basedOn w:val="15"/>
    <w:link w:val="3"/>
    <w:qFormat/>
    <w:uiPriority w:val="0"/>
    <w:rPr>
      <w:rFonts w:ascii="Times New Roman" w:hAnsi="Times New Roman" w:eastAsia="宋体" w:cs="Times New Roman"/>
      <w:kern w:val="2"/>
      <w:sz w:val="21"/>
      <w:szCs w:val="24"/>
    </w:rPr>
  </w:style>
  <w:style w:type="character" w:customStyle="1" w:styleId="23">
    <w:name w:val="批注主题 字符"/>
    <w:basedOn w:val="22"/>
    <w:link w:val="11"/>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11309</Words>
  <Characters>11725</Characters>
  <Lines>58</Lines>
  <Paragraphs>16</Paragraphs>
  <TotalTime>0</TotalTime>
  <ScaleCrop>false</ScaleCrop>
  <LinksUpToDate>false</LinksUpToDate>
  <CharactersWithSpaces>11738</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2025-05-09T12:16:54Z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2323E2804C3341A4AC8F1F8F2D5F7DEF_13</vt:lpwstr>
  </property>
  <property fmtid="{D5CDD505-2E9C-101B-9397-08002B2CF9AE}" pid="4" name="KSOTemplateDocerSaveRecord">
    <vt:lpwstr>eyJoZGlkIjoiYjNmMzc3ZWYwYWIwOWI2YTFlMDFmZDFmNjIyNDc0ZjcifQ==</vt:lpwstr>
  </property>
</Properties>
</file>