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4079C">
      <w:pPr>
        <w:spacing w:line="540" w:lineRule="exact"/>
        <w:jc w:val="center"/>
        <w:rPr>
          <w:rFonts w:hint="default" w:ascii="Times New Roman" w:hAnsi="Times New Roman" w:eastAsia="华文中宋" w:cs="Times New Roman"/>
          <w:b/>
          <w:color w:val="auto"/>
          <w:kern w:val="0"/>
          <w:sz w:val="52"/>
          <w:szCs w:val="52"/>
          <w:highlight w:val="none"/>
        </w:rPr>
      </w:pPr>
    </w:p>
    <w:p w14:paraId="60505458">
      <w:pPr>
        <w:spacing w:line="540" w:lineRule="exact"/>
        <w:jc w:val="center"/>
        <w:rPr>
          <w:rFonts w:hint="default" w:ascii="Times New Roman" w:hAnsi="Times New Roman" w:eastAsia="华文中宋" w:cs="Times New Roman"/>
          <w:b/>
          <w:color w:val="auto"/>
          <w:kern w:val="0"/>
          <w:sz w:val="52"/>
          <w:szCs w:val="52"/>
          <w:highlight w:val="none"/>
        </w:rPr>
      </w:pPr>
    </w:p>
    <w:p w14:paraId="5753E674">
      <w:pPr>
        <w:spacing w:line="540" w:lineRule="exact"/>
        <w:rPr>
          <w:rFonts w:hint="default" w:ascii="Times New Roman" w:hAnsi="Times New Roman" w:eastAsia="华文中宋" w:cs="Times New Roman"/>
          <w:b/>
          <w:color w:val="auto"/>
          <w:kern w:val="0"/>
          <w:sz w:val="52"/>
          <w:szCs w:val="52"/>
          <w:highlight w:val="none"/>
        </w:rPr>
      </w:pPr>
    </w:p>
    <w:p w14:paraId="7594DC20">
      <w:pPr>
        <w:spacing w:line="540" w:lineRule="exact"/>
        <w:jc w:val="center"/>
        <w:rPr>
          <w:rFonts w:hint="default" w:ascii="Times New Roman" w:hAnsi="Times New Roman" w:eastAsia="华文中宋" w:cs="Times New Roman"/>
          <w:b/>
          <w:color w:val="auto"/>
          <w:kern w:val="0"/>
          <w:sz w:val="52"/>
          <w:szCs w:val="52"/>
          <w:highlight w:val="none"/>
        </w:rPr>
      </w:pPr>
    </w:p>
    <w:p w14:paraId="64582B11">
      <w:pPr>
        <w:spacing w:line="540" w:lineRule="exact"/>
        <w:jc w:val="center"/>
        <w:rPr>
          <w:rFonts w:hint="default" w:ascii="Times New Roman" w:hAnsi="Times New Roman" w:eastAsia="华文中宋" w:cs="Times New Roman"/>
          <w:b/>
          <w:color w:val="auto"/>
          <w:kern w:val="0"/>
          <w:sz w:val="52"/>
          <w:szCs w:val="52"/>
          <w:highlight w:val="none"/>
        </w:rPr>
      </w:pPr>
    </w:p>
    <w:p w14:paraId="39351BD6">
      <w:pPr>
        <w:spacing w:line="540" w:lineRule="exact"/>
        <w:jc w:val="center"/>
        <w:rPr>
          <w:rFonts w:hint="eastAsia" w:ascii="微软雅黑" w:hAnsi="微软雅黑" w:eastAsia="微软雅黑" w:cs="微软雅黑"/>
          <w:color w:val="auto"/>
          <w:kern w:val="0"/>
          <w:sz w:val="48"/>
          <w:szCs w:val="48"/>
          <w:highlight w:val="none"/>
        </w:rPr>
      </w:pPr>
      <w:bookmarkStart w:id="3" w:name="_GoBack"/>
      <w:r>
        <w:rPr>
          <w:rFonts w:hint="eastAsia" w:ascii="微软雅黑" w:hAnsi="微软雅黑" w:eastAsia="微软雅黑" w:cs="微软雅黑"/>
          <w:color w:val="auto"/>
          <w:kern w:val="0"/>
          <w:sz w:val="48"/>
          <w:szCs w:val="48"/>
          <w:highlight w:val="none"/>
          <w:lang w:val="en-US" w:eastAsia="zh-CN"/>
        </w:rPr>
        <w:t>2024年城乡义务教育补助经费预算[中央直达资金]-校舍安全</w:t>
      </w:r>
      <w:r>
        <w:rPr>
          <w:rFonts w:hint="eastAsia" w:ascii="微软雅黑" w:hAnsi="微软雅黑" w:eastAsia="微软雅黑" w:cs="微软雅黑"/>
          <w:color w:val="auto"/>
          <w:kern w:val="0"/>
          <w:sz w:val="48"/>
          <w:szCs w:val="48"/>
          <w:highlight w:val="none"/>
        </w:rPr>
        <w:t>项目支出绩效评价</w:t>
      </w:r>
    </w:p>
    <w:p w14:paraId="6F732B42">
      <w:pPr>
        <w:spacing w:line="540" w:lineRule="exact"/>
        <w:jc w:val="center"/>
        <w:rPr>
          <w:rFonts w:hint="default" w:ascii="Times New Roman" w:hAnsi="Times New Roman" w:eastAsia="方正小标宋_GBK" w:cs="Times New Roman"/>
          <w:color w:val="auto"/>
          <w:kern w:val="0"/>
          <w:sz w:val="48"/>
          <w:szCs w:val="48"/>
          <w:highlight w:val="none"/>
        </w:rPr>
      </w:pPr>
      <w:r>
        <w:rPr>
          <w:rFonts w:hint="eastAsia" w:ascii="微软雅黑" w:hAnsi="微软雅黑" w:eastAsia="微软雅黑" w:cs="微软雅黑"/>
          <w:color w:val="auto"/>
          <w:kern w:val="0"/>
          <w:sz w:val="48"/>
          <w:szCs w:val="48"/>
          <w:highlight w:val="none"/>
        </w:rPr>
        <w:t>报告</w:t>
      </w:r>
    </w:p>
    <w:bookmarkEnd w:id="3"/>
    <w:p w14:paraId="697114F1">
      <w:pPr>
        <w:spacing w:line="540" w:lineRule="exact"/>
        <w:jc w:val="center"/>
        <w:rPr>
          <w:rFonts w:hint="default" w:ascii="Times New Roman" w:hAnsi="Times New Roman" w:eastAsia="华文中宋" w:cs="Times New Roman"/>
          <w:b/>
          <w:color w:val="auto"/>
          <w:kern w:val="0"/>
          <w:sz w:val="52"/>
          <w:szCs w:val="52"/>
          <w:highlight w:val="none"/>
        </w:rPr>
      </w:pPr>
    </w:p>
    <w:p w14:paraId="125FC858">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128A9D0B">
      <w:pPr>
        <w:spacing w:line="540" w:lineRule="exact"/>
        <w:jc w:val="center"/>
        <w:rPr>
          <w:rFonts w:hint="default" w:ascii="Times New Roman" w:hAnsi="Times New Roman" w:eastAsia="仿宋_GB2312" w:cs="Times New Roman"/>
          <w:color w:val="auto"/>
          <w:kern w:val="0"/>
          <w:sz w:val="30"/>
          <w:szCs w:val="30"/>
          <w:highlight w:val="none"/>
        </w:rPr>
      </w:pPr>
    </w:p>
    <w:p w14:paraId="526A0250">
      <w:pPr>
        <w:spacing w:line="540" w:lineRule="exact"/>
        <w:jc w:val="center"/>
        <w:rPr>
          <w:rFonts w:hint="default" w:ascii="Times New Roman" w:hAnsi="Times New Roman" w:eastAsia="仿宋_GB2312" w:cs="Times New Roman"/>
          <w:color w:val="auto"/>
          <w:kern w:val="0"/>
          <w:sz w:val="30"/>
          <w:szCs w:val="30"/>
          <w:highlight w:val="none"/>
        </w:rPr>
      </w:pPr>
    </w:p>
    <w:p w14:paraId="17EAD3F5">
      <w:pPr>
        <w:spacing w:line="540" w:lineRule="exact"/>
        <w:rPr>
          <w:rFonts w:hint="default" w:ascii="Times New Roman" w:hAnsi="Times New Roman" w:eastAsia="仿宋_GB2312" w:cs="Times New Roman"/>
          <w:color w:val="auto"/>
          <w:kern w:val="0"/>
          <w:sz w:val="30"/>
          <w:szCs w:val="30"/>
          <w:highlight w:val="none"/>
        </w:rPr>
      </w:pPr>
    </w:p>
    <w:p w14:paraId="2E902E43">
      <w:pPr>
        <w:spacing w:line="700" w:lineRule="exact"/>
        <w:ind w:left="2518" w:leftChars="342" w:hanging="1800" w:hangingChars="5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w:t>
      </w:r>
      <w:r>
        <w:rPr>
          <w:rFonts w:hint="eastAsia" w:ascii="Times New Roman" w:hAnsi="Times New Roman" w:eastAsia="仿宋_GB2312" w:cs="Times New Roman"/>
          <w:color w:val="auto"/>
          <w:kern w:val="0"/>
          <w:sz w:val="36"/>
          <w:szCs w:val="36"/>
          <w:highlight w:val="none"/>
          <w:lang w:val="en-US" w:eastAsia="zh-CN"/>
        </w:rPr>
        <w:t>2024年城乡义务教育补助经费预算[中央直达资金]-校舍安全</w:t>
      </w:r>
    </w:p>
    <w:p w14:paraId="3600F91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720" w:firstLineChars="200"/>
        <w:textAlignment w:val="auto"/>
        <w:outlineLvl w:val="9"/>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r>
        <w:rPr>
          <w:rFonts w:hint="eastAsia" w:ascii="Times New Roman" w:hAnsi="Times New Roman" w:eastAsia="仿宋_GB2312" w:cs="Times New Roman"/>
          <w:color w:val="auto"/>
          <w:kern w:val="0"/>
          <w:sz w:val="36"/>
          <w:szCs w:val="36"/>
          <w:highlight w:val="none"/>
          <w:lang w:eastAsia="zh-CN"/>
        </w:rPr>
        <w:t>奇台县</w:t>
      </w:r>
      <w:r>
        <w:rPr>
          <w:rFonts w:hint="eastAsia" w:eastAsia="仿宋_GB2312" w:cs="Times New Roman"/>
          <w:color w:val="auto"/>
          <w:kern w:val="0"/>
          <w:sz w:val="36"/>
          <w:szCs w:val="36"/>
          <w:highlight w:val="none"/>
          <w:lang w:val="en-US" w:eastAsia="zh-CN"/>
        </w:rPr>
        <w:t>第一小学</w:t>
      </w:r>
    </w:p>
    <w:p w14:paraId="7AB8292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720" w:firstLineChars="200"/>
        <w:textAlignment w:val="auto"/>
        <w:outlineLvl w:val="9"/>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主管部门（公章）：</w:t>
      </w:r>
      <w:r>
        <w:rPr>
          <w:rFonts w:hint="eastAsia" w:ascii="Times New Roman" w:hAnsi="Times New Roman" w:eastAsia="仿宋_GB2312" w:cs="Times New Roman"/>
          <w:color w:val="auto"/>
          <w:kern w:val="0"/>
          <w:sz w:val="36"/>
          <w:szCs w:val="36"/>
          <w:highlight w:val="none"/>
          <w:lang w:val="en-US" w:eastAsia="zh-CN"/>
        </w:rPr>
        <w:t>奇台县教育局</w:t>
      </w:r>
    </w:p>
    <w:p w14:paraId="53EEA8E4">
      <w:pPr>
        <w:spacing w:line="700" w:lineRule="exact"/>
        <w:ind w:firstLine="1440" w:firstLineChars="400"/>
        <w:jc w:val="left"/>
        <w:rPr>
          <w:rFonts w:hint="eastAsia"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卫明</w:t>
      </w:r>
    </w:p>
    <w:p w14:paraId="7AE15E05">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5</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7</w:t>
      </w:r>
      <w:r>
        <w:rPr>
          <w:rFonts w:hint="default" w:ascii="Times New Roman" w:hAnsi="Times New Roman" w:eastAsia="仿宋_GB2312" w:cs="Times New Roman"/>
          <w:color w:val="auto"/>
          <w:kern w:val="0"/>
          <w:sz w:val="36"/>
          <w:szCs w:val="36"/>
          <w:highlight w:val="none"/>
        </w:rPr>
        <w:t>日</w:t>
      </w:r>
    </w:p>
    <w:p w14:paraId="60F11EA2">
      <w:pPr>
        <w:spacing w:line="540" w:lineRule="exact"/>
        <w:jc w:val="center"/>
        <w:rPr>
          <w:rFonts w:hint="default" w:ascii="Times New Roman" w:hAnsi="Times New Roman" w:eastAsia="仿宋_GB2312" w:cs="Times New Roman"/>
          <w:color w:val="auto"/>
          <w:kern w:val="0"/>
          <w:sz w:val="30"/>
          <w:szCs w:val="30"/>
          <w:highlight w:val="none"/>
        </w:rPr>
      </w:pPr>
    </w:p>
    <w:p w14:paraId="1356C7C8">
      <w:pPr>
        <w:spacing w:line="540" w:lineRule="exact"/>
        <w:rPr>
          <w:rStyle w:val="16"/>
          <w:rFonts w:hint="default" w:ascii="Times New Roman" w:hAnsi="Times New Roman" w:eastAsia="黑体" w:cs="Times New Roman"/>
          <w:b w:val="0"/>
          <w:color w:val="auto"/>
          <w:spacing w:val="-4"/>
          <w:sz w:val="32"/>
          <w:szCs w:val="32"/>
          <w:highlight w:val="none"/>
        </w:rPr>
      </w:pPr>
    </w:p>
    <w:p w14:paraId="4EB3AF1A">
      <w:pPr>
        <w:spacing w:line="540" w:lineRule="exact"/>
        <w:ind w:firstLine="640"/>
        <w:rPr>
          <w:rStyle w:val="16"/>
          <w:rFonts w:hint="default" w:ascii="Times New Roman" w:hAnsi="Times New Roman" w:eastAsia="黑体" w:cs="Times New Roman"/>
          <w:b w:val="0"/>
          <w:color w:val="auto"/>
          <w:spacing w:val="-4"/>
          <w:sz w:val="32"/>
          <w:szCs w:val="32"/>
          <w:highlight w:val="none"/>
        </w:rPr>
      </w:pPr>
    </w:p>
    <w:p w14:paraId="17461BCC">
      <w:pPr>
        <w:spacing w:line="540" w:lineRule="exact"/>
        <w:rPr>
          <w:rStyle w:val="16"/>
          <w:rFonts w:hint="default" w:ascii="Times New Roman" w:hAnsi="Times New Roman" w:eastAsia="黑体" w:cs="Times New Roman"/>
          <w:b w:val="0"/>
          <w:color w:val="auto"/>
          <w:spacing w:val="-4"/>
          <w:sz w:val="32"/>
          <w:szCs w:val="32"/>
          <w:highlight w:val="none"/>
        </w:rPr>
      </w:pPr>
    </w:p>
    <w:p w14:paraId="03DC2FC0">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3999E838">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5A921D7B">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045B0D7C">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1120CCF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根据昌吉州人民政府《昌州财教【2023】90号2024年城乡义务教育补助预算经费【中央资金】-校舍安全》，拟投入114万元改善校园环境。维修改造工程数量</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1.奇台县</w:t>
      </w:r>
      <w:r>
        <w:rPr>
          <w:rFonts w:hint="eastAsia" w:eastAsia="仿宋_GB2312" w:cs="Times New Roman"/>
          <w:color w:val="auto"/>
          <w:sz w:val="32"/>
          <w:szCs w:val="32"/>
          <w:highlight w:val="none"/>
          <w:lang w:val="en-US" w:eastAsia="zh-CN"/>
        </w:rPr>
        <w:t>第一小学硅PU篮球场修建</w:t>
      </w:r>
      <w:r>
        <w:rPr>
          <w:rFonts w:hint="eastAsia" w:ascii="Times New Roman" w:hAnsi="Times New Roman" w:eastAsia="仿宋_GB2312" w:cs="Times New Roman"/>
          <w:color w:val="auto"/>
          <w:sz w:val="32"/>
          <w:szCs w:val="32"/>
          <w:highlight w:val="none"/>
          <w:lang w:val="en-US" w:eastAsia="zh-CN"/>
        </w:rPr>
        <w:t>面积</w:t>
      </w:r>
      <w:r>
        <w:rPr>
          <w:rFonts w:hint="eastAsia" w:eastAsia="仿宋_GB2312" w:cs="Times New Roman"/>
          <w:color w:val="auto"/>
          <w:sz w:val="32"/>
          <w:szCs w:val="32"/>
          <w:highlight w:val="none"/>
          <w:lang w:val="en-US" w:eastAsia="zh-CN"/>
        </w:rPr>
        <w:t>3700</w:t>
      </w:r>
      <w:r>
        <w:rPr>
          <w:rFonts w:hint="eastAsia" w:ascii="Times New Roman" w:hAnsi="Times New Roman" w:eastAsia="仿宋_GB2312" w:cs="Times New Roman"/>
          <w:color w:val="auto"/>
          <w:sz w:val="32"/>
          <w:szCs w:val="32"/>
          <w:highlight w:val="none"/>
          <w:lang w:val="en-US" w:eastAsia="zh-CN"/>
        </w:rPr>
        <w:t>平方米.2.</w:t>
      </w:r>
      <w:r>
        <w:rPr>
          <w:rFonts w:hint="eastAsia" w:eastAsia="仿宋_GB2312" w:cs="Times New Roman"/>
          <w:color w:val="auto"/>
          <w:sz w:val="32"/>
          <w:szCs w:val="32"/>
          <w:highlight w:val="none"/>
          <w:lang w:val="en-US" w:eastAsia="zh-CN"/>
        </w:rPr>
        <w:t>润泽楼</w:t>
      </w:r>
      <w:r>
        <w:rPr>
          <w:rFonts w:hint="eastAsia" w:ascii="Times New Roman" w:hAnsi="Times New Roman" w:eastAsia="仿宋_GB2312" w:cs="Times New Roman"/>
          <w:color w:val="auto"/>
          <w:sz w:val="32"/>
          <w:szCs w:val="32"/>
          <w:highlight w:val="none"/>
          <w:lang w:val="en-US" w:eastAsia="zh-CN"/>
        </w:rPr>
        <w:t>楼</w:t>
      </w:r>
      <w:r>
        <w:rPr>
          <w:rFonts w:hint="eastAsia" w:eastAsia="仿宋_GB2312" w:cs="Times New Roman"/>
          <w:color w:val="auto"/>
          <w:sz w:val="32"/>
          <w:szCs w:val="32"/>
          <w:highlight w:val="none"/>
          <w:lang w:val="en-US" w:eastAsia="zh-CN"/>
        </w:rPr>
        <w:t>塑钢窗更换410</w:t>
      </w:r>
      <w:r>
        <w:rPr>
          <w:rFonts w:hint="eastAsia" w:ascii="Times New Roman" w:hAnsi="Times New Roman" w:eastAsia="仿宋_GB2312" w:cs="Times New Roman"/>
          <w:color w:val="auto"/>
          <w:sz w:val="32"/>
          <w:szCs w:val="32"/>
          <w:highlight w:val="none"/>
          <w:lang w:val="en-US" w:eastAsia="zh-CN"/>
        </w:rPr>
        <w:t>平方米</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通过项目的实施维修，进一步改善办学条件，促进校舍安全，广大师生员工的教学环境得到改善 校舍安全工程项目可行性报告，为了改善教学环境，保证师生生活质量，建设此项目.</w:t>
      </w:r>
    </w:p>
    <w:p w14:paraId="3E01C7F0">
      <w:pPr>
        <w:pStyle w:val="2"/>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39059CB7">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项目主要内容：</w:t>
      </w:r>
      <w:r>
        <w:rPr>
          <w:rFonts w:hint="eastAsia" w:ascii="Times New Roman" w:hAnsi="Times New Roman" w:eastAsia="仿宋_GB2312" w:cs="Times New Roman"/>
          <w:color w:val="auto"/>
          <w:sz w:val="32"/>
          <w:szCs w:val="32"/>
          <w:highlight w:val="none"/>
          <w:lang w:val="en-US" w:eastAsia="zh-CN"/>
        </w:rPr>
        <w:t>根据《昌州财教【2023】90号2024年城乡义务教育补助预算经费【中央资金】-校舍安全》，拟投入</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en-US" w:eastAsia="zh-CN"/>
        </w:rPr>
        <w:t>万元改善校园环境。维修改造工程数量</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1.奇台县</w:t>
      </w:r>
      <w:r>
        <w:rPr>
          <w:rFonts w:hint="eastAsia" w:eastAsia="仿宋_GB2312" w:cs="Times New Roman"/>
          <w:color w:val="auto"/>
          <w:sz w:val="32"/>
          <w:szCs w:val="32"/>
          <w:highlight w:val="none"/>
          <w:lang w:val="en-US" w:eastAsia="zh-CN"/>
        </w:rPr>
        <w:t>第一小学硅PU篮球场修建</w:t>
      </w:r>
      <w:r>
        <w:rPr>
          <w:rFonts w:hint="eastAsia" w:ascii="Times New Roman" w:hAnsi="Times New Roman" w:eastAsia="仿宋_GB2312" w:cs="Times New Roman"/>
          <w:color w:val="auto"/>
          <w:sz w:val="32"/>
          <w:szCs w:val="32"/>
          <w:highlight w:val="none"/>
          <w:lang w:val="en-US" w:eastAsia="zh-CN"/>
        </w:rPr>
        <w:t>面积</w:t>
      </w:r>
      <w:r>
        <w:rPr>
          <w:rFonts w:hint="eastAsia" w:eastAsia="仿宋_GB2312" w:cs="Times New Roman"/>
          <w:color w:val="auto"/>
          <w:sz w:val="32"/>
          <w:szCs w:val="32"/>
          <w:highlight w:val="none"/>
          <w:lang w:val="en-US" w:eastAsia="zh-CN"/>
        </w:rPr>
        <w:t>3700</w:t>
      </w:r>
      <w:r>
        <w:rPr>
          <w:rFonts w:hint="eastAsia" w:ascii="Times New Roman" w:hAnsi="Times New Roman" w:eastAsia="仿宋_GB2312" w:cs="Times New Roman"/>
          <w:color w:val="auto"/>
          <w:sz w:val="32"/>
          <w:szCs w:val="32"/>
          <w:highlight w:val="none"/>
          <w:lang w:val="en-US" w:eastAsia="zh-CN"/>
        </w:rPr>
        <w:t>平方米.2.</w:t>
      </w:r>
      <w:r>
        <w:rPr>
          <w:rFonts w:hint="eastAsia" w:eastAsia="仿宋_GB2312" w:cs="Times New Roman"/>
          <w:color w:val="auto"/>
          <w:sz w:val="32"/>
          <w:szCs w:val="32"/>
          <w:highlight w:val="none"/>
          <w:lang w:val="en-US" w:eastAsia="zh-CN"/>
        </w:rPr>
        <w:t>润泽楼</w:t>
      </w:r>
      <w:r>
        <w:rPr>
          <w:rFonts w:hint="eastAsia" w:ascii="Times New Roman" w:hAnsi="Times New Roman" w:eastAsia="仿宋_GB2312" w:cs="Times New Roman"/>
          <w:color w:val="auto"/>
          <w:sz w:val="32"/>
          <w:szCs w:val="32"/>
          <w:highlight w:val="none"/>
          <w:lang w:val="en-US" w:eastAsia="zh-CN"/>
        </w:rPr>
        <w:t>楼</w:t>
      </w:r>
      <w:r>
        <w:rPr>
          <w:rFonts w:hint="eastAsia" w:eastAsia="仿宋_GB2312" w:cs="Times New Roman"/>
          <w:color w:val="auto"/>
          <w:sz w:val="32"/>
          <w:szCs w:val="32"/>
          <w:highlight w:val="none"/>
          <w:lang w:val="en-US" w:eastAsia="zh-CN"/>
        </w:rPr>
        <w:t>塑钢窗更换410</w:t>
      </w:r>
      <w:r>
        <w:rPr>
          <w:rFonts w:hint="eastAsia" w:ascii="Times New Roman" w:hAnsi="Times New Roman" w:eastAsia="仿宋_GB2312" w:cs="Times New Roman"/>
          <w:color w:val="auto"/>
          <w:sz w:val="32"/>
          <w:szCs w:val="32"/>
          <w:highlight w:val="none"/>
          <w:lang w:val="en-US" w:eastAsia="zh-CN"/>
        </w:rPr>
        <w:t>平方米</w:t>
      </w:r>
      <w:r>
        <w:rPr>
          <w:rFonts w:hint="eastAsia" w:eastAsia="仿宋_GB2312" w:cs="Times New Roman"/>
          <w:color w:val="auto"/>
          <w:sz w:val="32"/>
          <w:szCs w:val="32"/>
          <w:highlight w:val="none"/>
          <w:lang w:val="en-US" w:eastAsia="zh-CN"/>
        </w:rPr>
        <w:t>。</w:t>
      </w:r>
    </w:p>
    <w:p w14:paraId="3FE61420">
      <w:pPr>
        <w:shd w:val="clear"/>
        <w:spacing w:line="600" w:lineRule="exact"/>
        <w:ind w:firstLine="640" w:firstLineChars="200"/>
        <w:outlineLvl w:val="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lang w:val="en-US" w:eastAsia="zh-CN"/>
        </w:rPr>
        <w:t>项目实施情况：</w:t>
      </w:r>
      <w:r>
        <w:rPr>
          <w:rFonts w:hint="eastAsia" w:eastAsia="仿宋_GB2312" w:cs="Times New Roman"/>
          <w:color w:val="auto"/>
          <w:sz w:val="32"/>
          <w:szCs w:val="32"/>
          <w:highlight w:val="none"/>
          <w:lang w:val="en-US" w:eastAsia="zh-CN"/>
        </w:rPr>
        <w:t>硅PU篮球场修建</w:t>
      </w:r>
      <w:r>
        <w:rPr>
          <w:rFonts w:hint="eastAsia" w:ascii="Times New Roman" w:hAnsi="Times New Roman" w:eastAsia="仿宋_GB2312" w:cs="Times New Roman"/>
          <w:color w:val="auto"/>
          <w:sz w:val="32"/>
          <w:szCs w:val="32"/>
          <w:highlight w:val="none"/>
          <w:lang w:val="en-US" w:eastAsia="zh-CN"/>
        </w:rPr>
        <w:t>面积</w:t>
      </w:r>
      <w:r>
        <w:rPr>
          <w:rFonts w:hint="eastAsia" w:eastAsia="仿宋_GB2312" w:cs="Times New Roman"/>
          <w:color w:val="auto"/>
          <w:sz w:val="32"/>
          <w:szCs w:val="32"/>
          <w:highlight w:val="none"/>
          <w:lang w:val="en-US" w:eastAsia="zh-CN"/>
        </w:rPr>
        <w:t>3700</w:t>
      </w:r>
      <w:r>
        <w:rPr>
          <w:rFonts w:hint="eastAsia" w:ascii="Times New Roman" w:hAnsi="Times New Roman" w:eastAsia="仿宋_GB2312" w:cs="Times New Roman"/>
          <w:color w:val="auto"/>
          <w:sz w:val="32"/>
          <w:szCs w:val="32"/>
          <w:highlight w:val="none"/>
          <w:lang w:val="en-US" w:eastAsia="zh-CN"/>
        </w:rPr>
        <w:t>平方米，工程完成合格率100%；完成</w:t>
      </w:r>
      <w:r>
        <w:rPr>
          <w:rFonts w:hint="eastAsia" w:eastAsia="仿宋_GB2312" w:cs="Times New Roman"/>
          <w:color w:val="auto"/>
          <w:sz w:val="32"/>
          <w:szCs w:val="32"/>
          <w:highlight w:val="none"/>
          <w:lang w:val="en-US" w:eastAsia="zh-CN"/>
        </w:rPr>
        <w:t>润泽楼</w:t>
      </w:r>
      <w:r>
        <w:rPr>
          <w:rFonts w:hint="eastAsia" w:ascii="Times New Roman" w:hAnsi="Times New Roman" w:eastAsia="仿宋_GB2312" w:cs="Times New Roman"/>
          <w:color w:val="auto"/>
          <w:sz w:val="32"/>
          <w:szCs w:val="32"/>
          <w:highlight w:val="none"/>
          <w:lang w:val="en-US" w:eastAsia="zh-CN"/>
        </w:rPr>
        <w:t>楼</w:t>
      </w:r>
      <w:r>
        <w:rPr>
          <w:rFonts w:hint="eastAsia" w:eastAsia="仿宋_GB2312" w:cs="Times New Roman"/>
          <w:color w:val="auto"/>
          <w:sz w:val="32"/>
          <w:szCs w:val="32"/>
          <w:highlight w:val="none"/>
          <w:lang w:val="en-US" w:eastAsia="zh-CN"/>
        </w:rPr>
        <w:t>塑钢窗更换410</w:t>
      </w:r>
      <w:r>
        <w:rPr>
          <w:rFonts w:hint="eastAsia" w:ascii="Times New Roman" w:hAnsi="Times New Roman" w:eastAsia="仿宋_GB2312" w:cs="Times New Roman"/>
          <w:color w:val="auto"/>
          <w:sz w:val="32"/>
          <w:szCs w:val="32"/>
          <w:highlight w:val="none"/>
          <w:lang w:val="en-US" w:eastAsia="zh-CN"/>
        </w:rPr>
        <w:t>平方米，合格率100%；合格率达到100%</w:t>
      </w:r>
      <w:r>
        <w:rPr>
          <w:rFonts w:hint="eastAsia" w:ascii="仿宋" w:hAnsi="仿宋" w:eastAsia="仿宋" w:cs="仿宋"/>
          <w:color w:val="auto"/>
          <w:sz w:val="32"/>
          <w:szCs w:val="32"/>
          <w:highlight w:val="none"/>
          <w:lang w:val="en-US" w:eastAsia="zh-CN"/>
        </w:rPr>
        <w:t>；学校师生满意度</w:t>
      </w:r>
      <w:r>
        <w:rPr>
          <w:rFonts w:hint="eastAsia" w:ascii="仿宋" w:hAnsi="仿宋" w:eastAsia="仿宋" w:cs="仿宋"/>
          <w:sz w:val="32"/>
          <w:szCs w:val="40"/>
          <w:lang w:val="en-US" w:eastAsia="zh-CN"/>
        </w:rPr>
        <w:t>达到</w:t>
      </w:r>
      <w:r>
        <w:rPr>
          <w:rFonts w:hint="eastAsia" w:ascii="仿宋" w:hAnsi="仿宋" w:eastAsia="仿宋" w:cs="仿宋"/>
          <w:color w:val="auto"/>
          <w:sz w:val="32"/>
          <w:szCs w:val="32"/>
          <w:highlight w:val="none"/>
          <w:lang w:val="en-US" w:eastAsia="zh-CN"/>
        </w:rPr>
        <w:t>90%。</w:t>
      </w:r>
    </w:p>
    <w:p w14:paraId="2991D75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3.资金投入和使用情况</w:t>
      </w:r>
    </w:p>
    <w:p w14:paraId="2B0900E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08678D7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44D164D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29C61A1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硅PU篮球场修建</w:t>
      </w:r>
      <w:r>
        <w:rPr>
          <w:rFonts w:hint="eastAsia" w:ascii="Times New Roman" w:hAnsi="Times New Roman" w:eastAsia="仿宋_GB2312" w:cs="Times New Roman"/>
          <w:color w:val="auto"/>
          <w:sz w:val="32"/>
          <w:szCs w:val="32"/>
          <w:highlight w:val="none"/>
          <w:lang w:val="en-US" w:eastAsia="zh-CN"/>
        </w:rPr>
        <w:t>面积</w:t>
      </w:r>
      <w:r>
        <w:rPr>
          <w:rFonts w:hint="eastAsia" w:eastAsia="仿宋_GB2312" w:cs="Times New Roman"/>
          <w:color w:val="auto"/>
          <w:sz w:val="32"/>
          <w:szCs w:val="32"/>
          <w:highlight w:val="none"/>
          <w:lang w:val="en-US" w:eastAsia="zh-CN"/>
        </w:rPr>
        <w:t>3700</w:t>
      </w:r>
      <w:r>
        <w:rPr>
          <w:rFonts w:hint="eastAsia" w:ascii="Times New Roman" w:hAnsi="Times New Roman" w:eastAsia="仿宋_GB2312" w:cs="Times New Roman"/>
          <w:color w:val="auto"/>
          <w:sz w:val="32"/>
          <w:szCs w:val="32"/>
          <w:highlight w:val="none"/>
          <w:lang w:val="en-US" w:eastAsia="zh-CN"/>
        </w:rPr>
        <w:t>平方米</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完成</w:t>
      </w:r>
      <w:r>
        <w:rPr>
          <w:rFonts w:hint="eastAsia" w:eastAsia="仿宋_GB2312" w:cs="Times New Roman"/>
          <w:color w:val="auto"/>
          <w:sz w:val="32"/>
          <w:szCs w:val="32"/>
          <w:highlight w:val="none"/>
          <w:lang w:val="en-US" w:eastAsia="zh-CN"/>
        </w:rPr>
        <w:t>润泽楼</w:t>
      </w:r>
      <w:r>
        <w:rPr>
          <w:rFonts w:hint="eastAsia" w:ascii="Times New Roman" w:hAnsi="Times New Roman" w:eastAsia="仿宋_GB2312" w:cs="Times New Roman"/>
          <w:color w:val="auto"/>
          <w:sz w:val="32"/>
          <w:szCs w:val="32"/>
          <w:highlight w:val="none"/>
          <w:lang w:val="en-US" w:eastAsia="zh-CN"/>
        </w:rPr>
        <w:t>楼</w:t>
      </w:r>
      <w:r>
        <w:rPr>
          <w:rFonts w:hint="eastAsia" w:eastAsia="仿宋_GB2312" w:cs="Times New Roman"/>
          <w:color w:val="auto"/>
          <w:sz w:val="32"/>
          <w:szCs w:val="32"/>
          <w:highlight w:val="none"/>
          <w:lang w:val="en-US" w:eastAsia="zh-CN"/>
        </w:rPr>
        <w:t>塑钢窗更换410</w:t>
      </w:r>
      <w:r>
        <w:rPr>
          <w:rFonts w:hint="eastAsia" w:ascii="Times New Roman" w:hAnsi="Times New Roman" w:eastAsia="仿宋_GB2312" w:cs="Times New Roman"/>
          <w:color w:val="auto"/>
          <w:sz w:val="32"/>
          <w:szCs w:val="32"/>
          <w:highlight w:val="none"/>
          <w:lang w:val="en-US" w:eastAsia="zh-CN"/>
        </w:rPr>
        <w:t>平方米</w:t>
      </w:r>
      <w:r>
        <w:rPr>
          <w:rFonts w:hint="default" w:ascii="Times New Roman" w:hAnsi="Times New Roman" w:eastAsia="仿宋_GB2312" w:cs="Times New Roman"/>
          <w:color w:val="auto"/>
          <w:sz w:val="32"/>
          <w:szCs w:val="32"/>
          <w:highlight w:val="none"/>
          <w:lang w:val="en-US" w:eastAsia="zh-CN"/>
        </w:rPr>
        <w:t>。</w:t>
      </w:r>
    </w:p>
    <w:p w14:paraId="4255DAED">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5917B88F">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14:paraId="2CE0EB9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eastAsia="zh-CN"/>
        </w:rPr>
        <w:t>2024年城乡义务教育补助经费预算[中央直达资金]-校舍安全项目</w:t>
      </w:r>
      <w:r>
        <w:rPr>
          <w:rFonts w:hint="eastAsia" w:ascii="Times New Roman" w:hAnsi="Times New Roman" w:eastAsia="仿宋_GB2312" w:cs="Times New Roman"/>
          <w:color w:val="auto"/>
          <w:sz w:val="32"/>
          <w:szCs w:val="32"/>
          <w:highlight w:val="none"/>
          <w:lang w:val="en-US" w:eastAsia="zh-CN"/>
        </w:rPr>
        <w:t>绩效总体目标为：本项目拟投入</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en-US" w:eastAsia="zh-CN"/>
        </w:rPr>
        <w:t>万元用于建设：</w:t>
      </w:r>
      <w:r>
        <w:rPr>
          <w:rFonts w:hint="eastAsia" w:eastAsia="仿宋_GB2312" w:cs="Times New Roman"/>
          <w:color w:val="auto"/>
          <w:sz w:val="32"/>
          <w:szCs w:val="32"/>
          <w:highlight w:val="none"/>
          <w:lang w:val="en-US" w:eastAsia="zh-CN"/>
        </w:rPr>
        <w:t>3700</w:t>
      </w:r>
      <w:r>
        <w:rPr>
          <w:rFonts w:hint="eastAsia" w:ascii="Times New Roman" w:hAnsi="Times New Roman" w:eastAsia="仿宋_GB2312" w:cs="Times New Roman"/>
          <w:color w:val="auto"/>
          <w:sz w:val="32"/>
          <w:szCs w:val="32"/>
          <w:highlight w:val="none"/>
          <w:lang w:val="en-US" w:eastAsia="zh-CN"/>
        </w:rPr>
        <w:t>平方米</w:t>
      </w:r>
      <w:r>
        <w:rPr>
          <w:rFonts w:hint="eastAsia" w:eastAsia="仿宋_GB2312" w:cs="Times New Roman"/>
          <w:color w:val="auto"/>
          <w:sz w:val="32"/>
          <w:szCs w:val="32"/>
          <w:highlight w:val="none"/>
          <w:lang w:val="en-US" w:eastAsia="zh-CN"/>
        </w:rPr>
        <w:t>硅PU篮球场</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更换润泽楼塑钢窗410</w:t>
      </w:r>
      <w:r>
        <w:rPr>
          <w:rFonts w:hint="eastAsia" w:ascii="Times New Roman" w:hAnsi="Times New Roman" w:eastAsia="仿宋_GB2312" w:cs="Times New Roman"/>
          <w:color w:val="auto"/>
          <w:sz w:val="32"/>
          <w:szCs w:val="32"/>
          <w:highlight w:val="none"/>
          <w:lang w:val="en-US" w:eastAsia="zh-CN"/>
        </w:rPr>
        <w:t>平方米</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 xml:space="preserve"> 于202</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en-US" w:eastAsia="zh-CN"/>
        </w:rPr>
        <w:t>年</w:t>
      </w:r>
      <w:r>
        <w:rPr>
          <w:rFonts w:hint="eastAsia" w:eastAsia="仿宋_GB2312" w:cs="Times New Roman"/>
          <w:color w:val="auto"/>
          <w:sz w:val="32"/>
          <w:szCs w:val="32"/>
          <w:highlight w:val="none"/>
          <w:lang w:val="en-US" w:eastAsia="zh-CN"/>
        </w:rPr>
        <w:t>11</w:t>
      </w:r>
      <w:r>
        <w:rPr>
          <w:rFonts w:hint="eastAsia" w:ascii="Times New Roman" w:hAnsi="Times New Roman" w:eastAsia="仿宋_GB2312" w:cs="Times New Roman"/>
          <w:color w:val="auto"/>
          <w:sz w:val="32"/>
          <w:szCs w:val="32"/>
          <w:highlight w:val="none"/>
          <w:lang w:val="en-US" w:eastAsia="zh-CN"/>
        </w:rPr>
        <w:t>月</w:t>
      </w:r>
      <w:r>
        <w:rPr>
          <w:rFonts w:hint="eastAsia"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lang w:val="en-US" w:eastAsia="zh-CN"/>
        </w:rPr>
        <w:t>日前完工，通过本项目的实施，加强和改善了奇台</w:t>
      </w:r>
      <w:r>
        <w:rPr>
          <w:rFonts w:hint="eastAsia" w:eastAsia="仿宋_GB2312" w:cs="Times New Roman"/>
          <w:color w:val="auto"/>
          <w:sz w:val="32"/>
          <w:szCs w:val="32"/>
          <w:highlight w:val="none"/>
          <w:lang w:val="en-US" w:eastAsia="zh-CN"/>
        </w:rPr>
        <w:t>一小</w:t>
      </w:r>
      <w:r>
        <w:rPr>
          <w:rFonts w:hint="eastAsia" w:ascii="Times New Roman" w:hAnsi="Times New Roman" w:eastAsia="仿宋_GB2312" w:cs="Times New Roman"/>
          <w:color w:val="auto"/>
          <w:sz w:val="32"/>
          <w:szCs w:val="32"/>
          <w:highlight w:val="none"/>
          <w:lang w:val="en-US" w:eastAsia="zh-CN"/>
        </w:rPr>
        <w:t>的教学硬件条件建设需要，促进奇台</w:t>
      </w:r>
      <w:r>
        <w:rPr>
          <w:rFonts w:hint="eastAsia" w:eastAsia="仿宋_GB2312" w:cs="Times New Roman"/>
          <w:color w:val="auto"/>
          <w:sz w:val="32"/>
          <w:szCs w:val="32"/>
          <w:highlight w:val="none"/>
          <w:lang w:val="en-US" w:eastAsia="zh-CN"/>
        </w:rPr>
        <w:t>一小</w:t>
      </w:r>
      <w:r>
        <w:rPr>
          <w:rFonts w:hint="eastAsia" w:ascii="Times New Roman" w:hAnsi="Times New Roman" w:eastAsia="仿宋_GB2312" w:cs="Times New Roman"/>
          <w:color w:val="auto"/>
          <w:sz w:val="32"/>
          <w:szCs w:val="32"/>
          <w:highlight w:val="none"/>
          <w:lang w:val="en-US" w:eastAsia="zh-CN"/>
        </w:rPr>
        <w:t>教育教学的发展，使学生、家长、社会满意度达到</w:t>
      </w:r>
      <w:r>
        <w:rPr>
          <w:rFonts w:hint="eastAsia" w:eastAsia="仿宋_GB2312" w:cs="Times New Roman"/>
          <w:color w:val="auto"/>
          <w:sz w:val="32"/>
          <w:szCs w:val="32"/>
          <w:highlight w:val="none"/>
          <w:lang w:val="en-US" w:eastAsia="zh-CN"/>
        </w:rPr>
        <w:t>一定的满意度。</w:t>
      </w:r>
    </w:p>
    <w:p w14:paraId="628E0A9B">
      <w:pPr>
        <w:numPr>
          <w:ilvl w:val="0"/>
          <w:numId w:val="1"/>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阶段性目标</w:t>
      </w:r>
    </w:p>
    <w:p w14:paraId="36AD8DF8">
      <w:pPr>
        <w:numPr>
          <w:ilvl w:val="0"/>
          <w:numId w:val="0"/>
        </w:num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2024年城乡义务教育补助经费预算[中央直达资金]-校舍安全1.</w:t>
      </w:r>
      <w:r>
        <w:rPr>
          <w:rFonts w:hint="eastAsia" w:eastAsia="仿宋_GB2312" w:cs="Times New Roman"/>
          <w:color w:val="auto"/>
          <w:sz w:val="32"/>
          <w:szCs w:val="32"/>
          <w:highlight w:val="none"/>
          <w:lang w:val="en-US" w:eastAsia="zh-CN"/>
        </w:rPr>
        <w:t>硅PU篮球场修建</w:t>
      </w:r>
      <w:r>
        <w:rPr>
          <w:rFonts w:hint="eastAsia" w:ascii="Times New Roman" w:hAnsi="Times New Roman" w:eastAsia="仿宋_GB2312" w:cs="Times New Roman"/>
          <w:color w:val="auto"/>
          <w:sz w:val="32"/>
          <w:szCs w:val="32"/>
          <w:highlight w:val="none"/>
          <w:lang w:val="en-US" w:eastAsia="zh-CN"/>
        </w:rPr>
        <w:t>面积</w:t>
      </w:r>
      <w:r>
        <w:rPr>
          <w:rFonts w:hint="eastAsia" w:eastAsia="仿宋_GB2312" w:cs="Times New Roman"/>
          <w:color w:val="auto"/>
          <w:sz w:val="32"/>
          <w:szCs w:val="32"/>
          <w:highlight w:val="none"/>
          <w:lang w:val="en-US" w:eastAsia="zh-CN"/>
        </w:rPr>
        <w:t>3700</w:t>
      </w:r>
      <w:r>
        <w:rPr>
          <w:rFonts w:hint="eastAsia" w:ascii="Times New Roman" w:hAnsi="Times New Roman" w:eastAsia="仿宋_GB2312" w:cs="Times New Roman"/>
          <w:color w:val="auto"/>
          <w:sz w:val="32"/>
          <w:szCs w:val="32"/>
          <w:highlight w:val="none"/>
          <w:lang w:val="en-US" w:eastAsia="zh-CN"/>
        </w:rPr>
        <w:t>平方米</w:t>
      </w:r>
      <w:r>
        <w:rPr>
          <w:rFonts w:hint="eastAsia" w:eastAsia="仿宋_GB2312" w:cs="Times New Roman"/>
          <w:color w:val="auto"/>
          <w:sz w:val="30"/>
          <w:szCs w:val="30"/>
          <w:highlight w:val="none"/>
          <w:lang w:val="en-US" w:eastAsia="zh-CN"/>
        </w:rPr>
        <w:t>，计划在2024年9月1日开学之前完成安装70%，保证开学正常上课。</w:t>
      </w:r>
      <w:r>
        <w:rPr>
          <w:rFonts w:hint="default" w:ascii="Times New Roman" w:hAnsi="Times New Roman" w:eastAsia="仿宋_GB2312" w:cs="Times New Roman"/>
          <w:color w:val="auto"/>
          <w:sz w:val="30"/>
          <w:szCs w:val="30"/>
          <w:highlight w:val="none"/>
          <w:lang w:val="en-US" w:eastAsia="zh-CN"/>
        </w:rPr>
        <w:t>2.</w:t>
      </w:r>
      <w:r>
        <w:rPr>
          <w:rFonts w:hint="eastAsia" w:eastAsia="仿宋_GB2312" w:cs="Times New Roman"/>
          <w:color w:val="auto"/>
          <w:sz w:val="32"/>
          <w:szCs w:val="32"/>
          <w:highlight w:val="none"/>
          <w:lang w:val="en-US" w:eastAsia="zh-CN"/>
        </w:rPr>
        <w:t>润泽楼</w:t>
      </w:r>
      <w:r>
        <w:rPr>
          <w:rFonts w:hint="eastAsia" w:ascii="Times New Roman" w:hAnsi="Times New Roman" w:eastAsia="仿宋_GB2312" w:cs="Times New Roman"/>
          <w:color w:val="auto"/>
          <w:sz w:val="32"/>
          <w:szCs w:val="32"/>
          <w:highlight w:val="none"/>
          <w:lang w:val="en-US" w:eastAsia="zh-CN"/>
        </w:rPr>
        <w:t>楼</w:t>
      </w:r>
      <w:r>
        <w:rPr>
          <w:rFonts w:hint="eastAsia" w:eastAsia="仿宋_GB2312" w:cs="Times New Roman"/>
          <w:color w:val="auto"/>
          <w:sz w:val="32"/>
          <w:szCs w:val="32"/>
          <w:highlight w:val="none"/>
          <w:lang w:val="en-US" w:eastAsia="zh-CN"/>
        </w:rPr>
        <w:t>塑钢窗更换410</w:t>
      </w:r>
      <w:r>
        <w:rPr>
          <w:rFonts w:hint="eastAsia" w:ascii="Times New Roman" w:hAnsi="Times New Roman" w:eastAsia="仿宋_GB2312" w:cs="Times New Roman"/>
          <w:color w:val="auto"/>
          <w:sz w:val="32"/>
          <w:szCs w:val="32"/>
          <w:highlight w:val="none"/>
          <w:lang w:val="en-US" w:eastAsia="zh-CN"/>
        </w:rPr>
        <w:t>平方米</w:t>
      </w:r>
      <w:r>
        <w:rPr>
          <w:rFonts w:hint="default" w:ascii="Times New Roman" w:hAnsi="Times New Roman" w:eastAsia="仿宋_GB2312" w:cs="Times New Roman"/>
          <w:color w:val="auto"/>
          <w:sz w:val="30"/>
          <w:szCs w:val="30"/>
          <w:highlight w:val="none"/>
          <w:lang w:val="en-US" w:eastAsia="zh-CN"/>
        </w:rPr>
        <w:t>，</w:t>
      </w:r>
      <w:r>
        <w:rPr>
          <w:rFonts w:hint="eastAsia" w:eastAsia="仿宋_GB2312" w:cs="Times New Roman"/>
          <w:color w:val="auto"/>
          <w:sz w:val="30"/>
          <w:szCs w:val="30"/>
          <w:highlight w:val="none"/>
          <w:lang w:val="en-US" w:eastAsia="zh-CN"/>
        </w:rPr>
        <w:t>计划在2024年9月1日之前完成窗户安装，保证开学正常上课。</w:t>
      </w:r>
      <w:r>
        <w:rPr>
          <w:rFonts w:hint="default" w:ascii="Times New Roman" w:hAnsi="Times New Roman" w:eastAsia="仿宋_GB2312" w:cs="Times New Roman"/>
          <w:color w:val="auto"/>
          <w:sz w:val="30"/>
          <w:szCs w:val="30"/>
          <w:highlight w:val="none"/>
          <w:lang w:val="en-US" w:eastAsia="zh-CN"/>
        </w:rPr>
        <w:t>按计划时间完工</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提高义务教育教学质量，保障教师和学生的学习环境。</w:t>
      </w:r>
    </w:p>
    <w:p w14:paraId="7A87CD36">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3DD19597">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0D606EC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1FA8999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C8CC450">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在评价指标体系的构建上，充分考虑了项目的性质、目标以及预期成果，选取了具有代表性和可衡量性的关键指标，涵盖了产出指标、成本指标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效益指标、</w:t>
      </w:r>
      <w:r>
        <w:rPr>
          <w:rFonts w:hint="eastAsia" w:eastAsia="仿宋_GB2312" w:cs="Times New Roman"/>
          <w:color w:val="auto"/>
          <w:sz w:val="32"/>
          <w:szCs w:val="32"/>
          <w:highlight w:val="none"/>
          <w:lang w:val="en-US" w:eastAsia="zh-CN"/>
        </w:rPr>
        <w:t>满意度指标</w:t>
      </w:r>
      <w:r>
        <w:rPr>
          <w:rFonts w:hint="default" w:ascii="Times New Roman" w:hAnsi="Times New Roman" w:eastAsia="仿宋_GB2312" w:cs="Times New Roman"/>
          <w:color w:val="auto"/>
          <w:sz w:val="32"/>
          <w:szCs w:val="32"/>
          <w:highlight w:val="none"/>
          <w:lang w:val="en-US" w:eastAsia="zh-CN"/>
        </w:rPr>
        <w:t>等多个维度，力求全方位反映项目的绩效状况。同时，对于每个指标的评价标准和数据来源均进行了明确说明，确保评价结果的客观性和可追溯性。</w:t>
      </w:r>
    </w:p>
    <w:p w14:paraId="0C64AF3C">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D964379">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F922A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E0FA341">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4AA49F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155171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color w:val="auto"/>
          <w:sz w:val="32"/>
          <w:szCs w:val="32"/>
          <w:highlight w:val="none"/>
          <w:lang w:val="en-US" w:eastAsia="zh-CN"/>
        </w:rPr>
        <w:t>产出指标、成本指标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效益指标、</w:t>
      </w:r>
      <w:r>
        <w:rPr>
          <w:rFonts w:hint="eastAsia" w:eastAsia="仿宋_GB2312" w:cs="Times New Roman"/>
          <w:color w:val="auto"/>
          <w:sz w:val="32"/>
          <w:szCs w:val="32"/>
          <w:highlight w:val="none"/>
          <w:lang w:val="en-US" w:eastAsia="zh-CN"/>
        </w:rPr>
        <w:t>满意度指标</w:t>
      </w:r>
      <w:r>
        <w:rPr>
          <w:rFonts w:hint="default" w:ascii="Times New Roman" w:hAnsi="Times New Roman" w:eastAsia="仿宋_GB2312" w:cs="Times New Roman"/>
          <w:color w:val="auto"/>
          <w:sz w:val="32"/>
          <w:szCs w:val="32"/>
          <w:highlight w:val="none"/>
        </w:rPr>
        <w:t>等多维度指标，为项目后续的改进与优化提供科学依据。</w:t>
      </w:r>
    </w:p>
    <w:p w14:paraId="5806AE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04DF9F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1FE5D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2D7645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459D5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59B09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110AF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7362A0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CB96B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5D3952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63718BA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eastAsia" w:ascii="Times New Roman" w:hAnsi="Times New Roman" w:eastAsia="仿宋_GB2312" w:cs="Times New Roman"/>
          <w:b w:val="0"/>
          <w:bCs w:val="0"/>
          <w:color w:val="auto"/>
          <w:highlight w:val="none"/>
          <w:lang w:eastAsia="zh-CN"/>
        </w:rPr>
        <w:t>2024年城乡义务教育补助经费预算[中央直达资金]-校舍安全</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eastAsia="zh-CN"/>
        </w:rPr>
        <w:t>奇台县第</w:t>
      </w:r>
      <w:r>
        <w:rPr>
          <w:rFonts w:hint="eastAsia" w:ascii="Times New Roman" w:hAnsi="Times New Roman" w:eastAsia="仿宋_GB2312" w:cs="Times New Roman"/>
          <w:b w:val="0"/>
          <w:bCs w:val="0"/>
          <w:color w:val="auto"/>
          <w:highlight w:val="none"/>
          <w:lang w:val="en-US" w:eastAsia="zh-CN"/>
        </w:rPr>
        <w:t>一小学</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val="en-US" w:eastAsia="zh-CN"/>
        </w:rPr>
        <w:t>提高义务教育教学质量，保障教师和学生的学习环境。</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2024年6月7</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2024年11月5日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6C49A53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1AB17CE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1F1C0400">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41BF3D3C">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3C6F556A">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66B8AEC0">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rPr>
        <w:t>、经济等方面的综合影响。</w:t>
      </w:r>
    </w:p>
    <w:p w14:paraId="4596F9E3">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647B7DF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7BDF4540">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535FDB6B">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16B02BDB">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6130DA1E">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72BC342D">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1215B7E3">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3540687C">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F46632F">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1454C11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9DC32F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63F7D959">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C79692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5396179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D4C79BC">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6C3764CE">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03EB0DA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76604C6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5C35252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88D4EFB">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1DDCAD2F">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14:paraId="63EC31E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p>
    <w:p w14:paraId="44B5B07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（四）最低成本法。是指在绩效目标确定的前提下，成本最小者为优的方法。</w:t>
      </w:r>
    </w:p>
    <w:p w14:paraId="169CA02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（五）公众评判法。是指通过专家评估、公众问卷及抽样调查等方式进行评判的方法。</w:t>
      </w:r>
    </w:p>
    <w:p w14:paraId="26ACC3F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（六）标杆管理法。是指以国内外同行业中较高的绩效水平为标杆进行评判的方法。</w:t>
      </w:r>
    </w:p>
    <w:p w14:paraId="123314B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（七）其他评价方法。</w:t>
      </w:r>
    </w:p>
    <w:p w14:paraId="08AF8F2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1758E15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绩效评价标准通常包括计划标准、行业标准、历史标准等，用于对绩效指标完成情况进行比较、分析、评价。本次评价主要采用了计划标准。</w:t>
      </w:r>
    </w:p>
    <w:p w14:paraId="32FD6B5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p>
    <w:p w14:paraId="70B0A762">
      <w:pPr>
        <w:pStyle w:val="2"/>
        <w:numPr>
          <w:ilvl w:val="0"/>
          <w:numId w:val="3"/>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2C078A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028D2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963A3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304CF4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2A0FE5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56B9DB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w:t>
      </w:r>
      <w:r>
        <w:rPr>
          <w:rFonts w:hint="eastAsia" w:eastAsia="仿宋_GB2312" w:cs="Times New Roman"/>
          <w:color w:val="auto"/>
          <w:sz w:val="32"/>
          <w:szCs w:val="32"/>
          <w:highlight w:val="none"/>
          <w:lang w:eastAsia="zh-CN"/>
        </w:rPr>
        <w:t>师生</w:t>
      </w:r>
      <w:r>
        <w:rPr>
          <w:rFonts w:hint="default" w:ascii="Times New Roman" w:hAnsi="Times New Roman" w:eastAsia="仿宋_GB2312" w:cs="Times New Roman"/>
          <w:color w:val="auto"/>
          <w:sz w:val="32"/>
          <w:szCs w:val="32"/>
          <w:highlight w:val="none"/>
          <w:lang w:eastAsia="zh-CN"/>
        </w:rPr>
        <w:t>反馈等。在数据收集过程中，注重数据的质量与完整性，对缺失或异常的数据进行了合理的处理和补充。随后，对收集到的数据进行了系统的整理与分类，为后续的数据分析提供了有力支持。</w:t>
      </w:r>
    </w:p>
    <w:p w14:paraId="2728B9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164289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93D37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21E6E2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CD2CC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71E725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F74D193">
      <w:pPr>
        <w:numPr>
          <w:ilvl w:val="0"/>
          <w:numId w:val="4"/>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040B8002">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2379A60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城乡义务教育补助经费预算[中央直达资金]-校舍安全在产出指标、成本指标等方面表现出色，达到了预期的标准与要求。同时，项目也在</w:t>
      </w:r>
      <w:r>
        <w:rPr>
          <w:rFonts w:hint="eastAsia" w:eastAsia="仿宋_GB2312" w:cs="Times New Roman"/>
          <w:color w:val="auto"/>
          <w:sz w:val="32"/>
          <w:szCs w:val="32"/>
          <w:highlight w:val="none"/>
          <w:lang w:val="en-US" w:eastAsia="zh-CN"/>
        </w:rPr>
        <w:t>质量</w:t>
      </w: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时效</w:t>
      </w:r>
      <w:r>
        <w:rPr>
          <w:rFonts w:hint="default" w:ascii="Times New Roman" w:hAnsi="Times New Roman" w:eastAsia="仿宋_GB2312" w:cs="Times New Roman"/>
          <w:color w:val="auto"/>
          <w:sz w:val="32"/>
          <w:szCs w:val="32"/>
          <w:highlight w:val="none"/>
        </w:rPr>
        <w:t>指标取得了显著的成效，如</w:t>
      </w:r>
      <w:r>
        <w:rPr>
          <w:rFonts w:hint="eastAsia" w:eastAsia="仿宋_GB2312" w:cs="Times New Roman"/>
          <w:color w:val="auto"/>
          <w:sz w:val="32"/>
          <w:szCs w:val="32"/>
          <w:highlight w:val="none"/>
          <w:lang w:val="en-US" w:eastAsia="zh-CN"/>
        </w:rPr>
        <w:t>润泽楼塑钢窗改造建设项目合格率达到100%、塑钢窗改造年度计划完工时间等于2024年12月。</w:t>
      </w:r>
    </w:p>
    <w:p w14:paraId="0A342B90">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奇台县第</w:t>
      </w:r>
      <w:r>
        <w:rPr>
          <w:rFonts w:hint="eastAsia" w:eastAsia="仿宋_GB2312" w:cs="Times New Roman"/>
          <w:color w:val="auto"/>
          <w:sz w:val="32"/>
          <w:szCs w:val="32"/>
          <w:highlight w:val="none"/>
          <w:lang w:val="en-US" w:eastAsia="zh-CN"/>
        </w:rPr>
        <w:t>一小</w:t>
      </w:r>
      <w:r>
        <w:rPr>
          <w:rFonts w:hint="eastAsia" w:eastAsia="仿宋_GB2312" w:cs="Times New Roman"/>
          <w:color w:val="auto"/>
          <w:sz w:val="32"/>
          <w:szCs w:val="32"/>
          <w:highlight w:val="none"/>
          <w:lang w:eastAsia="zh-CN"/>
        </w:rPr>
        <w:t>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1B99CF7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从项目效益的角度来看，受益学生数</w:t>
      </w:r>
      <w:r>
        <w:rPr>
          <w:rFonts w:hint="eastAsia" w:eastAsia="仿宋_GB2312" w:cs="Times New Roman"/>
          <w:color w:val="auto"/>
          <w:sz w:val="32"/>
          <w:szCs w:val="32"/>
          <w:highlight w:val="none"/>
          <w:lang w:val="en-US" w:eastAsia="zh-CN"/>
        </w:rPr>
        <w:t>1142人</w:t>
      </w:r>
      <w:r>
        <w:rPr>
          <w:rFonts w:hint="default" w:ascii="Times New Roman" w:hAnsi="Times New Roman" w:eastAsia="仿宋_GB2312" w:cs="Times New Roman"/>
          <w:color w:val="auto"/>
          <w:sz w:val="32"/>
          <w:szCs w:val="32"/>
          <w:highlight w:val="none"/>
        </w:rPr>
        <w:t>、学生满意度</w:t>
      </w:r>
      <w:r>
        <w:rPr>
          <w:rFonts w:hint="eastAsia" w:eastAsia="仿宋_GB2312" w:cs="Times New Roman"/>
          <w:color w:val="auto"/>
          <w:sz w:val="32"/>
          <w:szCs w:val="32"/>
          <w:highlight w:val="none"/>
          <w:lang w:val="en-US" w:eastAsia="zh-CN"/>
        </w:rPr>
        <w:t>达90%以上</w:t>
      </w:r>
      <w:r>
        <w:rPr>
          <w:rFonts w:hint="default" w:ascii="Times New Roman" w:hAnsi="Times New Roman" w:eastAsia="仿宋_GB2312" w:cs="Times New Roman"/>
          <w:color w:val="auto"/>
          <w:sz w:val="32"/>
          <w:szCs w:val="32"/>
          <w:highlight w:val="none"/>
        </w:rPr>
        <w:t>，为项目的利益相关者带来了实实在在的利益。</w:t>
      </w:r>
    </w:p>
    <w:p w14:paraId="01ED20B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综上所述，2024年城乡义务教育补助经费预算[中央直达资金]-校舍安全在绩效评价中表现出色，达到了项目的预期目标，并在多个方面取得了显著的成效。</w:t>
      </w:r>
    </w:p>
    <w:p w14:paraId="0AD071C6">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2A2B940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分，属于“优（良/中/差）”。其中，项目决策类指标权重为20分，得分为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5BA11F65">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2BD155A">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295B8B4">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FDC0330">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F0DF6C9">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FF85F6C">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2198384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113BC8B">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149D0D70">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1FC12AC">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9A8BDD1">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2A4DB4E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3A5567B">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0BD337E8">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E9CC835">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E2B9887">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1477D23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E0A6246">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4C76EDBC">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9484708">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C930285">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49317F8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F55323E">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0CB60293">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522D4AB">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A1D3AE2">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324339D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B68E68D">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218ADBC0">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F5F0E04">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0ABE73E9">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14:paraId="25CD27FD">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20C63F1D">
      <w:pPr>
        <w:pStyle w:val="2"/>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6FF2093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19C63E5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3CBEA2D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2CD269B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B6C731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0EFA43B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D9A00C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2E5811A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13B2D80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32C749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78CC009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33151A5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1BB8853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62460F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0E32F9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743514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79097E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89934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FA83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0103D92">
      <w:pPr>
        <w:pStyle w:val="2"/>
        <w:numPr>
          <w:ilvl w:val="0"/>
          <w:numId w:val="5"/>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722937C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18E3344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1286490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38BC2BC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5D0BAC6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48B75D2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5F05079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7AE99F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0A3483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065A4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71B0DB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21DF6E1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4EC197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24D45D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55BF8A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F0CC83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8D47DF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566108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2156AD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4B039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099572F0">
      <w:pPr>
        <w:pStyle w:val="12"/>
        <w:numPr>
          <w:ilvl w:val="0"/>
          <w:numId w:val="5"/>
        </w:numPr>
        <w:tabs>
          <w:tab w:val="center" w:pos="4274"/>
        </w:tabs>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r>
        <w:rPr>
          <w:rFonts w:hint="eastAsia" w:eastAsia="楷体_GB2312" w:cs="Times New Roman"/>
          <w:b/>
          <w:bCs/>
          <w:color w:val="auto"/>
          <w:sz w:val="32"/>
          <w:szCs w:val="32"/>
          <w:highlight w:val="none"/>
          <w:lang w:val="en-US" w:eastAsia="zh-CN"/>
        </w:rPr>
        <w:tab/>
      </w:r>
    </w:p>
    <w:p w14:paraId="2900260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20275BB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3A9B248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硅PU篮球场周边硬化面积</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=3700</w:t>
      </w:r>
      <w:r>
        <w:rPr>
          <w:rFonts w:hint="default" w:ascii="Times New Roman" w:hAnsi="Times New Roman" w:eastAsia="仿宋_GB2312" w:cs="Times New Roman"/>
          <w:color w:val="auto"/>
          <w:sz w:val="32"/>
          <w:szCs w:val="32"/>
          <w:highlight w:val="none"/>
        </w:rPr>
        <w:t>平方米，实际完成值：=</w:t>
      </w:r>
      <w:r>
        <w:rPr>
          <w:rFonts w:hint="eastAsia" w:eastAsia="仿宋_GB2312" w:cs="Times New Roman"/>
          <w:color w:val="auto"/>
          <w:sz w:val="32"/>
          <w:szCs w:val="32"/>
          <w:highlight w:val="none"/>
          <w:lang w:val="en-US" w:eastAsia="zh-CN"/>
        </w:rPr>
        <w:t>3700</w:t>
      </w:r>
      <w:r>
        <w:rPr>
          <w:rFonts w:hint="default" w:ascii="Times New Roman" w:hAnsi="Times New Roman" w:eastAsia="仿宋_GB2312" w:cs="Times New Roman"/>
          <w:color w:val="auto"/>
          <w:sz w:val="32"/>
          <w:szCs w:val="32"/>
          <w:highlight w:val="none"/>
        </w:rPr>
        <w:t>平方米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7EC9CDF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润泽楼塑钢窗更换</w:t>
      </w:r>
      <w:r>
        <w:rPr>
          <w:rFonts w:hint="default" w:ascii="Times New Roman" w:hAnsi="Times New Roman" w:eastAsia="仿宋_GB2312" w:cs="Times New Roman"/>
          <w:color w:val="auto"/>
          <w:sz w:val="32"/>
          <w:szCs w:val="32"/>
          <w:highlight w:val="none"/>
        </w:rPr>
        <w:t>面积（㎡），指标值：</w:t>
      </w:r>
      <w:r>
        <w:rPr>
          <w:rFonts w:hint="eastAsia" w:eastAsia="仿宋_GB2312" w:cs="Times New Roman"/>
          <w:color w:val="auto"/>
          <w:sz w:val="32"/>
          <w:szCs w:val="32"/>
          <w:highlight w:val="none"/>
          <w:lang w:val="en-US" w:eastAsia="zh-CN"/>
        </w:rPr>
        <w:t>=410平方米</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410</w:t>
      </w:r>
      <w:r>
        <w:rPr>
          <w:rFonts w:hint="default" w:ascii="Times New Roman" w:hAnsi="Times New Roman" w:eastAsia="仿宋_GB2312" w:cs="Times New Roman"/>
          <w:color w:val="auto"/>
          <w:sz w:val="32"/>
          <w:szCs w:val="32"/>
          <w:highlight w:val="none"/>
        </w:rPr>
        <w:t>平方米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4A64B96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66B28F1F">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硅PU篮球场及周边硬化改造建设项目合格率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，实际完成值：=100%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68746F1C">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ascii="仿宋" w:hAnsi="仿宋" w:eastAsia="仿宋" w:cs="仿宋"/>
          <w:b w:val="0"/>
          <w:bCs w:val="0"/>
          <w:color w:val="auto"/>
          <w:sz w:val="32"/>
          <w:szCs w:val="32"/>
          <w:highlight w:val="none"/>
        </w:rPr>
        <w:t>指标</w:t>
      </w:r>
      <w:r>
        <w:rPr>
          <w:rFonts w:hint="eastAsia" w:ascii="仿宋" w:hAnsi="仿宋" w:eastAsia="仿宋" w:cs="仿宋"/>
          <w:b w:val="0"/>
          <w:bCs w:val="0"/>
          <w:color w:val="auto"/>
          <w:sz w:val="32"/>
          <w:szCs w:val="32"/>
          <w:highlight w:val="none"/>
          <w:lang w:val="en-US" w:eastAsia="zh-CN"/>
        </w:rPr>
        <w:t>2</w:t>
      </w:r>
      <w:r>
        <w:rPr>
          <w:rFonts w:hint="eastAsia" w:ascii="仿宋" w:hAnsi="仿宋" w:eastAsia="仿宋" w:cs="仿宋"/>
          <w:b w:val="0"/>
          <w:bCs w:val="0"/>
          <w:color w:val="auto"/>
          <w:sz w:val="32"/>
          <w:szCs w:val="32"/>
          <w:highlight w:val="none"/>
        </w:rPr>
        <w:t>：</w:t>
      </w:r>
      <w:r>
        <w:rPr>
          <w:rFonts w:hint="eastAsia" w:eastAsia="仿宋_GB2312" w:cs="Times New Roman"/>
          <w:b w:val="0"/>
          <w:bCs w:val="0"/>
          <w:color w:val="auto"/>
          <w:sz w:val="32"/>
          <w:szCs w:val="32"/>
          <w:highlight w:val="none"/>
          <w:lang w:val="en-US" w:eastAsia="zh-CN"/>
        </w:rPr>
        <w:t>硅PU篮球场及周边硬化材料采购质量合格率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，实际完成值：=100%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6728E2F9">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ascii="仿宋" w:hAnsi="仿宋" w:eastAsia="仿宋" w:cs="仿宋"/>
          <w:b w:val="0"/>
          <w:bCs w:val="0"/>
          <w:color w:val="auto"/>
          <w:sz w:val="32"/>
          <w:szCs w:val="32"/>
          <w:highlight w:val="none"/>
        </w:rPr>
        <w:t>指标</w:t>
      </w:r>
      <w:r>
        <w:rPr>
          <w:rFonts w:hint="eastAsia" w:ascii="仿宋" w:hAnsi="仿宋" w:eastAsia="仿宋" w:cs="仿宋"/>
          <w:b w:val="0"/>
          <w:bCs w:val="0"/>
          <w:color w:val="auto"/>
          <w:sz w:val="32"/>
          <w:szCs w:val="32"/>
          <w:highlight w:val="none"/>
          <w:lang w:val="en-US" w:eastAsia="zh-CN"/>
        </w:rPr>
        <w:t>3</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val="en-US" w:eastAsia="zh-CN"/>
        </w:rPr>
        <w:t>润泽楼更换塑钢窗改造建设项目合格率，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，实际完成值：=100%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02C1456A">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ascii="仿宋" w:hAnsi="仿宋" w:eastAsia="仿宋" w:cs="仿宋"/>
          <w:b w:val="0"/>
          <w:bCs w:val="0"/>
          <w:color w:val="auto"/>
          <w:sz w:val="32"/>
          <w:szCs w:val="32"/>
          <w:highlight w:val="none"/>
        </w:rPr>
        <w:t>指标</w:t>
      </w:r>
      <w:r>
        <w:rPr>
          <w:rFonts w:hint="eastAsia" w:ascii="仿宋" w:hAnsi="仿宋" w:eastAsia="仿宋" w:cs="仿宋"/>
          <w:b w:val="0"/>
          <w:bCs w:val="0"/>
          <w:color w:val="auto"/>
          <w:sz w:val="32"/>
          <w:szCs w:val="32"/>
          <w:highlight w:val="none"/>
          <w:lang w:val="en-US" w:eastAsia="zh-CN"/>
        </w:rPr>
        <w:t>4</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val="en-US" w:eastAsia="zh-CN"/>
        </w:rPr>
        <w:t>塑钢窗材料采购质量合格率</w:t>
      </w:r>
      <w:r>
        <w:rPr>
          <w:rFonts w:hint="default" w:ascii="Times New Roman" w:hAnsi="Times New Roman" w:eastAsia="仿宋_GB2312" w:cs="Times New Roman"/>
          <w:color w:val="auto"/>
          <w:sz w:val="32"/>
          <w:szCs w:val="32"/>
          <w:highlight w:val="none"/>
        </w:rPr>
        <w:t>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，实际完成值：=100%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03F23A2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381176E7">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篮球场改造年度计划开工时间</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2BA60EB1">
      <w:pPr>
        <w:pStyle w:val="2"/>
        <w:ind w:firstLine="640" w:firstLineChars="200"/>
        <w:jc w:val="left"/>
        <w:rPr>
          <w:rFonts w:hint="eastAsia" w:eastAsia="仿宋_GB2312" w:cs="Times New Roman"/>
          <w:b w:val="0"/>
          <w:bCs w:val="0"/>
          <w:color w:val="auto"/>
          <w:sz w:val="32"/>
          <w:szCs w:val="32"/>
          <w:highlight w:val="none"/>
          <w:lang w:eastAsia="zh-CN"/>
        </w:rPr>
      </w:pPr>
      <w:r>
        <w:rPr>
          <w:rFonts w:hint="eastAsia" w:ascii="仿宋" w:hAnsi="仿宋" w:eastAsia="仿宋" w:cs="仿宋"/>
          <w:b w:val="0"/>
          <w:bCs w:val="0"/>
          <w:color w:val="auto"/>
          <w:sz w:val="32"/>
          <w:szCs w:val="32"/>
          <w:highlight w:val="none"/>
        </w:rPr>
        <w:t>指标</w:t>
      </w:r>
      <w:r>
        <w:rPr>
          <w:rFonts w:hint="eastAsia" w:ascii="仿宋" w:hAnsi="仿宋" w:eastAsia="仿宋" w:cs="仿宋"/>
          <w:b w:val="0"/>
          <w:bCs w:val="0"/>
          <w:color w:val="auto"/>
          <w:sz w:val="32"/>
          <w:szCs w:val="32"/>
          <w:highlight w:val="none"/>
          <w:lang w:val="en-US" w:eastAsia="zh-CN"/>
        </w:rPr>
        <w:t>2</w:t>
      </w:r>
      <w:r>
        <w:rPr>
          <w:rFonts w:hint="eastAsia" w:ascii="仿宋" w:hAnsi="仿宋" w:eastAsia="仿宋" w:cs="仿宋"/>
          <w:b w:val="0"/>
          <w:bCs w:val="0"/>
          <w:color w:val="auto"/>
          <w:sz w:val="32"/>
          <w:szCs w:val="32"/>
          <w:highlight w:val="none"/>
        </w:rPr>
        <w:t>：</w:t>
      </w:r>
      <w:r>
        <w:rPr>
          <w:rFonts w:hint="eastAsia" w:eastAsia="仿宋_GB2312" w:cs="Times New Roman"/>
          <w:b w:val="0"/>
          <w:bCs w:val="0"/>
          <w:color w:val="auto"/>
          <w:sz w:val="32"/>
          <w:szCs w:val="32"/>
          <w:highlight w:val="none"/>
          <w:lang w:val="en-US" w:eastAsia="zh-CN"/>
        </w:rPr>
        <w:t>篮球场改造年度计划完工时间</w:t>
      </w:r>
      <w:r>
        <w:rPr>
          <w:rFonts w:hint="default" w:ascii="Times New Roman" w:hAnsi="Times New Roman" w:eastAsia="仿宋_GB2312" w:cs="Times New Roman"/>
          <w:b w:val="0"/>
          <w:bCs w:val="0"/>
          <w:color w:val="auto"/>
          <w:sz w:val="32"/>
          <w:szCs w:val="32"/>
          <w:highlight w:val="none"/>
        </w:rPr>
        <w:t>，指标值：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xml:space="preserve"> ，实际完成值：=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，指标完成率</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xml:space="preserve"> %</w:t>
      </w:r>
      <w:r>
        <w:rPr>
          <w:rFonts w:hint="default" w:ascii="Times New Roman" w:hAnsi="Times New Roman" w:eastAsia="仿宋_GB2312" w:cs="Times New Roman"/>
          <w:b w:val="0"/>
          <w:bCs w:val="0"/>
          <w:color w:val="auto"/>
          <w:sz w:val="32"/>
          <w:szCs w:val="32"/>
          <w:highlight w:val="none"/>
          <w:lang w:eastAsia="zh-CN"/>
        </w:rPr>
        <w:t>，</w:t>
      </w:r>
      <w:r>
        <w:rPr>
          <w:rFonts w:hint="eastAsia" w:eastAsia="仿宋_GB2312" w:cs="Times New Roman"/>
          <w:b w:val="0"/>
          <w:bCs w:val="0"/>
          <w:color w:val="auto"/>
          <w:sz w:val="32"/>
          <w:szCs w:val="32"/>
          <w:highlight w:val="none"/>
          <w:lang w:eastAsia="zh-CN"/>
        </w:rPr>
        <w:t>无</w:t>
      </w:r>
      <w:r>
        <w:rPr>
          <w:rFonts w:hint="default" w:ascii="Times New Roman" w:hAnsi="Times New Roman" w:eastAsia="仿宋_GB2312" w:cs="Times New Roman"/>
          <w:b w:val="0"/>
          <w:bCs w:val="0"/>
          <w:color w:val="auto"/>
          <w:sz w:val="32"/>
          <w:szCs w:val="32"/>
          <w:highlight w:val="none"/>
          <w:lang w:eastAsia="zh-CN"/>
        </w:rPr>
        <w:t>偏差</w:t>
      </w:r>
      <w:r>
        <w:rPr>
          <w:rFonts w:hint="eastAsia" w:eastAsia="仿宋_GB2312" w:cs="Times New Roman"/>
          <w:b w:val="0"/>
          <w:bCs w:val="0"/>
          <w:color w:val="auto"/>
          <w:sz w:val="32"/>
          <w:szCs w:val="32"/>
          <w:highlight w:val="none"/>
          <w:lang w:eastAsia="zh-CN"/>
        </w:rPr>
        <w:t>。</w:t>
      </w:r>
    </w:p>
    <w:p w14:paraId="1F8F798A">
      <w:pPr>
        <w:pStyle w:val="2"/>
        <w:ind w:firstLine="640" w:firstLineChars="200"/>
        <w:jc w:val="left"/>
        <w:rPr>
          <w:rFonts w:hint="eastAsia" w:eastAsia="仿宋_GB2312" w:cs="Times New Roman"/>
          <w:b w:val="0"/>
          <w:bCs w:val="0"/>
          <w:color w:val="auto"/>
          <w:sz w:val="32"/>
          <w:szCs w:val="32"/>
          <w:highlight w:val="none"/>
          <w:lang w:eastAsia="zh-CN"/>
        </w:rPr>
      </w:pPr>
      <w:r>
        <w:rPr>
          <w:rFonts w:hint="eastAsia" w:ascii="仿宋" w:hAnsi="仿宋" w:eastAsia="仿宋" w:cs="仿宋"/>
          <w:b w:val="0"/>
          <w:bCs w:val="0"/>
          <w:color w:val="auto"/>
          <w:sz w:val="32"/>
          <w:szCs w:val="32"/>
          <w:highlight w:val="none"/>
        </w:rPr>
        <w:t>指标</w:t>
      </w:r>
      <w:r>
        <w:rPr>
          <w:rFonts w:hint="eastAsia" w:ascii="仿宋" w:hAnsi="仿宋" w:eastAsia="仿宋" w:cs="仿宋"/>
          <w:b w:val="0"/>
          <w:bCs w:val="0"/>
          <w:color w:val="auto"/>
          <w:sz w:val="32"/>
          <w:szCs w:val="32"/>
          <w:highlight w:val="none"/>
          <w:lang w:val="en-US" w:eastAsia="zh-CN"/>
        </w:rPr>
        <w:t>3：</w:t>
      </w:r>
      <w:r>
        <w:rPr>
          <w:rFonts w:hint="eastAsia" w:eastAsia="仿宋_GB2312" w:cs="Times New Roman"/>
          <w:b w:val="0"/>
          <w:bCs w:val="0"/>
          <w:color w:val="auto"/>
          <w:sz w:val="32"/>
          <w:szCs w:val="32"/>
          <w:highlight w:val="none"/>
          <w:lang w:val="en-US" w:eastAsia="zh-CN"/>
        </w:rPr>
        <w:t>塑钢窗改造年度计划开工时间</w:t>
      </w:r>
      <w:r>
        <w:rPr>
          <w:rFonts w:hint="default" w:ascii="Times New Roman" w:hAnsi="Times New Roman" w:eastAsia="仿宋_GB2312" w:cs="Times New Roman"/>
          <w:b w:val="0"/>
          <w:bCs w:val="0"/>
          <w:color w:val="auto"/>
          <w:sz w:val="32"/>
          <w:szCs w:val="32"/>
          <w:highlight w:val="none"/>
        </w:rPr>
        <w:t>指标值：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xml:space="preserve"> ，实际完成值：=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，指标完成率</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xml:space="preserve"> %</w:t>
      </w:r>
      <w:r>
        <w:rPr>
          <w:rFonts w:hint="default" w:ascii="Times New Roman" w:hAnsi="Times New Roman" w:eastAsia="仿宋_GB2312" w:cs="Times New Roman"/>
          <w:b w:val="0"/>
          <w:bCs w:val="0"/>
          <w:color w:val="auto"/>
          <w:sz w:val="32"/>
          <w:szCs w:val="32"/>
          <w:highlight w:val="none"/>
          <w:lang w:eastAsia="zh-CN"/>
        </w:rPr>
        <w:t>，</w:t>
      </w:r>
      <w:r>
        <w:rPr>
          <w:rFonts w:hint="eastAsia" w:eastAsia="仿宋_GB2312" w:cs="Times New Roman"/>
          <w:b w:val="0"/>
          <w:bCs w:val="0"/>
          <w:color w:val="auto"/>
          <w:sz w:val="32"/>
          <w:szCs w:val="32"/>
          <w:highlight w:val="none"/>
          <w:lang w:eastAsia="zh-CN"/>
        </w:rPr>
        <w:t>无</w:t>
      </w:r>
      <w:r>
        <w:rPr>
          <w:rFonts w:hint="default" w:ascii="Times New Roman" w:hAnsi="Times New Roman" w:eastAsia="仿宋_GB2312" w:cs="Times New Roman"/>
          <w:b w:val="0"/>
          <w:bCs w:val="0"/>
          <w:color w:val="auto"/>
          <w:sz w:val="32"/>
          <w:szCs w:val="32"/>
          <w:highlight w:val="none"/>
          <w:lang w:eastAsia="zh-CN"/>
        </w:rPr>
        <w:t>偏差</w:t>
      </w:r>
      <w:r>
        <w:rPr>
          <w:rFonts w:hint="eastAsia" w:eastAsia="仿宋_GB2312" w:cs="Times New Roman"/>
          <w:b w:val="0"/>
          <w:bCs w:val="0"/>
          <w:color w:val="auto"/>
          <w:sz w:val="32"/>
          <w:szCs w:val="32"/>
          <w:highlight w:val="none"/>
          <w:lang w:eastAsia="zh-CN"/>
        </w:rPr>
        <w:t>。</w:t>
      </w:r>
    </w:p>
    <w:p w14:paraId="122268D8">
      <w:pPr>
        <w:pStyle w:val="2"/>
        <w:ind w:firstLine="640" w:firstLineChars="200"/>
        <w:jc w:val="left"/>
        <w:rPr>
          <w:rFonts w:hint="eastAsia"/>
          <w:lang w:eastAsia="zh-CN"/>
        </w:rPr>
      </w:pPr>
      <w:r>
        <w:rPr>
          <w:rFonts w:hint="eastAsia" w:ascii="仿宋" w:hAnsi="仿宋" w:eastAsia="仿宋" w:cs="仿宋"/>
          <w:b w:val="0"/>
          <w:bCs w:val="0"/>
          <w:color w:val="auto"/>
          <w:sz w:val="32"/>
          <w:szCs w:val="32"/>
          <w:highlight w:val="none"/>
        </w:rPr>
        <w:t>指标</w:t>
      </w:r>
      <w:r>
        <w:rPr>
          <w:rFonts w:hint="eastAsia" w:ascii="仿宋" w:hAnsi="仿宋" w:eastAsia="仿宋" w:cs="仿宋"/>
          <w:b w:val="0"/>
          <w:bCs w:val="0"/>
          <w:color w:val="auto"/>
          <w:sz w:val="32"/>
          <w:szCs w:val="32"/>
          <w:highlight w:val="none"/>
          <w:lang w:val="en-US" w:eastAsia="zh-CN"/>
        </w:rPr>
        <w:t>4：</w:t>
      </w:r>
      <w:r>
        <w:rPr>
          <w:rFonts w:hint="eastAsia" w:eastAsia="仿宋_GB2312" w:cs="Times New Roman"/>
          <w:b w:val="0"/>
          <w:bCs w:val="0"/>
          <w:color w:val="auto"/>
          <w:sz w:val="32"/>
          <w:szCs w:val="32"/>
          <w:highlight w:val="none"/>
          <w:lang w:val="en-US" w:eastAsia="zh-CN"/>
        </w:rPr>
        <w:t>塑钢窗改造年度计划完工时间</w:t>
      </w:r>
      <w:r>
        <w:rPr>
          <w:rFonts w:hint="default" w:ascii="Times New Roman" w:hAnsi="Times New Roman" w:eastAsia="仿宋_GB2312" w:cs="Times New Roman"/>
          <w:b w:val="0"/>
          <w:bCs w:val="0"/>
          <w:color w:val="auto"/>
          <w:sz w:val="32"/>
          <w:szCs w:val="32"/>
          <w:highlight w:val="none"/>
        </w:rPr>
        <w:t>指标值：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xml:space="preserve"> ，实际完成值：=</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，指标完成率</w:t>
      </w:r>
      <w:r>
        <w:rPr>
          <w:rFonts w:hint="eastAsia"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 xml:space="preserve"> %</w:t>
      </w:r>
      <w:r>
        <w:rPr>
          <w:rFonts w:hint="default" w:ascii="Times New Roman" w:hAnsi="Times New Roman" w:eastAsia="仿宋_GB2312" w:cs="Times New Roman"/>
          <w:b w:val="0"/>
          <w:bCs w:val="0"/>
          <w:color w:val="auto"/>
          <w:sz w:val="32"/>
          <w:szCs w:val="32"/>
          <w:highlight w:val="none"/>
          <w:lang w:eastAsia="zh-CN"/>
        </w:rPr>
        <w:t>，</w:t>
      </w:r>
      <w:r>
        <w:rPr>
          <w:rFonts w:hint="eastAsia" w:eastAsia="仿宋_GB2312" w:cs="Times New Roman"/>
          <w:b w:val="0"/>
          <w:bCs w:val="0"/>
          <w:color w:val="auto"/>
          <w:sz w:val="32"/>
          <w:szCs w:val="32"/>
          <w:highlight w:val="none"/>
          <w:lang w:eastAsia="zh-CN"/>
        </w:rPr>
        <w:t>无</w:t>
      </w:r>
      <w:r>
        <w:rPr>
          <w:rFonts w:hint="default" w:ascii="Times New Roman" w:hAnsi="Times New Roman" w:eastAsia="仿宋_GB2312" w:cs="Times New Roman"/>
          <w:b w:val="0"/>
          <w:bCs w:val="0"/>
          <w:color w:val="auto"/>
          <w:sz w:val="32"/>
          <w:szCs w:val="32"/>
          <w:highlight w:val="none"/>
          <w:lang w:eastAsia="zh-CN"/>
        </w:rPr>
        <w:t>偏差</w:t>
      </w:r>
      <w:r>
        <w:rPr>
          <w:rFonts w:hint="eastAsia" w:eastAsia="仿宋_GB2312" w:cs="Times New Roman"/>
          <w:b w:val="0"/>
          <w:bCs w:val="0"/>
          <w:color w:val="auto"/>
          <w:sz w:val="32"/>
          <w:szCs w:val="32"/>
          <w:highlight w:val="none"/>
          <w:lang w:eastAsia="zh-CN"/>
        </w:rPr>
        <w:t>。</w:t>
      </w:r>
    </w:p>
    <w:p w14:paraId="503F239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1318C7F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指标1：项目预算控制率（%），指标值：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，实际完成值：=100%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 xml:space="preserve"> </w:t>
      </w:r>
    </w:p>
    <w:p w14:paraId="083DC554">
      <w:pPr>
        <w:pStyle w:val="12"/>
        <w:numPr>
          <w:ilvl w:val="0"/>
          <w:numId w:val="5"/>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33F0F2B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66DB2E4B">
      <w:pPr>
        <w:numPr>
          <w:ilvl w:val="0"/>
          <w:numId w:val="6"/>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14:paraId="729008E4">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社会效益指标：</w:t>
      </w:r>
    </w:p>
    <w:p w14:paraId="572CACDF">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提升学校基础设施条件</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有效提升</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有效提升</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30980AA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33410ABD">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指标1：学生满意度（%），指标值：</w:t>
      </w:r>
      <w:r>
        <w:rPr>
          <w:rFonts w:hint="eastAsia" w:eastAsia="仿宋_GB2312" w:cs="Times New Roman"/>
          <w:color w:val="auto"/>
          <w:sz w:val="32"/>
          <w:szCs w:val="32"/>
          <w:highlight w:val="none"/>
          <w:lang w:val="en-US" w:eastAsia="zh-CN"/>
        </w:rPr>
        <w:t>&gt;=90%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726E3D4A">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14:paraId="451B0515">
      <w:pPr>
        <w:shd w:val="clear"/>
        <w:spacing w:line="600" w:lineRule="exact"/>
        <w:ind w:firstLine="640" w:firstLineChars="200"/>
        <w:outlineLvl w:val="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2024年城乡义务教育补助经费预算[中央直达资金]-校舍安全</w:t>
      </w:r>
      <w:r>
        <w:rPr>
          <w:rFonts w:hint="default" w:ascii="Times New Roman" w:hAnsi="Times New Roman" w:eastAsia="仿宋_GB2312" w:cs="Times New Roman"/>
          <w:color w:val="auto"/>
          <w:sz w:val="32"/>
          <w:szCs w:val="32"/>
          <w:highlight w:val="none"/>
        </w:rPr>
        <w:t>项目年初预算</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万元，全年预算</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万元，实际支出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%，项目绩效指标总体完成率为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Hans"/>
        </w:rPr>
        <w:t>总体</w:t>
      </w:r>
      <w:r>
        <w:rPr>
          <w:rFonts w:hint="default" w:ascii="Times New Roman" w:hAnsi="Times New Roman" w:eastAsia="仿宋_GB2312" w:cs="Times New Roman"/>
          <w:color w:val="auto"/>
          <w:sz w:val="32"/>
          <w:szCs w:val="32"/>
          <w:highlight w:val="none"/>
        </w:rPr>
        <w:t>偏差率为</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p>
    <w:p w14:paraId="27304AFB">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rPr>
        <w:t>主要经验及做法、存在的问题及原因分析</w:t>
      </w:r>
    </w:p>
    <w:p w14:paraId="002539A7">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3AE5D88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按照年初预算资金项目组织并实施，加强年初预算项目的管理，提高项目资金预算的准确性。县教育局按照《行政事业单位内部控制规范》《会计工作基础规范》的要求，并结合自身实际情况建立健全各部门，各环节，各岗位内部控制制度，并确保制度能够长期有效的坚持执行。项目支出方面，教育局严格审查编制方案和执行政府采购程序，基建修缮项目要附有审计结算报告，设备采购项目要附有政府采购合同，其他项目支出要附有专项预算报告，保证了项目资金使用的合规、有效。</w:t>
      </w:r>
    </w:p>
    <w:p w14:paraId="2930AF00">
      <w:pPr>
        <w:numPr>
          <w:ilvl w:val="0"/>
          <w:numId w:val="7"/>
        </w:numPr>
        <w:shd w:val="clear"/>
        <w:spacing w:line="600" w:lineRule="exact"/>
        <w:ind w:firstLine="643" w:firstLineChars="200"/>
        <w:outlineLvl w:val="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30D8E681">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对项目支出绩效工作的认识有待于提高，相关学校进行支出，导致做绩效工作的工作人员对项目流程不够熟悉，项目相关的资料收集不够及时。预算执行约束力不够，受政策非连续性与预算执行等不协调的因素影响，预算项目在执行过程中缺乏有限的监督机制，预算执行审核缺乏常态性，由于部门专业监督人员缺乏，很难做到对财政预算资金进行全覆盖跟踪监督，同时，审核监督独立性不够充分也限制了监督职责的发挥。项目流程过于繁琐，过多则流于形式，项目人员配置偏少，造成工作强度偏大。</w:t>
      </w:r>
    </w:p>
    <w:p w14:paraId="586320FE">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rPr>
        <w:t>有关建议</w:t>
      </w:r>
    </w:p>
    <w:p w14:paraId="0C7F42B2">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应充分考虑立项依据的充分性，项目立项是否符合法律法规、相关政策、发展规划以及部门职责，用以反映和考核项目立项依据情况。</w:t>
      </w:r>
    </w:p>
    <w:p w14:paraId="59DCF907">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2、充分考虑立项程序的规范性，项目申请，设立过程是否符合相关要求，用以反映和考核项目立项的规范情况。</w:t>
      </w:r>
    </w:p>
    <w:p w14:paraId="63910687">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3、考虑绩效目标合理性，项目所设定的绩效目标是否依据充分，是否符合客观实际，用以反映和考核项目绩效目标与项目实施的相符情况。</w:t>
      </w:r>
    </w:p>
    <w:p w14:paraId="31D6C4FA">
      <w:pPr>
        <w:spacing w:line="560" w:lineRule="exact"/>
        <w:ind w:firstLine="640" w:firstLineChars="200"/>
        <w:rPr>
          <w:rFonts w:hint="eastAsia" w:ascii="仿宋" w:hAnsi="仿宋" w:eastAsia="仿宋" w:cs="仿宋"/>
          <w:b w:val="0"/>
          <w:bCs w:val="0"/>
          <w:sz w:val="32"/>
          <w:szCs w:val="40"/>
          <w:lang w:val="en-US" w:eastAsia="zh-CN"/>
        </w:rPr>
      </w:pPr>
      <w:r>
        <w:rPr>
          <w:rFonts w:hint="default" w:ascii="Times New Roman" w:hAnsi="Times New Roman" w:eastAsia="仿宋_GB2312" w:cs="Times New Roman"/>
          <w:color w:val="auto"/>
          <w:sz w:val="32"/>
          <w:szCs w:val="32"/>
          <w:highlight w:val="none"/>
          <w:lang w:val="en-US" w:eastAsia="zh-CN"/>
        </w:rPr>
        <w:t>4、资金投入方面，考虑预算编制是否经过科学论证，由明确标准，资金额度与年度目标是否相适应</w:t>
      </w:r>
      <w:r>
        <w:rPr>
          <w:rFonts w:hint="default" w:ascii="仿宋" w:hAnsi="仿宋" w:eastAsia="仿宋" w:cs="仿宋"/>
          <w:b w:val="0"/>
          <w:bCs w:val="0"/>
          <w:kern w:val="28"/>
          <w:sz w:val="32"/>
          <w:szCs w:val="32"/>
          <w:lang w:val="en-US" w:eastAsia="zh-CN" w:bidi="ar-SA"/>
        </w:rPr>
        <w:t>，用于反映和考核项目预算编制的科学性、合理性情况；项目预算资金分配是否有测算依据，与补助单位或地方实际是否相适应，用以反映和考核项目预算资金分配的科学性、合理性情况。</w:t>
      </w:r>
      <w:r>
        <w:rPr>
          <w:rFonts w:hint="eastAsia" w:ascii="仿宋" w:hAnsi="仿宋" w:eastAsia="仿宋" w:cs="仿宋"/>
          <w:b w:val="0"/>
          <w:bCs w:val="0"/>
          <w:sz w:val="32"/>
          <w:szCs w:val="40"/>
          <w:lang w:val="en-US" w:eastAsia="zh-CN"/>
        </w:rPr>
        <w:t>加快预算执行进度。部门预算批复后，应结合单位实际情况进行预算执行进度分析，科学合理安排支出，降低预算支出的波动幅度。严格执行项目支出预算，积极组织项目的实施，通过加强对项目支出预算执行的管理，杜绝单位虚报项目支出或不进行充分科学论证导致项目支出无法实施的现象，提高财政资金使用绩效。</w:t>
      </w:r>
    </w:p>
    <w:p w14:paraId="6E55B1FB">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加强对预算执行过程的控制和结果的反馈。重视预算执行过程的控制，统一部门预算口径与会计核算口径，对预算收入完成情况，预算支出情况，预算调整情况进行监控，采取措施纠正执行偏差，不断完善事前计划、事中控制、事后总结反馈的管理体系。同时，单位应当加强决算管理工作，确保决算真实、完整、准确、及时，加强决算分析工作，强化决算分析结果的运用。</w:t>
      </w:r>
    </w:p>
    <w:p w14:paraId="5E979DD9">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14:paraId="3699A5B1">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14:paraId="65526D17">
      <w:pPr>
        <w:pStyle w:val="13"/>
        <w:spacing w:after="0" w:line="560" w:lineRule="exact"/>
        <w:ind w:left="0" w:leftChars="0" w:firstLine="0" w:firstLineChars="0"/>
        <w:rPr>
          <w:rFonts w:hint="eastAsia" w:ascii="Times New Roman" w:hAnsi="Times New Roman" w:eastAsia="仿宋_GB2312" w:cs="Times New Roman"/>
          <w:color w:val="auto"/>
          <w:sz w:val="32"/>
          <w:szCs w:val="32"/>
          <w:highlight w:val="none"/>
          <w:lang w:eastAsia="zh-CN"/>
        </w:rPr>
      </w:pPr>
    </w:p>
    <w:p w14:paraId="5CAC7A1E">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14:paraId="6B54FE24">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57F1352E">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735E992E">
      <w:pPr>
        <w:pStyle w:val="19"/>
        <w:ind w:firstLine="562"/>
        <w:jc w:val="center"/>
        <w:rPr>
          <w:rFonts w:hint="eastAsia" w:ascii="仿宋_GB2312" w:hAnsi="仿宋_GB2312" w:eastAsia="仿宋_GB2312" w:cs="仿宋_GB2312"/>
          <w:color w:val="auto"/>
          <w:sz w:val="28"/>
          <w:szCs w:val="40"/>
          <w:highlight w:val="none"/>
        </w:rPr>
      </w:pPr>
      <w:bookmarkStart w:id="1" w:name="_Toc30064_WPSOffice_Level1"/>
      <w:bookmarkStart w:id="2" w:name="_Toc26499_WPSOffice_Level2"/>
      <w:r>
        <w:rPr>
          <w:rFonts w:hint="eastAsia" w:ascii="仿宋_GB2312" w:hAnsi="仿宋_GB2312" w:eastAsia="仿宋_GB2312" w:cs="仿宋_GB2312"/>
          <w:b/>
          <w:bCs/>
          <w:color w:val="auto"/>
          <w:sz w:val="28"/>
          <w:szCs w:val="40"/>
          <w:highlight w:val="none"/>
          <w:lang w:val="en-US" w:eastAsia="zh-CN"/>
        </w:rPr>
        <w:t>2024年城乡义务教育补助经费预算[中央直达资金]-校舍安全</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0052C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6B35BDA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1000" w:type="dxa"/>
            <w:shd w:val="clear" w:color="auto" w:fill="FFFFFF"/>
            <w:vAlign w:val="center"/>
          </w:tcPr>
          <w:p w14:paraId="4BE0D97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1071" w:type="dxa"/>
            <w:shd w:val="clear" w:color="auto" w:fill="FFFFFF"/>
            <w:vAlign w:val="center"/>
          </w:tcPr>
          <w:p w14:paraId="442EE08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1725" w:type="dxa"/>
            <w:shd w:val="clear" w:color="auto" w:fill="FFFFFF"/>
            <w:vAlign w:val="center"/>
          </w:tcPr>
          <w:p w14:paraId="258BD6C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5216" w:type="dxa"/>
            <w:shd w:val="clear" w:color="auto" w:fill="FFFFFF"/>
            <w:vAlign w:val="center"/>
          </w:tcPr>
          <w:p w14:paraId="0028800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1304" w:type="dxa"/>
            <w:gridSpan w:val="2"/>
            <w:shd w:val="clear" w:color="auto" w:fill="FFFFFF"/>
            <w:vAlign w:val="center"/>
          </w:tcPr>
          <w:p w14:paraId="578C71B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1365" w:type="dxa"/>
            <w:shd w:val="clear" w:color="auto" w:fill="FFFFFF"/>
            <w:vAlign w:val="center"/>
          </w:tcPr>
          <w:p w14:paraId="6EFB6C0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1B424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175ADE51">
            <w:pPr>
              <w:widowControl/>
              <w:spacing w:line="0" w:lineRule="atLeast"/>
              <w:jc w:val="center"/>
              <w:rPr>
                <w:rFonts w:hint="default" w:ascii="Times New Roman" w:hAnsi="Times New Roman" w:eastAsia="仿宋_GB2312" w:cs="Times New Roman"/>
                <w:color w:val="auto"/>
                <w:kern w:val="0"/>
                <w:sz w:val="18"/>
                <w:szCs w:val="18"/>
                <w:highlight w:val="none"/>
              </w:rPr>
            </w:pPr>
          </w:p>
          <w:p w14:paraId="14539291">
            <w:pPr>
              <w:widowControl/>
              <w:spacing w:line="0" w:lineRule="atLeast"/>
              <w:jc w:val="center"/>
              <w:rPr>
                <w:rFonts w:hint="default" w:ascii="Times New Roman" w:hAnsi="Times New Roman" w:eastAsia="仿宋_GB2312" w:cs="Times New Roman"/>
                <w:color w:val="auto"/>
                <w:kern w:val="0"/>
                <w:sz w:val="18"/>
                <w:szCs w:val="18"/>
                <w:highlight w:val="none"/>
              </w:rPr>
            </w:pPr>
          </w:p>
          <w:p w14:paraId="6C9DABB3">
            <w:pPr>
              <w:widowControl/>
              <w:spacing w:line="0" w:lineRule="atLeast"/>
              <w:jc w:val="center"/>
              <w:rPr>
                <w:rFonts w:hint="default" w:ascii="Times New Roman" w:hAnsi="Times New Roman" w:eastAsia="仿宋_GB2312" w:cs="Times New Roman"/>
                <w:color w:val="auto"/>
                <w:kern w:val="0"/>
                <w:sz w:val="18"/>
                <w:szCs w:val="18"/>
                <w:highlight w:val="none"/>
              </w:rPr>
            </w:pPr>
          </w:p>
          <w:p w14:paraId="00782A26">
            <w:pPr>
              <w:widowControl/>
              <w:spacing w:line="0" w:lineRule="atLeast"/>
              <w:jc w:val="center"/>
              <w:rPr>
                <w:rFonts w:hint="default" w:ascii="Times New Roman" w:hAnsi="Times New Roman" w:eastAsia="仿宋_GB2312" w:cs="Times New Roman"/>
                <w:color w:val="auto"/>
                <w:kern w:val="0"/>
                <w:sz w:val="18"/>
                <w:szCs w:val="18"/>
                <w:highlight w:val="none"/>
              </w:rPr>
            </w:pPr>
          </w:p>
          <w:p w14:paraId="7933A6BE">
            <w:pPr>
              <w:widowControl/>
              <w:spacing w:line="0" w:lineRule="atLeast"/>
              <w:jc w:val="center"/>
              <w:rPr>
                <w:rFonts w:hint="default" w:ascii="Times New Roman" w:hAnsi="Times New Roman" w:eastAsia="仿宋_GB2312" w:cs="Times New Roman"/>
                <w:color w:val="auto"/>
                <w:kern w:val="0"/>
                <w:sz w:val="18"/>
                <w:szCs w:val="18"/>
                <w:highlight w:val="none"/>
              </w:rPr>
            </w:pPr>
          </w:p>
          <w:p w14:paraId="12F0B675">
            <w:pPr>
              <w:widowControl/>
              <w:spacing w:line="0" w:lineRule="atLeast"/>
              <w:jc w:val="center"/>
              <w:rPr>
                <w:rFonts w:hint="default" w:ascii="Times New Roman" w:hAnsi="Times New Roman" w:eastAsia="仿宋_GB2312" w:cs="Times New Roman"/>
                <w:color w:val="auto"/>
                <w:kern w:val="0"/>
                <w:sz w:val="18"/>
                <w:szCs w:val="18"/>
                <w:highlight w:val="none"/>
              </w:rPr>
            </w:pPr>
          </w:p>
          <w:p w14:paraId="6681E74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1000" w:type="dxa"/>
            <w:vMerge w:val="restart"/>
            <w:shd w:val="clear" w:color="auto" w:fill="FFFFFF"/>
            <w:vAlign w:val="center"/>
          </w:tcPr>
          <w:p w14:paraId="37C4115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1071" w:type="dxa"/>
            <w:shd w:val="clear" w:color="auto" w:fill="FFFFFF"/>
            <w:vAlign w:val="center"/>
          </w:tcPr>
          <w:p w14:paraId="115F23C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5284825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1725" w:type="dxa"/>
            <w:shd w:val="clear" w:color="auto" w:fill="FFFFFF"/>
            <w:vAlign w:val="center"/>
          </w:tcPr>
          <w:p w14:paraId="08DCE63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485DF8C1">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1304" w:type="dxa"/>
            <w:gridSpan w:val="2"/>
            <w:shd w:val="clear" w:color="auto" w:fill="FFFFFF"/>
            <w:vAlign w:val="center"/>
          </w:tcPr>
          <w:p w14:paraId="395C863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4DE4C355">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2C1C0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71D444B">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434E66EB">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0AD509C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46D43F1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1725" w:type="dxa"/>
            <w:shd w:val="clear" w:color="auto" w:fill="FFFFFF"/>
            <w:vAlign w:val="center"/>
          </w:tcPr>
          <w:p w14:paraId="096F889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5216" w:type="dxa"/>
            <w:shd w:val="clear" w:color="auto" w:fill="FFFFFF"/>
            <w:vAlign w:val="center"/>
          </w:tcPr>
          <w:p w14:paraId="630D73F2">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6A8B07E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65C19A7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5521B8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678DC48">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6794DF1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1071" w:type="dxa"/>
            <w:shd w:val="clear" w:color="auto" w:fill="FFFFFF"/>
            <w:vAlign w:val="center"/>
          </w:tcPr>
          <w:p w14:paraId="24DBF1E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332EA76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000000" w:fill="FFFFFF"/>
            <w:vAlign w:val="center"/>
          </w:tcPr>
          <w:p w14:paraId="60D3180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0B3D0D01">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6D478642">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1304" w:type="dxa"/>
            <w:gridSpan w:val="2"/>
            <w:shd w:val="clear" w:color="000000" w:fill="FFFFFF"/>
            <w:vAlign w:val="center"/>
          </w:tcPr>
          <w:p w14:paraId="5129807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2565278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6E0EB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3A582F86">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5CF62BAC">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2BC0E7C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08AAA0A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1725" w:type="dxa"/>
            <w:shd w:val="clear" w:color="000000" w:fill="FFFFFF"/>
            <w:vAlign w:val="center"/>
          </w:tcPr>
          <w:p w14:paraId="7AF739F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51CF911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1304" w:type="dxa"/>
            <w:gridSpan w:val="2"/>
            <w:shd w:val="clear" w:color="000000" w:fill="FFFFFF"/>
            <w:vAlign w:val="center"/>
          </w:tcPr>
          <w:p w14:paraId="75A418E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2F1B797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57026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384E719C">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3BD3985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2C5E90BD">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3E944BD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0959950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1725" w:type="dxa"/>
            <w:shd w:val="clear" w:color="auto" w:fill="FFFFFF"/>
            <w:vAlign w:val="center"/>
          </w:tcPr>
          <w:p w14:paraId="0701A8B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1D27D7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1304" w:type="dxa"/>
            <w:gridSpan w:val="2"/>
            <w:shd w:val="clear" w:color="auto" w:fill="FFFFFF"/>
            <w:vAlign w:val="center"/>
          </w:tcPr>
          <w:p w14:paraId="0190A37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07B00607">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F531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13CB2961">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4FB4960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557D7A4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52B07E7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auto" w:fill="FFFFFF"/>
            <w:vAlign w:val="center"/>
          </w:tcPr>
          <w:p w14:paraId="04A5D14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F475E1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1304" w:type="dxa"/>
            <w:gridSpan w:val="2"/>
            <w:shd w:val="clear" w:color="auto" w:fill="FFFFFF"/>
            <w:vAlign w:val="center"/>
          </w:tcPr>
          <w:p w14:paraId="5C724AD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6E1818A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839E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7AF4855C">
            <w:pPr>
              <w:spacing w:line="0" w:lineRule="atLeast"/>
              <w:jc w:val="center"/>
              <w:rPr>
                <w:rFonts w:hint="default" w:ascii="Times New Roman" w:hAnsi="Times New Roman" w:eastAsia="仿宋_GB2312" w:cs="Times New Roman"/>
                <w:color w:val="auto"/>
                <w:kern w:val="0"/>
                <w:sz w:val="18"/>
                <w:szCs w:val="18"/>
                <w:highlight w:val="none"/>
              </w:rPr>
            </w:pPr>
          </w:p>
          <w:p w14:paraId="70B752AA">
            <w:pPr>
              <w:spacing w:line="0" w:lineRule="atLeast"/>
              <w:jc w:val="center"/>
              <w:rPr>
                <w:rFonts w:hint="default" w:ascii="Times New Roman" w:hAnsi="Times New Roman" w:eastAsia="仿宋_GB2312" w:cs="Times New Roman"/>
                <w:color w:val="auto"/>
                <w:kern w:val="0"/>
                <w:sz w:val="18"/>
                <w:szCs w:val="18"/>
                <w:highlight w:val="none"/>
              </w:rPr>
            </w:pPr>
          </w:p>
          <w:p w14:paraId="6CA05F80">
            <w:pPr>
              <w:spacing w:line="0" w:lineRule="atLeast"/>
              <w:jc w:val="center"/>
              <w:rPr>
                <w:rFonts w:hint="default" w:ascii="Times New Roman" w:hAnsi="Times New Roman" w:eastAsia="仿宋_GB2312" w:cs="Times New Roman"/>
                <w:color w:val="auto"/>
                <w:kern w:val="0"/>
                <w:sz w:val="18"/>
                <w:szCs w:val="18"/>
                <w:highlight w:val="none"/>
              </w:rPr>
            </w:pPr>
          </w:p>
          <w:p w14:paraId="239A4234">
            <w:pPr>
              <w:spacing w:line="0" w:lineRule="atLeast"/>
              <w:jc w:val="center"/>
              <w:rPr>
                <w:rFonts w:hint="default" w:ascii="Times New Roman" w:hAnsi="Times New Roman" w:eastAsia="仿宋_GB2312" w:cs="Times New Roman"/>
                <w:color w:val="auto"/>
                <w:kern w:val="0"/>
                <w:sz w:val="18"/>
                <w:szCs w:val="18"/>
                <w:highlight w:val="none"/>
              </w:rPr>
            </w:pPr>
          </w:p>
          <w:p w14:paraId="47D1513B">
            <w:pPr>
              <w:spacing w:line="0" w:lineRule="atLeast"/>
              <w:jc w:val="center"/>
              <w:rPr>
                <w:rFonts w:hint="default" w:ascii="Times New Roman" w:hAnsi="Times New Roman" w:eastAsia="仿宋_GB2312" w:cs="Times New Roman"/>
                <w:color w:val="auto"/>
                <w:kern w:val="0"/>
                <w:sz w:val="18"/>
                <w:szCs w:val="18"/>
                <w:highlight w:val="none"/>
              </w:rPr>
            </w:pPr>
          </w:p>
          <w:p w14:paraId="4040BA76">
            <w:pPr>
              <w:spacing w:line="0" w:lineRule="atLeast"/>
              <w:jc w:val="center"/>
              <w:rPr>
                <w:rFonts w:hint="default" w:ascii="Times New Roman" w:hAnsi="Times New Roman" w:eastAsia="仿宋_GB2312" w:cs="Times New Roman"/>
                <w:color w:val="auto"/>
                <w:kern w:val="0"/>
                <w:sz w:val="18"/>
                <w:szCs w:val="18"/>
                <w:highlight w:val="none"/>
              </w:rPr>
            </w:pPr>
          </w:p>
          <w:p w14:paraId="09537CE2">
            <w:pPr>
              <w:spacing w:line="0" w:lineRule="atLeast"/>
              <w:jc w:val="center"/>
              <w:rPr>
                <w:rFonts w:hint="default" w:ascii="Times New Roman" w:hAnsi="Times New Roman" w:eastAsia="仿宋_GB2312" w:cs="Times New Roman"/>
                <w:color w:val="auto"/>
                <w:kern w:val="0"/>
                <w:sz w:val="18"/>
                <w:szCs w:val="18"/>
                <w:highlight w:val="none"/>
              </w:rPr>
            </w:pPr>
          </w:p>
          <w:p w14:paraId="4C0356B2">
            <w:pPr>
              <w:spacing w:line="0" w:lineRule="atLeast"/>
              <w:jc w:val="center"/>
              <w:rPr>
                <w:rFonts w:hint="default" w:ascii="Times New Roman" w:hAnsi="Times New Roman" w:eastAsia="仿宋_GB2312" w:cs="Times New Roman"/>
                <w:color w:val="auto"/>
                <w:kern w:val="0"/>
                <w:sz w:val="18"/>
                <w:szCs w:val="18"/>
                <w:highlight w:val="none"/>
              </w:rPr>
            </w:pPr>
          </w:p>
          <w:p w14:paraId="69FBD838">
            <w:pPr>
              <w:spacing w:line="0" w:lineRule="atLeast"/>
              <w:jc w:val="center"/>
              <w:rPr>
                <w:rFonts w:hint="default" w:ascii="Times New Roman" w:hAnsi="Times New Roman" w:eastAsia="仿宋_GB2312" w:cs="Times New Roman"/>
                <w:color w:val="auto"/>
                <w:kern w:val="0"/>
                <w:sz w:val="18"/>
                <w:szCs w:val="18"/>
                <w:highlight w:val="none"/>
              </w:rPr>
            </w:pPr>
          </w:p>
          <w:p w14:paraId="0C7B3699">
            <w:pPr>
              <w:spacing w:line="0" w:lineRule="atLeast"/>
              <w:jc w:val="center"/>
              <w:rPr>
                <w:rFonts w:hint="default" w:ascii="Times New Roman" w:hAnsi="Times New Roman" w:eastAsia="仿宋_GB2312" w:cs="Times New Roman"/>
                <w:color w:val="auto"/>
                <w:kern w:val="0"/>
                <w:sz w:val="18"/>
                <w:szCs w:val="18"/>
                <w:highlight w:val="none"/>
              </w:rPr>
            </w:pPr>
          </w:p>
          <w:p w14:paraId="06EE7845">
            <w:pPr>
              <w:spacing w:line="0" w:lineRule="atLeast"/>
              <w:jc w:val="center"/>
              <w:rPr>
                <w:rFonts w:hint="default" w:ascii="Times New Roman" w:hAnsi="Times New Roman" w:eastAsia="仿宋_GB2312" w:cs="Times New Roman"/>
                <w:color w:val="auto"/>
                <w:kern w:val="0"/>
                <w:sz w:val="18"/>
                <w:szCs w:val="18"/>
                <w:highlight w:val="none"/>
              </w:rPr>
            </w:pPr>
          </w:p>
          <w:p w14:paraId="62AD28E0">
            <w:pPr>
              <w:spacing w:line="0" w:lineRule="atLeast"/>
              <w:jc w:val="center"/>
              <w:rPr>
                <w:rFonts w:hint="default" w:ascii="Times New Roman" w:hAnsi="Times New Roman" w:eastAsia="仿宋_GB2312" w:cs="Times New Roman"/>
                <w:color w:val="auto"/>
                <w:kern w:val="0"/>
                <w:sz w:val="18"/>
                <w:szCs w:val="18"/>
                <w:highlight w:val="none"/>
              </w:rPr>
            </w:pPr>
          </w:p>
          <w:p w14:paraId="5FA81606">
            <w:pPr>
              <w:spacing w:line="0" w:lineRule="atLeast"/>
              <w:jc w:val="center"/>
              <w:rPr>
                <w:rFonts w:hint="default" w:ascii="Times New Roman" w:hAnsi="Times New Roman" w:eastAsia="仿宋_GB2312" w:cs="Times New Roman"/>
                <w:color w:val="auto"/>
                <w:kern w:val="0"/>
                <w:sz w:val="18"/>
                <w:szCs w:val="18"/>
                <w:highlight w:val="none"/>
              </w:rPr>
            </w:pPr>
          </w:p>
          <w:p w14:paraId="0A54C69C">
            <w:pPr>
              <w:spacing w:line="0" w:lineRule="atLeast"/>
              <w:jc w:val="center"/>
              <w:rPr>
                <w:rFonts w:hint="default" w:ascii="Times New Roman" w:hAnsi="Times New Roman" w:eastAsia="仿宋_GB2312" w:cs="Times New Roman"/>
                <w:color w:val="auto"/>
                <w:kern w:val="0"/>
                <w:sz w:val="18"/>
                <w:szCs w:val="18"/>
                <w:highlight w:val="none"/>
              </w:rPr>
            </w:pPr>
          </w:p>
          <w:p w14:paraId="1EB29BA4">
            <w:pPr>
              <w:spacing w:line="0" w:lineRule="atLeast"/>
              <w:jc w:val="center"/>
              <w:rPr>
                <w:rFonts w:hint="default" w:ascii="Times New Roman" w:hAnsi="Times New Roman" w:eastAsia="仿宋_GB2312" w:cs="Times New Roman"/>
                <w:color w:val="auto"/>
                <w:kern w:val="0"/>
                <w:sz w:val="18"/>
                <w:szCs w:val="18"/>
                <w:highlight w:val="none"/>
              </w:rPr>
            </w:pPr>
          </w:p>
          <w:p w14:paraId="7164AAD0">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4E9A242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00" w:type="dxa"/>
            <w:vMerge w:val="restart"/>
            <w:shd w:val="clear" w:color="auto" w:fill="FFFFFF"/>
            <w:vAlign w:val="center"/>
          </w:tcPr>
          <w:p w14:paraId="714263C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0CE41AB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1725" w:type="dxa"/>
            <w:shd w:val="clear" w:color="000000" w:fill="FFFFFF"/>
            <w:vAlign w:val="center"/>
          </w:tcPr>
          <w:p w14:paraId="763EDBD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378FA64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0BB534B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12D64C2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4FDC275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196EE7F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961F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2B9E8A67">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7D552032">
            <w:pPr>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529BBCA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1725" w:type="dxa"/>
            <w:shd w:val="clear" w:color="auto" w:fill="FFFFFF"/>
            <w:vAlign w:val="center"/>
          </w:tcPr>
          <w:p w14:paraId="3D1B361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5216" w:type="dxa"/>
            <w:shd w:val="clear" w:color="auto" w:fill="FFFFFF"/>
            <w:vAlign w:val="center"/>
          </w:tcPr>
          <w:p w14:paraId="58BFCE2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31A28D3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3AE5FB01">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552414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E2D3CD3">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343FD1B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7D97DA8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0479D0E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1725" w:type="dxa"/>
            <w:shd w:val="clear" w:color="000000" w:fill="FFFFFF"/>
            <w:vAlign w:val="center"/>
          </w:tcPr>
          <w:p w14:paraId="24470CB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30483ED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1304" w:type="dxa"/>
            <w:gridSpan w:val="2"/>
            <w:shd w:val="clear" w:color="000000" w:fill="FFFFFF"/>
            <w:vAlign w:val="center"/>
          </w:tcPr>
          <w:p w14:paraId="1F27235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221814E3">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5B5A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7586074">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4732283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47654F3A">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6BDEC3A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6937276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1725" w:type="dxa"/>
            <w:shd w:val="clear" w:color="000000" w:fill="FFFFFF"/>
            <w:vAlign w:val="center"/>
          </w:tcPr>
          <w:p w14:paraId="77BC16F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682CD0B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1304" w:type="dxa"/>
            <w:gridSpan w:val="2"/>
            <w:shd w:val="clear" w:color="000000" w:fill="FFFFFF"/>
            <w:vAlign w:val="center"/>
          </w:tcPr>
          <w:p w14:paraId="6CAEBFE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302A795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4230F2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04C1938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418447F2">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0E68652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65EB337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1725" w:type="dxa"/>
            <w:shd w:val="clear" w:color="000000" w:fill="FFFFFF"/>
            <w:vAlign w:val="center"/>
          </w:tcPr>
          <w:p w14:paraId="0031980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6310D29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1304" w:type="dxa"/>
            <w:gridSpan w:val="2"/>
            <w:shd w:val="clear" w:color="000000" w:fill="FFFFFF"/>
            <w:vAlign w:val="center"/>
          </w:tcPr>
          <w:p w14:paraId="02CB50E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65E6CC45">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7A3F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122528B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1000" w:type="dxa"/>
            <w:shd w:val="clear" w:color="auto" w:fill="FFFFFF"/>
            <w:vAlign w:val="center"/>
          </w:tcPr>
          <w:p w14:paraId="72BAA28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1071" w:type="dxa"/>
            <w:shd w:val="clear" w:color="auto" w:fill="FFFFFF"/>
            <w:vAlign w:val="center"/>
          </w:tcPr>
          <w:p w14:paraId="65F00C1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1725" w:type="dxa"/>
            <w:shd w:val="clear" w:color="000000" w:fill="FFFFFF"/>
            <w:vAlign w:val="center"/>
          </w:tcPr>
          <w:p w14:paraId="1F460EF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1642359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101CD96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334F1492">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47B5E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1E153B03">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34D3CC8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1071" w:type="dxa"/>
            <w:shd w:val="clear" w:color="auto" w:fill="FFFFFF"/>
            <w:vAlign w:val="center"/>
          </w:tcPr>
          <w:p w14:paraId="4395913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1725" w:type="dxa"/>
            <w:shd w:val="clear" w:color="000000" w:fill="FFFFFF"/>
            <w:vAlign w:val="center"/>
          </w:tcPr>
          <w:p w14:paraId="1D02E14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1F7A3D8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09787F5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88C6D2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0A14724F">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F6BFC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2EEE9A6C">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319DD3BF">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1071" w:type="dxa"/>
            <w:shd w:val="clear" w:color="auto" w:fill="FFFFFF"/>
            <w:vAlign w:val="center"/>
          </w:tcPr>
          <w:p w14:paraId="54BFD1B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1725" w:type="dxa"/>
            <w:shd w:val="clear" w:color="000000" w:fill="FFFFFF"/>
            <w:vAlign w:val="center"/>
          </w:tcPr>
          <w:p w14:paraId="5875B9C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61C4D10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0C6EBA6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650CFF26">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1B3D7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A21FFCD">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3046942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1071" w:type="dxa"/>
            <w:shd w:val="clear" w:color="auto" w:fill="FFFFFF"/>
            <w:vAlign w:val="center"/>
          </w:tcPr>
          <w:p w14:paraId="21A976A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1725" w:type="dxa"/>
            <w:shd w:val="clear" w:color="000000" w:fill="FFFFFF"/>
            <w:vAlign w:val="center"/>
          </w:tcPr>
          <w:p w14:paraId="10D4BC5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4C1B1E1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62AA8D6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1A9D22E7">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054F4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414F10A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1000" w:type="dxa"/>
            <w:vMerge w:val="restart"/>
            <w:shd w:val="clear" w:color="auto" w:fill="FFFFFF"/>
            <w:vAlign w:val="center"/>
          </w:tcPr>
          <w:p w14:paraId="121CAFE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1071" w:type="dxa"/>
            <w:shd w:val="clear" w:color="auto" w:fill="FFFFFF"/>
            <w:vAlign w:val="center"/>
          </w:tcPr>
          <w:p w14:paraId="7F947C0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1725" w:type="dxa"/>
            <w:shd w:val="clear" w:color="auto" w:fill="FFFFFF"/>
            <w:vAlign w:val="center"/>
          </w:tcPr>
          <w:p w14:paraId="6F5558DB">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5216" w:type="dxa"/>
            <w:shd w:val="clear" w:color="auto" w:fill="FFFFFF"/>
            <w:vAlign w:val="center"/>
          </w:tcPr>
          <w:p w14:paraId="271C28A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4BCABDB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auto" w:fill="FFFFFF"/>
            <w:vAlign w:val="center"/>
          </w:tcPr>
          <w:p w14:paraId="08964ED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2409E1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4E0EE72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72C1D41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7FD2D19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5" w:type="dxa"/>
            <w:shd w:val="clear" w:color="000000" w:fill="FFFFFF"/>
            <w:vAlign w:val="center"/>
          </w:tcPr>
          <w:p w14:paraId="6BCAD9D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14:paraId="62B06E4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4B3E336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2EB77CB9">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2DA4E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4C99030C">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shd w:val="clear" w:color="000000" w:fill="FFFFFF"/>
            <w:vAlign w:val="center"/>
          </w:tcPr>
          <w:p w14:paraId="2AC1298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shd w:val="clear" w:color="000000" w:fill="FFFFFF"/>
            <w:vAlign w:val="center"/>
          </w:tcPr>
          <w:p w14:paraId="78D23AF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p w14:paraId="1CB5DB66">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14:paraId="13C6B10C">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tbl>
      <w:tblPr>
        <w:tblStyle w:val="14"/>
        <w:tblW w:w="13725" w:type="dxa"/>
        <w:tblInd w:w="0" w:type="dxa"/>
        <w:shd w:val="clear" w:color="auto" w:fill="auto"/>
        <w:tblLayout w:type="fixed"/>
        <w:tblCellMar>
          <w:top w:w="0" w:type="dxa"/>
          <w:left w:w="0" w:type="dxa"/>
          <w:bottom w:w="0" w:type="dxa"/>
          <w:right w:w="0" w:type="dxa"/>
        </w:tblCellMar>
      </w:tblPr>
      <w:tblGrid>
        <w:gridCol w:w="906"/>
        <w:gridCol w:w="906"/>
        <w:gridCol w:w="934"/>
        <w:gridCol w:w="1530"/>
        <w:gridCol w:w="1565"/>
        <w:gridCol w:w="835"/>
        <w:gridCol w:w="1315"/>
        <w:gridCol w:w="1187"/>
        <w:gridCol w:w="718"/>
        <w:gridCol w:w="662"/>
        <w:gridCol w:w="723"/>
        <w:gridCol w:w="579"/>
        <w:gridCol w:w="621"/>
        <w:gridCol w:w="1244"/>
      </w:tblGrid>
      <w:tr w14:paraId="6F3EE8A0">
        <w:tblPrEx>
          <w:shd w:val="clear" w:color="auto" w:fill="auto"/>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14:paraId="4D41DDCF">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629766B7">
        <w:tblPrEx>
          <w:shd w:val="clear" w:color="auto" w:fill="auto"/>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14:paraId="0280708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14:paraId="57D57BEB">
        <w:tblPrEx>
          <w:shd w:val="clear" w:color="auto" w:fill="auto"/>
          <w:tblCellMar>
            <w:top w:w="0" w:type="dxa"/>
            <w:left w:w="0" w:type="dxa"/>
            <w:bottom w:w="0" w:type="dxa"/>
            <w:right w:w="0" w:type="dxa"/>
          </w:tblCellMar>
        </w:tblPrEx>
        <w:trPr>
          <w:trHeight w:val="270" w:hRule="atLeast"/>
        </w:trPr>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450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91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70FC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2024年城乡义务教育补助经费预算-校舍安全</w:t>
            </w:r>
          </w:p>
        </w:tc>
      </w:tr>
      <w:tr w14:paraId="5DBF680C">
        <w:tblPrEx>
          <w:shd w:val="clear" w:color="auto" w:fill="auto"/>
          <w:tblCellMar>
            <w:top w:w="0" w:type="dxa"/>
            <w:left w:w="0" w:type="dxa"/>
            <w:bottom w:w="0" w:type="dxa"/>
            <w:right w:w="0" w:type="dxa"/>
          </w:tblCellMar>
        </w:tblPrEx>
        <w:trPr>
          <w:trHeight w:val="270" w:hRule="atLeast"/>
        </w:trPr>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6BE9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617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8EB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奇台县第一小学</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D3B6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82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AAE5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奇台县第一小学</w:t>
            </w:r>
          </w:p>
        </w:tc>
      </w:tr>
      <w:tr w14:paraId="22045DA8">
        <w:tblPrEx>
          <w:shd w:val="clear" w:color="auto" w:fill="auto"/>
          <w:tblCellMar>
            <w:top w:w="0" w:type="dxa"/>
            <w:left w:w="0" w:type="dxa"/>
            <w:bottom w:w="0" w:type="dxa"/>
            <w:right w:w="0" w:type="dxa"/>
          </w:tblCellMar>
        </w:tblPrEx>
        <w:trPr>
          <w:trHeight w:val="480" w:hRule="atLeast"/>
        </w:trPr>
        <w:tc>
          <w:tcPr>
            <w:tcW w:w="18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7955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BBC3A">
            <w:pPr>
              <w:jc w:val="center"/>
              <w:rPr>
                <w:rFonts w:hint="eastAsia" w:ascii="宋体" w:hAnsi="宋体" w:eastAsia="宋体" w:cs="宋体"/>
                <w:i w:val="0"/>
                <w:color w:val="000000"/>
                <w:sz w:val="20"/>
                <w:szCs w:val="20"/>
                <w:u w:val="none"/>
              </w:rPr>
            </w:pP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E057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D697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B1D4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EAE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1976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A41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14:paraId="3B194F6C">
        <w:tblPrEx>
          <w:shd w:val="clear" w:color="auto" w:fill="auto"/>
          <w:tblCellMar>
            <w:top w:w="0" w:type="dxa"/>
            <w:left w:w="0" w:type="dxa"/>
            <w:bottom w:w="0" w:type="dxa"/>
            <w:right w:w="0" w:type="dxa"/>
          </w:tblCellMar>
        </w:tblPrEx>
        <w:trPr>
          <w:trHeight w:val="440" w:hRule="atLeast"/>
        </w:trPr>
        <w:tc>
          <w:tcPr>
            <w:tcW w:w="18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80BB4">
            <w:pPr>
              <w:jc w:val="center"/>
              <w:rPr>
                <w:rFonts w:hint="eastAsia" w:ascii="宋体" w:hAnsi="宋体" w:eastAsia="宋体" w:cs="宋体"/>
                <w:i w:val="0"/>
                <w:color w:val="000000"/>
                <w:sz w:val="20"/>
                <w:szCs w:val="20"/>
                <w:u w:val="none"/>
              </w:rPr>
            </w:pP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2F2E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0A20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3389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CFE5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0786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492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1DDF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r>
      <w:tr w14:paraId="1BD5FFA9">
        <w:tblPrEx>
          <w:shd w:val="clear" w:color="auto" w:fill="auto"/>
          <w:tblCellMar>
            <w:top w:w="0" w:type="dxa"/>
            <w:left w:w="0" w:type="dxa"/>
            <w:bottom w:w="0" w:type="dxa"/>
            <w:right w:w="0" w:type="dxa"/>
          </w:tblCellMar>
        </w:tblPrEx>
        <w:trPr>
          <w:trHeight w:val="440" w:hRule="atLeast"/>
        </w:trPr>
        <w:tc>
          <w:tcPr>
            <w:tcW w:w="18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183D9">
            <w:pPr>
              <w:jc w:val="center"/>
              <w:rPr>
                <w:rFonts w:hint="eastAsia" w:ascii="宋体" w:hAnsi="宋体" w:eastAsia="宋体" w:cs="宋体"/>
                <w:i w:val="0"/>
                <w:color w:val="000000"/>
                <w:sz w:val="20"/>
                <w:szCs w:val="20"/>
                <w:u w:val="none"/>
              </w:rPr>
            </w:pP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80DE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19A4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9F23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E97A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4737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498D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7B3E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48CFE97B">
        <w:tblPrEx>
          <w:shd w:val="clear" w:color="auto" w:fill="auto"/>
          <w:tblCellMar>
            <w:top w:w="0" w:type="dxa"/>
            <w:left w:w="0" w:type="dxa"/>
            <w:bottom w:w="0" w:type="dxa"/>
            <w:right w:w="0" w:type="dxa"/>
          </w:tblCellMar>
        </w:tblPrEx>
        <w:trPr>
          <w:trHeight w:val="440" w:hRule="atLeast"/>
        </w:trPr>
        <w:tc>
          <w:tcPr>
            <w:tcW w:w="18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00CC5">
            <w:pPr>
              <w:jc w:val="center"/>
              <w:rPr>
                <w:rFonts w:hint="eastAsia" w:ascii="宋体" w:hAnsi="宋体" w:eastAsia="宋体" w:cs="宋体"/>
                <w:i w:val="0"/>
                <w:color w:val="000000"/>
                <w:sz w:val="20"/>
                <w:szCs w:val="20"/>
                <w:u w:val="none"/>
              </w:rPr>
            </w:pP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477C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51B1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DFB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B9FD7">
            <w:pPr>
              <w:jc w:val="center"/>
              <w:rPr>
                <w:rFonts w:hint="eastAsia" w:ascii="宋体" w:hAnsi="宋体" w:eastAsia="宋体" w:cs="宋体"/>
                <w:i w:val="0"/>
                <w:color w:val="000000"/>
                <w:sz w:val="20"/>
                <w:szCs w:val="20"/>
                <w:u w:val="none"/>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E4A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E3FC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AC4D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35276F07">
        <w:tblPrEx>
          <w:shd w:val="clear" w:color="auto" w:fill="auto"/>
          <w:tblCellMar>
            <w:top w:w="0" w:type="dxa"/>
            <w:left w:w="0" w:type="dxa"/>
            <w:bottom w:w="0" w:type="dxa"/>
            <w:right w:w="0" w:type="dxa"/>
          </w:tblCellMar>
        </w:tblPrEx>
        <w:trPr>
          <w:trHeight w:val="440" w:hRule="atLeast"/>
        </w:trPr>
        <w:tc>
          <w:tcPr>
            <w:tcW w:w="18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3D215">
            <w:pPr>
              <w:jc w:val="center"/>
              <w:rPr>
                <w:rFonts w:hint="eastAsia" w:ascii="宋体" w:hAnsi="宋体" w:eastAsia="宋体" w:cs="宋体"/>
                <w:i w:val="0"/>
                <w:color w:val="000000"/>
                <w:sz w:val="20"/>
                <w:szCs w:val="20"/>
                <w:u w:val="none"/>
              </w:rPr>
            </w:pP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5C359">
            <w:pPr>
              <w:jc w:val="center"/>
              <w:rPr>
                <w:rFonts w:hint="eastAsia" w:ascii="宋体" w:hAnsi="宋体" w:eastAsia="宋体" w:cs="宋体"/>
                <w:i w:val="0"/>
                <w:color w:val="000000"/>
                <w:sz w:val="20"/>
                <w:szCs w:val="20"/>
                <w:u w:val="none"/>
              </w:rPr>
            </w:pP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82A36">
            <w:pPr>
              <w:jc w:val="center"/>
              <w:rPr>
                <w:rFonts w:hint="eastAsia" w:ascii="宋体" w:hAnsi="宋体" w:eastAsia="宋体" w:cs="宋体"/>
                <w:i w:val="0"/>
                <w:color w:val="000000"/>
                <w:sz w:val="20"/>
                <w:szCs w:val="20"/>
                <w:u w:val="none"/>
              </w:rPr>
            </w:pPr>
          </w:p>
        </w:tc>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69995">
            <w:pPr>
              <w:jc w:val="center"/>
              <w:rPr>
                <w:rFonts w:hint="eastAsia" w:ascii="宋体" w:hAnsi="宋体" w:eastAsia="宋体" w:cs="宋体"/>
                <w:i w:val="0"/>
                <w:color w:val="000000"/>
                <w:sz w:val="20"/>
                <w:szCs w:val="20"/>
                <w:u w:val="none"/>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969AD">
            <w:pPr>
              <w:jc w:val="center"/>
              <w:rPr>
                <w:rFonts w:hint="eastAsia" w:ascii="宋体" w:hAnsi="宋体" w:eastAsia="宋体" w:cs="宋体"/>
                <w:i w:val="0"/>
                <w:color w:val="000000"/>
                <w:sz w:val="20"/>
                <w:szCs w:val="20"/>
                <w:u w:val="none"/>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7FA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C8F4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0E07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2FA81C79">
        <w:tblPrEx>
          <w:shd w:val="clear" w:color="auto" w:fill="auto"/>
          <w:tblCellMar>
            <w:top w:w="0" w:type="dxa"/>
            <w:left w:w="0" w:type="dxa"/>
            <w:bottom w:w="0" w:type="dxa"/>
            <w:right w:w="0" w:type="dxa"/>
          </w:tblCellMar>
        </w:tblPrEx>
        <w:trPr>
          <w:trHeight w:val="270" w:hRule="atLeast"/>
        </w:trPr>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6F80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708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5CCE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5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64AF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14:paraId="5BCD1B57">
        <w:tblPrEx>
          <w:shd w:val="clear" w:color="auto" w:fill="auto"/>
          <w:tblCellMar>
            <w:top w:w="0" w:type="dxa"/>
            <w:left w:w="0" w:type="dxa"/>
            <w:bottom w:w="0" w:type="dxa"/>
            <w:right w:w="0" w:type="dxa"/>
          </w:tblCellMar>
        </w:tblPrEx>
        <w:trPr>
          <w:trHeight w:val="54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5F1CF">
            <w:pPr>
              <w:jc w:val="center"/>
              <w:rPr>
                <w:rFonts w:hint="eastAsia" w:ascii="宋体" w:hAnsi="宋体" w:eastAsia="宋体" w:cs="宋体"/>
                <w:i w:val="0"/>
                <w:color w:val="000000"/>
                <w:sz w:val="20"/>
                <w:szCs w:val="20"/>
                <w:u w:val="none"/>
              </w:rPr>
            </w:pPr>
          </w:p>
        </w:tc>
        <w:tc>
          <w:tcPr>
            <w:tcW w:w="708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F041532">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为教育生态环境和谐稳定，教育服务社会稳定和长治久安，改善义务教育基本办学条件，提升办学能力，奇台县第一小学硅PU篮球场篮球场改造面积3700平方米、更换塑钢窗410平方米，建设项目合格率100%，使学生满意度90%。</w:t>
            </w:r>
          </w:p>
        </w:tc>
        <w:tc>
          <w:tcPr>
            <w:tcW w:w="57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730BDC2">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奇台一小硅PU篮球场改造面积3700平方米，塑钢窗更换410平方米，资金支付率100%，师生满意度达90%以上。</w:t>
            </w:r>
          </w:p>
        </w:tc>
      </w:tr>
      <w:tr w14:paraId="1B7B1807">
        <w:tblPrEx>
          <w:shd w:val="clear" w:color="auto" w:fill="auto"/>
          <w:tblCellMar>
            <w:top w:w="0" w:type="dxa"/>
            <w:left w:w="0" w:type="dxa"/>
            <w:bottom w:w="0" w:type="dxa"/>
            <w:right w:w="0" w:type="dxa"/>
          </w:tblCellMar>
        </w:tblPrEx>
        <w:trPr>
          <w:trHeight w:val="270" w:hRule="atLeast"/>
        </w:trPr>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9173F">
            <w:pPr>
              <w:jc w:val="center"/>
              <w:rPr>
                <w:rFonts w:hint="eastAsia" w:ascii="宋体" w:hAnsi="宋体" w:eastAsia="宋体" w:cs="宋体"/>
                <w:i w:val="0"/>
                <w:color w:val="000000"/>
                <w:sz w:val="20"/>
                <w:szCs w:val="20"/>
                <w:u w:val="none"/>
              </w:rPr>
            </w:pP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3C3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559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39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B41A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94F0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6260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3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0210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862F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8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21E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14:paraId="64259F67">
        <w:tblPrEx>
          <w:shd w:val="clear" w:color="auto" w:fill="auto"/>
          <w:tblCellMar>
            <w:top w:w="0" w:type="dxa"/>
            <w:left w:w="0" w:type="dxa"/>
            <w:bottom w:w="0" w:type="dxa"/>
            <w:right w:w="0" w:type="dxa"/>
          </w:tblCellMar>
        </w:tblPrEx>
        <w:trPr>
          <w:trHeight w:val="27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50F59">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302E6">
            <w:pPr>
              <w:jc w:val="center"/>
              <w:rPr>
                <w:rFonts w:hint="eastAsia" w:ascii="宋体" w:hAnsi="宋体" w:eastAsia="宋体" w:cs="宋体"/>
                <w:i w:val="0"/>
                <w:color w:val="000000"/>
                <w:sz w:val="20"/>
                <w:szCs w:val="20"/>
                <w:u w:val="none"/>
              </w:rPr>
            </w:pPr>
          </w:p>
        </w:tc>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FA8C4">
            <w:pPr>
              <w:jc w:val="center"/>
              <w:rPr>
                <w:rFonts w:hint="eastAsia" w:ascii="宋体" w:hAnsi="宋体" w:eastAsia="宋体" w:cs="宋体"/>
                <w:i w:val="0"/>
                <w:color w:val="000000"/>
                <w:sz w:val="20"/>
                <w:szCs w:val="20"/>
                <w:u w:val="none"/>
              </w:rPr>
            </w:pPr>
          </w:p>
        </w:tc>
        <w:tc>
          <w:tcPr>
            <w:tcW w:w="39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DD766">
            <w:pPr>
              <w:jc w:val="center"/>
              <w:rPr>
                <w:rFonts w:hint="eastAsia" w:ascii="宋体" w:hAnsi="宋体" w:eastAsia="宋体" w:cs="宋体"/>
                <w:i w:val="0"/>
                <w:color w:val="000000"/>
                <w:sz w:val="20"/>
                <w:szCs w:val="20"/>
                <w:u w:val="none"/>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0FD2C">
            <w:pPr>
              <w:jc w:val="center"/>
              <w:rPr>
                <w:rFonts w:hint="eastAsia" w:ascii="宋体" w:hAnsi="宋体" w:eastAsia="宋体" w:cs="宋体"/>
                <w:i w:val="0"/>
                <w:color w:val="000000"/>
                <w:sz w:val="20"/>
                <w:szCs w:val="20"/>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51FAE">
            <w:pPr>
              <w:jc w:val="center"/>
              <w:rPr>
                <w:rFonts w:hint="eastAsia" w:ascii="宋体" w:hAnsi="宋体" w:eastAsia="宋体" w:cs="宋体"/>
                <w:i w:val="0"/>
                <w:color w:val="000000"/>
                <w:sz w:val="20"/>
                <w:szCs w:val="20"/>
                <w:u w:val="none"/>
              </w:rPr>
            </w:pPr>
          </w:p>
        </w:tc>
        <w:tc>
          <w:tcPr>
            <w:tcW w:w="13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6D586">
            <w:pPr>
              <w:jc w:val="center"/>
              <w:rPr>
                <w:rFonts w:hint="eastAsia" w:ascii="宋体" w:hAnsi="宋体" w:eastAsia="宋体" w:cs="宋体"/>
                <w:i w:val="0"/>
                <w:color w:val="000000"/>
                <w:sz w:val="20"/>
                <w:szCs w:val="20"/>
                <w:u w:val="none"/>
              </w:rPr>
            </w:pPr>
          </w:p>
        </w:tc>
        <w:tc>
          <w:tcPr>
            <w:tcW w:w="13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EBA2C">
            <w:pPr>
              <w:jc w:val="center"/>
              <w:rPr>
                <w:rFonts w:hint="eastAsia" w:ascii="宋体" w:hAnsi="宋体" w:eastAsia="宋体" w:cs="宋体"/>
                <w:i w:val="0"/>
                <w:color w:val="000000"/>
                <w:sz w:val="20"/>
                <w:szCs w:val="20"/>
                <w:u w:val="none"/>
              </w:rPr>
            </w:pPr>
          </w:p>
        </w:tc>
        <w:tc>
          <w:tcPr>
            <w:tcW w:w="18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36A4C">
            <w:pPr>
              <w:jc w:val="center"/>
              <w:rPr>
                <w:rFonts w:hint="eastAsia" w:ascii="宋体" w:hAnsi="宋体" w:eastAsia="宋体" w:cs="宋体"/>
                <w:i w:val="0"/>
                <w:color w:val="000000"/>
                <w:sz w:val="20"/>
                <w:szCs w:val="20"/>
                <w:u w:val="none"/>
              </w:rPr>
            </w:pPr>
          </w:p>
        </w:tc>
      </w:tr>
      <w:tr w14:paraId="67E9B30E">
        <w:tblPrEx>
          <w:shd w:val="clear" w:color="auto" w:fill="auto"/>
          <w:tblCellMar>
            <w:top w:w="0" w:type="dxa"/>
            <w:left w:w="0" w:type="dxa"/>
            <w:bottom w:w="0" w:type="dxa"/>
            <w:right w:w="0" w:type="dxa"/>
          </w:tblCellMar>
        </w:tblPrEx>
        <w:trPr>
          <w:trHeight w:val="400" w:hRule="atLeast"/>
        </w:trPr>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BA9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AB5A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C1B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7EC1A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硅PU篮球场周边硬化面积</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E18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=3700平方米</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EC16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=3700平方米</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5C2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83A6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DE4ED">
            <w:pPr>
              <w:jc w:val="center"/>
              <w:rPr>
                <w:rFonts w:hint="eastAsia" w:ascii="宋体" w:hAnsi="宋体" w:eastAsia="宋体" w:cs="宋体"/>
                <w:i w:val="0"/>
                <w:color w:val="000000"/>
                <w:sz w:val="20"/>
                <w:szCs w:val="20"/>
                <w:u w:val="none"/>
              </w:rPr>
            </w:pPr>
          </w:p>
        </w:tc>
      </w:tr>
      <w:tr w14:paraId="1D84143D">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D7934">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0A6F9">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E41D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2E030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润泽楼更换塑钢窗面积</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319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=410平方米</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4082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=410平方米</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111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49D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999ED">
            <w:pPr>
              <w:jc w:val="center"/>
              <w:rPr>
                <w:rFonts w:hint="eastAsia" w:ascii="宋体" w:hAnsi="宋体" w:eastAsia="宋体" w:cs="宋体"/>
                <w:i w:val="0"/>
                <w:color w:val="000000"/>
                <w:sz w:val="20"/>
                <w:szCs w:val="20"/>
                <w:u w:val="none"/>
              </w:rPr>
            </w:pPr>
          </w:p>
        </w:tc>
      </w:tr>
      <w:tr w14:paraId="4DC69975">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931AE">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673C4">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4DCC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C8A2E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硅PU篮球场及周边硬化改造建设项目合格率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80B0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A360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7B1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86C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E4998">
            <w:pPr>
              <w:jc w:val="center"/>
              <w:rPr>
                <w:rFonts w:hint="eastAsia" w:ascii="宋体" w:hAnsi="宋体" w:eastAsia="宋体" w:cs="宋体"/>
                <w:i w:val="0"/>
                <w:color w:val="000000"/>
                <w:sz w:val="20"/>
                <w:szCs w:val="20"/>
                <w:u w:val="none"/>
              </w:rPr>
            </w:pPr>
          </w:p>
        </w:tc>
      </w:tr>
      <w:tr w14:paraId="7810251C">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06494">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FDB74">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C7BD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279EE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硅PU篮球场及周边硬化材料采购质量合格率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4AC7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88C2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CE04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63C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E8B80">
            <w:pPr>
              <w:jc w:val="center"/>
              <w:rPr>
                <w:rFonts w:hint="eastAsia" w:ascii="宋体" w:hAnsi="宋体" w:eastAsia="宋体" w:cs="宋体"/>
                <w:i w:val="0"/>
                <w:color w:val="000000"/>
                <w:sz w:val="20"/>
                <w:szCs w:val="20"/>
                <w:u w:val="none"/>
              </w:rPr>
            </w:pPr>
          </w:p>
        </w:tc>
      </w:tr>
      <w:tr w14:paraId="539C305B">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2E8C8">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6EB8C">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E871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04ED3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润泽楼更换塑钢窗改造建设项目合格率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0BE0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0FFD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427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1D38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B1735">
            <w:pPr>
              <w:jc w:val="center"/>
              <w:rPr>
                <w:rFonts w:hint="eastAsia" w:ascii="宋体" w:hAnsi="宋体" w:eastAsia="宋体" w:cs="宋体"/>
                <w:i w:val="0"/>
                <w:color w:val="000000"/>
                <w:sz w:val="20"/>
                <w:szCs w:val="20"/>
                <w:u w:val="none"/>
              </w:rPr>
            </w:pPr>
          </w:p>
        </w:tc>
      </w:tr>
      <w:tr w14:paraId="535BAB33">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C248A">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4A0BF">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E17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697D5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塑钢窗材料采购质量合格率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5E0E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A6D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6C7B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95B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77A68">
            <w:pPr>
              <w:jc w:val="center"/>
              <w:rPr>
                <w:rFonts w:hint="eastAsia" w:ascii="宋体" w:hAnsi="宋体" w:eastAsia="宋体" w:cs="宋体"/>
                <w:i w:val="0"/>
                <w:color w:val="000000"/>
                <w:sz w:val="20"/>
                <w:szCs w:val="20"/>
                <w:u w:val="none"/>
              </w:rPr>
            </w:pPr>
          </w:p>
        </w:tc>
      </w:tr>
      <w:tr w14:paraId="1D34FB0A">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01C09">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F13BF">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8592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1D80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篮球场改造年度计划开工时间</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334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=2024年3月</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6BBA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=2024年3月</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24C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6058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8EFD9">
            <w:pPr>
              <w:jc w:val="center"/>
              <w:rPr>
                <w:rFonts w:hint="eastAsia" w:ascii="宋体" w:hAnsi="宋体" w:eastAsia="宋体" w:cs="宋体"/>
                <w:i w:val="0"/>
                <w:color w:val="000000"/>
                <w:sz w:val="20"/>
                <w:szCs w:val="20"/>
                <w:u w:val="none"/>
              </w:rPr>
            </w:pPr>
          </w:p>
        </w:tc>
      </w:tr>
      <w:tr w14:paraId="708A4529">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F1E65">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6A190">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E9C8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A6BD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篮球场改造年度计划完工时间</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BAF8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F441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8033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4549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34944">
            <w:pPr>
              <w:jc w:val="center"/>
              <w:rPr>
                <w:rFonts w:hint="eastAsia" w:ascii="宋体" w:hAnsi="宋体" w:eastAsia="宋体" w:cs="宋体"/>
                <w:i w:val="0"/>
                <w:color w:val="000000"/>
                <w:sz w:val="20"/>
                <w:szCs w:val="20"/>
                <w:u w:val="none"/>
              </w:rPr>
            </w:pPr>
          </w:p>
        </w:tc>
      </w:tr>
      <w:tr w14:paraId="4B311456">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D2516">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9A3EB">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777B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B01B9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塑钢窗改造年度计划开工时间</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CF1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=2024年3月</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B0F4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=2024年3月</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7B9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2B1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5DCD4">
            <w:pPr>
              <w:jc w:val="center"/>
              <w:rPr>
                <w:rFonts w:hint="eastAsia" w:ascii="宋体" w:hAnsi="宋体" w:eastAsia="宋体" w:cs="宋体"/>
                <w:i w:val="0"/>
                <w:color w:val="000000"/>
                <w:sz w:val="20"/>
                <w:szCs w:val="20"/>
                <w:u w:val="none"/>
              </w:rPr>
            </w:pPr>
          </w:p>
        </w:tc>
      </w:tr>
      <w:tr w14:paraId="4B9E056C">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914EB">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7E2D2">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8B25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43E7A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塑钢窗改造年度计划完工时间</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27C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7864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C48B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CF7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E097F">
            <w:pPr>
              <w:jc w:val="center"/>
              <w:rPr>
                <w:rFonts w:hint="eastAsia" w:ascii="宋体" w:hAnsi="宋体" w:eastAsia="宋体" w:cs="宋体"/>
                <w:i w:val="0"/>
                <w:color w:val="000000"/>
                <w:sz w:val="20"/>
                <w:szCs w:val="20"/>
                <w:u w:val="none"/>
              </w:rPr>
            </w:pPr>
          </w:p>
        </w:tc>
      </w:tr>
      <w:tr w14:paraId="06460D8B">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AA15A">
            <w:pPr>
              <w:jc w:val="center"/>
              <w:rPr>
                <w:rFonts w:hint="eastAsia" w:ascii="宋体" w:hAnsi="宋体" w:eastAsia="宋体" w:cs="宋体"/>
                <w:i w:val="0"/>
                <w:color w:val="000000"/>
                <w:sz w:val="20"/>
                <w:szCs w:val="20"/>
                <w:u w:val="none"/>
              </w:rPr>
            </w:pP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038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10B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C9DFD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项目预算控制率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FF63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55BA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8807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FB66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FD559">
            <w:pPr>
              <w:jc w:val="center"/>
              <w:rPr>
                <w:rFonts w:hint="eastAsia" w:ascii="宋体" w:hAnsi="宋体" w:eastAsia="宋体" w:cs="宋体"/>
                <w:i w:val="0"/>
                <w:color w:val="000000"/>
                <w:sz w:val="20"/>
                <w:szCs w:val="20"/>
                <w:u w:val="none"/>
              </w:rPr>
            </w:pPr>
          </w:p>
        </w:tc>
      </w:tr>
      <w:tr w14:paraId="3B15204B">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3FA43">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EAC64">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4BAE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641267">
            <w:pPr>
              <w:jc w:val="left"/>
              <w:rPr>
                <w:rFonts w:hint="eastAsia" w:ascii="宋体" w:hAnsi="宋体" w:eastAsia="宋体" w:cs="宋体"/>
                <w:i w:val="0"/>
                <w:color w:val="000000"/>
                <w:sz w:val="20"/>
                <w:szCs w:val="20"/>
                <w:u w:val="none"/>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E5CA0">
            <w:pPr>
              <w:jc w:val="center"/>
              <w:rPr>
                <w:rFonts w:hint="eastAsia" w:ascii="宋体" w:hAnsi="宋体" w:eastAsia="宋体" w:cs="宋体"/>
                <w:i w:val="0"/>
                <w:color w:val="000000"/>
                <w:sz w:val="20"/>
                <w:szCs w:val="20"/>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C50FE">
            <w:pPr>
              <w:jc w:val="center"/>
              <w:rPr>
                <w:rFonts w:hint="eastAsia" w:ascii="宋体" w:hAnsi="宋体" w:eastAsia="宋体" w:cs="宋体"/>
                <w:i w:val="0"/>
                <w:color w:val="000000"/>
                <w:sz w:val="20"/>
                <w:szCs w:val="20"/>
                <w:u w:val="none"/>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CD6C7">
            <w:pPr>
              <w:jc w:val="center"/>
              <w:rPr>
                <w:rFonts w:hint="eastAsia" w:ascii="宋体" w:hAnsi="宋体" w:eastAsia="宋体" w:cs="宋体"/>
                <w:i w:val="0"/>
                <w:color w:val="000000"/>
                <w:sz w:val="20"/>
                <w:szCs w:val="20"/>
                <w:u w:val="none"/>
              </w:rPr>
            </w:pP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51AA7">
            <w:pPr>
              <w:jc w:val="center"/>
              <w:rPr>
                <w:rFonts w:hint="eastAsia" w:ascii="宋体" w:hAnsi="宋体" w:eastAsia="宋体" w:cs="宋体"/>
                <w:i w:val="0"/>
                <w:color w:val="000000"/>
                <w:sz w:val="20"/>
                <w:szCs w:val="20"/>
                <w:u w:val="none"/>
              </w:rPr>
            </w:pP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32EF6">
            <w:pPr>
              <w:jc w:val="center"/>
              <w:rPr>
                <w:rFonts w:hint="eastAsia" w:ascii="宋体" w:hAnsi="宋体" w:eastAsia="宋体" w:cs="宋体"/>
                <w:i w:val="0"/>
                <w:color w:val="000000"/>
                <w:sz w:val="20"/>
                <w:szCs w:val="20"/>
                <w:u w:val="none"/>
              </w:rPr>
            </w:pPr>
          </w:p>
        </w:tc>
      </w:tr>
      <w:tr w14:paraId="753E0B02">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D8965">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742A0">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73B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9EA6FA">
            <w:pPr>
              <w:jc w:val="left"/>
              <w:rPr>
                <w:rFonts w:hint="eastAsia" w:ascii="宋体" w:hAnsi="宋体" w:eastAsia="宋体" w:cs="宋体"/>
                <w:i w:val="0"/>
                <w:color w:val="000000"/>
                <w:sz w:val="20"/>
                <w:szCs w:val="20"/>
                <w:u w:val="none"/>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19FB2">
            <w:pPr>
              <w:jc w:val="center"/>
              <w:rPr>
                <w:rFonts w:hint="eastAsia" w:ascii="宋体" w:hAnsi="宋体" w:eastAsia="宋体" w:cs="宋体"/>
                <w:i w:val="0"/>
                <w:color w:val="000000"/>
                <w:sz w:val="20"/>
                <w:szCs w:val="20"/>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FB167">
            <w:pPr>
              <w:jc w:val="center"/>
              <w:rPr>
                <w:rFonts w:hint="eastAsia" w:ascii="宋体" w:hAnsi="宋体" w:eastAsia="宋体" w:cs="宋体"/>
                <w:i w:val="0"/>
                <w:color w:val="000000"/>
                <w:sz w:val="20"/>
                <w:szCs w:val="20"/>
                <w:u w:val="none"/>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03745">
            <w:pPr>
              <w:jc w:val="center"/>
              <w:rPr>
                <w:rFonts w:hint="eastAsia" w:ascii="宋体" w:hAnsi="宋体" w:eastAsia="宋体" w:cs="宋体"/>
                <w:i w:val="0"/>
                <w:color w:val="000000"/>
                <w:sz w:val="20"/>
                <w:szCs w:val="20"/>
                <w:u w:val="none"/>
              </w:rPr>
            </w:pP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30FAE">
            <w:pPr>
              <w:jc w:val="center"/>
              <w:rPr>
                <w:rFonts w:hint="eastAsia" w:ascii="宋体" w:hAnsi="宋体" w:eastAsia="宋体" w:cs="宋体"/>
                <w:i w:val="0"/>
                <w:color w:val="000000"/>
                <w:sz w:val="20"/>
                <w:szCs w:val="20"/>
                <w:u w:val="none"/>
              </w:rPr>
            </w:pP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3615D">
            <w:pPr>
              <w:jc w:val="center"/>
              <w:rPr>
                <w:rFonts w:hint="eastAsia" w:ascii="宋体" w:hAnsi="宋体" w:eastAsia="宋体" w:cs="宋体"/>
                <w:i w:val="0"/>
                <w:color w:val="000000"/>
                <w:sz w:val="20"/>
                <w:szCs w:val="20"/>
                <w:u w:val="none"/>
              </w:rPr>
            </w:pPr>
          </w:p>
        </w:tc>
      </w:tr>
      <w:tr w14:paraId="7EDCA45C">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692C9">
            <w:pPr>
              <w:jc w:val="center"/>
              <w:rPr>
                <w:rFonts w:hint="eastAsia" w:ascii="宋体" w:hAnsi="宋体" w:eastAsia="宋体" w:cs="宋体"/>
                <w:i w:val="0"/>
                <w:color w:val="000000"/>
                <w:sz w:val="20"/>
                <w:szCs w:val="20"/>
                <w:u w:val="none"/>
              </w:rPr>
            </w:pP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C630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3D9E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B7C4E8">
            <w:pPr>
              <w:jc w:val="left"/>
              <w:rPr>
                <w:rFonts w:hint="eastAsia" w:ascii="宋体" w:hAnsi="宋体" w:eastAsia="宋体" w:cs="宋体"/>
                <w:i w:val="0"/>
                <w:color w:val="000000"/>
                <w:sz w:val="20"/>
                <w:szCs w:val="20"/>
                <w:u w:val="none"/>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1DFCE">
            <w:pPr>
              <w:jc w:val="center"/>
              <w:rPr>
                <w:rFonts w:hint="eastAsia" w:ascii="宋体" w:hAnsi="宋体" w:eastAsia="宋体" w:cs="宋体"/>
                <w:i w:val="0"/>
                <w:color w:val="000000"/>
                <w:sz w:val="20"/>
                <w:szCs w:val="20"/>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35812">
            <w:pPr>
              <w:jc w:val="center"/>
              <w:rPr>
                <w:rFonts w:hint="eastAsia" w:ascii="宋体" w:hAnsi="宋体" w:eastAsia="宋体" w:cs="宋体"/>
                <w:i w:val="0"/>
                <w:color w:val="000000"/>
                <w:sz w:val="20"/>
                <w:szCs w:val="20"/>
                <w:u w:val="none"/>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95D59">
            <w:pPr>
              <w:jc w:val="center"/>
              <w:rPr>
                <w:rFonts w:hint="eastAsia" w:ascii="宋体" w:hAnsi="宋体" w:eastAsia="宋体" w:cs="宋体"/>
                <w:i w:val="0"/>
                <w:color w:val="000000"/>
                <w:sz w:val="20"/>
                <w:szCs w:val="20"/>
                <w:u w:val="none"/>
              </w:rPr>
            </w:pP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9415E">
            <w:pPr>
              <w:jc w:val="center"/>
              <w:rPr>
                <w:rFonts w:hint="eastAsia" w:ascii="宋体" w:hAnsi="宋体" w:eastAsia="宋体" w:cs="宋体"/>
                <w:i w:val="0"/>
                <w:color w:val="000000"/>
                <w:sz w:val="20"/>
                <w:szCs w:val="20"/>
                <w:u w:val="none"/>
              </w:rPr>
            </w:pP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D4728">
            <w:pPr>
              <w:jc w:val="center"/>
              <w:rPr>
                <w:rFonts w:hint="eastAsia" w:ascii="宋体" w:hAnsi="宋体" w:eastAsia="宋体" w:cs="宋体"/>
                <w:i w:val="0"/>
                <w:color w:val="000000"/>
                <w:sz w:val="20"/>
                <w:szCs w:val="20"/>
                <w:u w:val="none"/>
              </w:rPr>
            </w:pPr>
          </w:p>
        </w:tc>
      </w:tr>
      <w:tr w14:paraId="6C2BCAD4">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9BE7C">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81F72">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E0B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88AF0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提升学校基础设施条件</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A540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CA60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E983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593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AF01F">
            <w:pPr>
              <w:jc w:val="center"/>
              <w:rPr>
                <w:rFonts w:hint="eastAsia" w:ascii="宋体" w:hAnsi="宋体" w:eastAsia="宋体" w:cs="宋体"/>
                <w:i w:val="0"/>
                <w:color w:val="000000"/>
                <w:sz w:val="20"/>
                <w:szCs w:val="20"/>
                <w:u w:val="none"/>
              </w:rPr>
            </w:pPr>
          </w:p>
        </w:tc>
      </w:tr>
      <w:tr w14:paraId="35198C81">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99A21">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48ABB">
            <w:pPr>
              <w:jc w:val="center"/>
              <w:rPr>
                <w:rFonts w:hint="eastAsia" w:ascii="宋体" w:hAnsi="宋体" w:eastAsia="宋体" w:cs="宋体"/>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A78D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152A4E">
            <w:pPr>
              <w:jc w:val="left"/>
              <w:rPr>
                <w:rFonts w:hint="eastAsia" w:ascii="宋体" w:hAnsi="宋体" w:eastAsia="宋体" w:cs="宋体"/>
                <w:i w:val="0"/>
                <w:color w:val="000000"/>
                <w:sz w:val="20"/>
                <w:szCs w:val="20"/>
                <w:u w:val="none"/>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3EAB4">
            <w:pPr>
              <w:jc w:val="center"/>
              <w:rPr>
                <w:rFonts w:hint="eastAsia" w:ascii="宋体" w:hAnsi="宋体" w:eastAsia="宋体" w:cs="宋体"/>
                <w:i w:val="0"/>
                <w:color w:val="000000"/>
                <w:sz w:val="20"/>
                <w:szCs w:val="20"/>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2505C">
            <w:pPr>
              <w:jc w:val="center"/>
              <w:rPr>
                <w:rFonts w:hint="eastAsia" w:ascii="宋体" w:hAnsi="宋体" w:eastAsia="宋体" w:cs="宋体"/>
                <w:i w:val="0"/>
                <w:color w:val="000000"/>
                <w:sz w:val="20"/>
                <w:szCs w:val="20"/>
                <w:u w:val="none"/>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725FF">
            <w:pPr>
              <w:jc w:val="center"/>
              <w:rPr>
                <w:rFonts w:hint="eastAsia" w:ascii="宋体" w:hAnsi="宋体" w:eastAsia="宋体" w:cs="宋体"/>
                <w:i w:val="0"/>
                <w:color w:val="000000"/>
                <w:sz w:val="20"/>
                <w:szCs w:val="20"/>
                <w:u w:val="none"/>
              </w:rPr>
            </w:pP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A67E9">
            <w:pPr>
              <w:jc w:val="center"/>
              <w:rPr>
                <w:rFonts w:hint="eastAsia" w:ascii="宋体" w:hAnsi="宋体" w:eastAsia="宋体" w:cs="宋体"/>
                <w:i w:val="0"/>
                <w:color w:val="000000"/>
                <w:sz w:val="20"/>
                <w:szCs w:val="20"/>
                <w:u w:val="none"/>
              </w:rPr>
            </w:pP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4E7FF">
            <w:pPr>
              <w:jc w:val="center"/>
              <w:rPr>
                <w:rFonts w:hint="eastAsia" w:ascii="宋体" w:hAnsi="宋体" w:eastAsia="宋体" w:cs="宋体"/>
                <w:i w:val="0"/>
                <w:color w:val="000000"/>
                <w:sz w:val="20"/>
                <w:szCs w:val="20"/>
                <w:u w:val="none"/>
              </w:rPr>
            </w:pPr>
          </w:p>
        </w:tc>
      </w:tr>
      <w:tr w14:paraId="1D98669E">
        <w:tblPrEx>
          <w:shd w:val="clear" w:color="auto" w:fill="auto"/>
          <w:tblCellMar>
            <w:top w:w="0" w:type="dxa"/>
            <w:left w:w="0" w:type="dxa"/>
            <w:bottom w:w="0" w:type="dxa"/>
            <w:right w:w="0" w:type="dxa"/>
          </w:tblCellMar>
        </w:tblPrEx>
        <w:trPr>
          <w:trHeight w:val="400"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53170">
            <w:pPr>
              <w:jc w:val="cente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1EB8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D0D2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39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062D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学生满意度</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99B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6C1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1B3F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987D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474C5">
            <w:pPr>
              <w:jc w:val="center"/>
              <w:rPr>
                <w:rFonts w:hint="eastAsia" w:ascii="宋体" w:hAnsi="宋体" w:eastAsia="宋体" w:cs="宋体"/>
                <w:i w:val="0"/>
                <w:color w:val="000000"/>
                <w:sz w:val="20"/>
                <w:szCs w:val="20"/>
                <w:u w:val="none"/>
              </w:rPr>
            </w:pPr>
          </w:p>
        </w:tc>
      </w:tr>
      <w:tr w14:paraId="346CC890">
        <w:tblPrEx>
          <w:shd w:val="clear" w:color="auto" w:fill="auto"/>
          <w:tblCellMar>
            <w:top w:w="0" w:type="dxa"/>
            <w:left w:w="0" w:type="dxa"/>
            <w:bottom w:w="0" w:type="dxa"/>
            <w:right w:w="0" w:type="dxa"/>
          </w:tblCellMar>
        </w:tblPrEx>
        <w:trPr>
          <w:trHeight w:val="270" w:hRule="atLeast"/>
        </w:trPr>
        <w:tc>
          <w:tcPr>
            <w:tcW w:w="917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545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F55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E8E2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100分</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C1FC2">
            <w:pPr>
              <w:jc w:val="center"/>
              <w:rPr>
                <w:rFonts w:hint="eastAsia" w:ascii="宋体" w:hAnsi="宋体" w:eastAsia="宋体" w:cs="宋体"/>
                <w:i w:val="0"/>
                <w:color w:val="000000"/>
                <w:sz w:val="20"/>
                <w:szCs w:val="20"/>
                <w:u w:val="none"/>
              </w:rPr>
            </w:pPr>
          </w:p>
        </w:tc>
      </w:tr>
    </w:tbl>
    <w:p w14:paraId="3A464FAB">
      <w:pPr>
        <w:spacing w:line="600" w:lineRule="exact"/>
        <w:rPr>
          <w:rFonts w:hint="eastAsia" w:eastAsia="黑体" w:cs="Times New Roman"/>
          <w:color w:val="auto"/>
          <w:sz w:val="32"/>
          <w:szCs w:val="32"/>
          <w:highlight w:val="none"/>
          <w:lang w:val="en-US" w:eastAsia="zh-CN"/>
        </w:rPr>
      </w:pPr>
    </w:p>
    <w:p w14:paraId="22D7F2B9">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81A26B7">
        <w:pPr>
          <w:pStyle w:val="8"/>
          <w:jc w:val="center"/>
        </w:pPr>
        <w:r>
          <w:fldChar w:fldCharType="begin"/>
        </w:r>
        <w:r>
          <w:instrText xml:space="preserve">PAGE   \* MERGEFORMAT</w:instrText>
        </w:r>
        <w:r>
          <w:fldChar w:fldCharType="separate"/>
        </w:r>
        <w:r>
          <w:rPr>
            <w:lang w:val="zh-CN"/>
          </w:rPr>
          <w:t>13</w:t>
        </w:r>
        <w:r>
          <w:fldChar w:fldCharType="end"/>
        </w:r>
      </w:p>
    </w:sdtContent>
  </w:sdt>
  <w:p w14:paraId="790DB402">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F758"/>
    <w:multiLevelType w:val="singleLevel"/>
    <w:tmpl w:val="813DF758"/>
    <w:lvl w:ilvl="0" w:tentative="0">
      <w:start w:val="2"/>
      <w:numFmt w:val="decimal"/>
      <w:lvlText w:val="%1."/>
      <w:lvlJc w:val="left"/>
      <w:pPr>
        <w:tabs>
          <w:tab w:val="left" w:pos="312"/>
        </w:tabs>
      </w:pPr>
    </w:lvl>
  </w:abstractNum>
  <w:abstractNum w:abstractNumId="1">
    <w:nsid w:val="A21BA96C"/>
    <w:multiLevelType w:val="singleLevel"/>
    <w:tmpl w:val="A21BA96C"/>
    <w:lvl w:ilvl="0" w:tentative="0">
      <w:start w:val="1"/>
      <w:numFmt w:val="decimal"/>
      <w:lvlText w:val="%1."/>
      <w:lvlJc w:val="left"/>
      <w:pPr>
        <w:tabs>
          <w:tab w:val="left" w:pos="312"/>
        </w:tabs>
      </w:pPr>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4CA140FF"/>
    <w:multiLevelType w:val="singleLevel"/>
    <w:tmpl w:val="4CA140FF"/>
    <w:lvl w:ilvl="0" w:tentative="0">
      <w:start w:val="2"/>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4"/>
  </w:num>
  <w:num w:numId="4">
    <w:abstractNumId w:val="3"/>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D082A6E"/>
    <w:rsid w:val="0E1C2C58"/>
    <w:rsid w:val="0E3C619F"/>
    <w:rsid w:val="0F6273CA"/>
    <w:rsid w:val="0F661726"/>
    <w:rsid w:val="0FC77A2A"/>
    <w:rsid w:val="100F38EC"/>
    <w:rsid w:val="11170296"/>
    <w:rsid w:val="12C66037"/>
    <w:rsid w:val="12CD1ABC"/>
    <w:rsid w:val="13471461"/>
    <w:rsid w:val="13B90F01"/>
    <w:rsid w:val="155E4C4D"/>
    <w:rsid w:val="181066D2"/>
    <w:rsid w:val="1C671E73"/>
    <w:rsid w:val="1D322C47"/>
    <w:rsid w:val="1E987070"/>
    <w:rsid w:val="22290DFD"/>
    <w:rsid w:val="23616034"/>
    <w:rsid w:val="23696C97"/>
    <w:rsid w:val="24480FA2"/>
    <w:rsid w:val="25227A45"/>
    <w:rsid w:val="26AC3A6A"/>
    <w:rsid w:val="26BE1D6F"/>
    <w:rsid w:val="28A04CDB"/>
    <w:rsid w:val="297334B3"/>
    <w:rsid w:val="2B9D7E25"/>
    <w:rsid w:val="2C7C7A3B"/>
    <w:rsid w:val="2F364819"/>
    <w:rsid w:val="2FD63906"/>
    <w:rsid w:val="300F506A"/>
    <w:rsid w:val="36753084"/>
    <w:rsid w:val="37215DAE"/>
    <w:rsid w:val="38CA40DD"/>
    <w:rsid w:val="395F2B56"/>
    <w:rsid w:val="3B482032"/>
    <w:rsid w:val="3BBA0580"/>
    <w:rsid w:val="3BECE841"/>
    <w:rsid w:val="3CDE204C"/>
    <w:rsid w:val="3D363C36"/>
    <w:rsid w:val="3E9C3F6D"/>
    <w:rsid w:val="3EFA7AF5"/>
    <w:rsid w:val="3FF7797D"/>
    <w:rsid w:val="42F16CBA"/>
    <w:rsid w:val="4408126A"/>
    <w:rsid w:val="46690BD8"/>
    <w:rsid w:val="49F70BF1"/>
    <w:rsid w:val="4B4340EE"/>
    <w:rsid w:val="4C1B3AB2"/>
    <w:rsid w:val="4C8C5620"/>
    <w:rsid w:val="4F711F6A"/>
    <w:rsid w:val="503D507A"/>
    <w:rsid w:val="51FA74D0"/>
    <w:rsid w:val="52AA4A52"/>
    <w:rsid w:val="539D3AD1"/>
    <w:rsid w:val="5789732C"/>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83D59"/>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8F5BEF"/>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330</Words>
  <Characters>363</Characters>
  <Lines>58</Lines>
  <Paragraphs>16</Paragraphs>
  <TotalTime>22</TotalTime>
  <ScaleCrop>false</ScaleCrop>
  <LinksUpToDate>false</LinksUpToDate>
  <CharactersWithSpaces>364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2025-05-12T11:37:14Z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186C3E6108E24185920066B43A2DC320_13</vt:lpwstr>
  </property>
  <property fmtid="{D5CDD505-2E9C-101B-9397-08002B2CF9AE}" pid="4" name="KSOTemplateDocerSaveRecord">
    <vt:lpwstr>eyJoZGlkIjoiZGU2OWVkNjVhNTc2NTNjNjZhOGJlZWQ2NTc3Njc5NGQiLCJ1c2VySWQiOiIzODQzMzMyOTcifQ==</vt:lpwstr>
  </property>
</Properties>
</file>