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eastAsia="华文中宋" w:cs="Times New Roman"/>
          <w:b/>
          <w:kern w:val="0"/>
          <w:sz w:val="52"/>
          <w:szCs w:val="52"/>
          <w:highlight w:val="none"/>
        </w:rPr>
      </w:pP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bookmarkStart w:id="3" w:name="_GoBack"/>
      <w:r>
        <w:rPr>
          <w:rFonts w:hint="default" w:ascii="Times New Roman" w:hAnsi="Times New Roman" w:eastAsia="方正小标宋_GBK" w:cs="Times New Roman"/>
          <w:kern w:val="0"/>
          <w:sz w:val="48"/>
          <w:szCs w:val="48"/>
          <w:highlight w:val="none"/>
        </w:rPr>
        <w:t>2024年基本公共卫生服务补助</w:t>
      </w:r>
    </w:p>
    <w:bookmarkEnd w:id="3"/>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pStyle w:val="10"/>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cs="Times New Roman"/>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项目名称：2024年基本公共卫生服务补助</w:t>
      </w:r>
    </w:p>
    <w:p>
      <w:pPr>
        <w:keepNext w:val="0"/>
        <w:keepLines w:val="0"/>
        <w:pageBreakBefore w:val="0"/>
        <w:kinsoku/>
        <w:wordWrap w:val="0"/>
        <w:overflowPunct/>
        <w:topLinePunct/>
        <w:autoSpaceDE/>
        <w:autoSpaceDN/>
        <w:bidi w:val="0"/>
        <w:adjustRightInd/>
        <w:snapToGrid/>
        <w:spacing w:line="560" w:lineRule="exact"/>
        <w:ind w:firstLine="1440" w:firstLineChars="400"/>
        <w:jc w:val="righ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奇台县碧流河镇卫生院（奇台县碧流河镇人口和计划生育生殖健康服务站）</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奇台县卫生健康委员会</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张志会</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黑体" w:cs="Times New Roman"/>
          <w:bCs/>
          <w:sz w:val="32"/>
          <w:szCs w:val="32"/>
          <w:highlight w:val="none"/>
        </w:rPr>
        <w:sectPr>
          <w:pgSz w:w="11906" w:h="16838"/>
          <w:pgMar w:top="2098" w:right="1531" w:bottom="1984" w:left="1531" w:header="851" w:footer="992" w:gutter="0"/>
          <w:cols w:space="425" w:num="1"/>
          <w:docGrid w:type="lines" w:linePitch="312" w:charSpace="0"/>
        </w:sectPr>
      </w:pP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项目主要内容</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主要内容：2024年，</w:t>
      </w:r>
      <w:r>
        <w:rPr>
          <w:rFonts w:hint="eastAsia" w:eastAsia="仿宋_GB2312" w:cs="Times New Roman"/>
          <w:sz w:val="32"/>
          <w:szCs w:val="32"/>
          <w:lang w:val="en-US" w:eastAsia="zh-CN"/>
        </w:rPr>
        <w:t>我院公共卫生服务项目主要有</w:t>
      </w:r>
      <w:r>
        <w:rPr>
          <w:rFonts w:hint="default" w:ascii="Times New Roman" w:hAnsi="Times New Roman" w:eastAsia="仿宋_GB2312" w:cs="Times New Roman"/>
          <w:sz w:val="32"/>
          <w:szCs w:val="32"/>
          <w:lang w:val="en-US" w:eastAsia="zh-CN"/>
        </w:rPr>
        <w:t>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w:t>
      </w:r>
      <w:r>
        <w:rPr>
          <w:rFonts w:hint="eastAsia" w:eastAsia="仿宋_GB2312" w:cs="Times New Roman"/>
          <w:sz w:val="32"/>
          <w:szCs w:val="32"/>
          <w:lang w:val="en-US" w:eastAsia="zh-CN"/>
        </w:rPr>
        <w:t>。</w:t>
      </w:r>
    </w:p>
    <w:p>
      <w:pPr>
        <w:spacing w:line="560" w:lineRule="exact"/>
        <w:ind w:firstLine="640" w:firstLineChars="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实施情况：</w:t>
      </w:r>
      <w:r>
        <w:rPr>
          <w:rFonts w:hint="eastAsia" w:eastAsia="仿宋_GB2312" w:cs="Times New Roman"/>
          <w:sz w:val="32"/>
          <w:szCs w:val="32"/>
          <w:lang w:val="en-US" w:eastAsia="zh-CN"/>
        </w:rPr>
        <w:t>我院居民电子健康档案建档人数初预算服务人数为5115人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年末实际管理人数为4995人，使用率为97.65%；高血压患者年初预算管理人数为679人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年末实际管理人数为737人，管理率108%；2型糖尿病患者年初预算管理人数为227人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年末实际管理人数为238人，管理率105%；老年人中医药健康管理人数年初预算管理人数为1197人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年末实际管理人数为871人，管理率72.76%；7岁以下儿童健康管理人数年初预算管理人数为44人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年末实际管理人数为30人，管理率68.18%；孕产妇年初预算管理人数为4人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年末实际管理人数为3人，管理率75%。</w:t>
      </w:r>
      <w:r>
        <w:rPr>
          <w:rFonts w:hint="eastAsia" w:ascii="Times New Roman" w:hAnsi="Times New Roman" w:eastAsia="仿宋_GB2312" w:cs="Times New Roman"/>
          <w:sz w:val="32"/>
          <w:szCs w:val="32"/>
          <w:lang w:val="en-US" w:eastAsia="zh-CN"/>
        </w:rPr>
        <w:t>资金拨付率达到100%，资金发放准确率100%，有效</w:t>
      </w:r>
      <w:r>
        <w:rPr>
          <w:rFonts w:hint="eastAsia" w:eastAsia="仿宋_GB2312" w:cs="Times New Roman"/>
          <w:sz w:val="32"/>
          <w:szCs w:val="32"/>
          <w:lang w:val="en-US" w:eastAsia="zh-CN"/>
        </w:rPr>
        <w:t>提升</w:t>
      </w:r>
      <w:r>
        <w:rPr>
          <w:rFonts w:hint="eastAsia" w:ascii="Times New Roman" w:hAnsi="Times New Roman" w:eastAsia="仿宋_GB2312" w:cs="Times New Roman"/>
          <w:sz w:val="32"/>
          <w:szCs w:val="32"/>
          <w:lang w:val="en-US" w:eastAsia="zh-CN"/>
        </w:rPr>
        <w:t>基本公共卫生服务能力，促进了我院公共卫生事业发展。</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（1）资金投入情况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w:t>
      </w:r>
      <w:r>
        <w:rPr>
          <w:rFonts w:hint="eastAsia" w:eastAsia="仿宋_GB2312" w:cs="Times New Roman"/>
          <w:sz w:val="32"/>
          <w:szCs w:val="32"/>
          <w:lang w:val="en-US" w:eastAsia="zh-CN"/>
        </w:rPr>
        <w:t>61.85</w:t>
      </w:r>
      <w:r>
        <w:rPr>
          <w:rFonts w:hint="default" w:ascii="Times New Roman" w:hAnsi="Times New Roman" w:eastAsia="仿宋_GB2312" w:cs="Times New Roman"/>
          <w:sz w:val="32"/>
          <w:szCs w:val="32"/>
          <w:lang w:val="en-US" w:eastAsia="zh-CN"/>
        </w:rPr>
        <w:t>万元，</w:t>
      </w:r>
      <w:r>
        <w:rPr>
          <w:rFonts w:hint="eastAsia" w:eastAsia="仿宋_GB2312" w:cs="Times New Roman"/>
          <w:sz w:val="32"/>
          <w:szCs w:val="32"/>
          <w:lang w:val="en-US" w:eastAsia="zh-CN"/>
        </w:rPr>
        <w:t>年终追加资金24.85万元，</w:t>
      </w:r>
      <w:r>
        <w:rPr>
          <w:rFonts w:hint="default" w:ascii="Times New Roman" w:hAnsi="Times New Roman" w:eastAsia="仿宋_GB2312" w:cs="Times New Roman"/>
          <w:sz w:val="32"/>
          <w:szCs w:val="32"/>
          <w:lang w:val="en-US" w:eastAsia="zh-CN"/>
        </w:rPr>
        <w:t>全年预算数</w:t>
      </w:r>
      <w:r>
        <w:rPr>
          <w:rFonts w:hint="eastAsia" w:eastAsia="仿宋_GB2312" w:cs="Times New Roman"/>
          <w:sz w:val="32"/>
          <w:szCs w:val="32"/>
          <w:lang w:val="en-US" w:eastAsia="zh-CN"/>
        </w:rPr>
        <w:t>86.7</w:t>
      </w:r>
      <w:r>
        <w:rPr>
          <w:rFonts w:hint="default" w:ascii="Times New Roman" w:hAnsi="Times New Roman" w:eastAsia="仿宋_GB2312" w:cs="Times New Roman"/>
          <w:sz w:val="32"/>
          <w:szCs w:val="32"/>
          <w:lang w:val="en-US" w:eastAsia="zh-CN"/>
        </w:rPr>
        <w:t>万元，该项目资金已全部落实到位，资金来源为财政拨款。</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（2）资金使用情况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w:t>
      </w:r>
      <w:r>
        <w:rPr>
          <w:rFonts w:hint="eastAsia" w:eastAsia="仿宋_GB2312" w:cs="Times New Roman"/>
          <w:sz w:val="32"/>
          <w:szCs w:val="32"/>
          <w:lang w:val="en-US" w:eastAsia="zh-CN"/>
        </w:rPr>
        <w:t>61.85</w:t>
      </w:r>
      <w:r>
        <w:rPr>
          <w:rFonts w:hint="default" w:ascii="Times New Roman" w:hAnsi="Times New Roman" w:eastAsia="仿宋_GB2312" w:cs="Times New Roman"/>
          <w:sz w:val="32"/>
          <w:szCs w:val="32"/>
          <w:lang w:val="en-US" w:eastAsia="zh-CN"/>
        </w:rPr>
        <w:t>万元，全年预算数</w:t>
      </w:r>
      <w:r>
        <w:rPr>
          <w:rFonts w:hint="eastAsia" w:eastAsia="仿宋_GB2312" w:cs="Times New Roman"/>
          <w:sz w:val="32"/>
          <w:szCs w:val="32"/>
          <w:lang w:val="en-US" w:eastAsia="zh-CN"/>
        </w:rPr>
        <w:t>86.7</w:t>
      </w:r>
      <w:r>
        <w:rPr>
          <w:rFonts w:hint="default" w:ascii="Times New Roman" w:hAnsi="Times New Roman" w:eastAsia="仿宋_GB2312" w:cs="Times New Roman"/>
          <w:sz w:val="32"/>
          <w:szCs w:val="32"/>
          <w:lang w:val="en-US" w:eastAsia="zh-CN"/>
        </w:rPr>
        <w:t>万元，全年执行数</w:t>
      </w:r>
      <w:r>
        <w:rPr>
          <w:rFonts w:hint="eastAsia" w:eastAsia="仿宋_GB2312" w:cs="Times New Roman"/>
          <w:sz w:val="32"/>
          <w:szCs w:val="32"/>
          <w:lang w:val="en-US" w:eastAsia="zh-CN"/>
        </w:rPr>
        <w:t>86.7</w:t>
      </w:r>
      <w:r>
        <w:rPr>
          <w:rFonts w:hint="default" w:ascii="Times New Roman" w:hAnsi="Times New Roman" w:eastAsia="仿宋_GB2312" w:cs="Times New Roman"/>
          <w:sz w:val="32"/>
          <w:szCs w:val="32"/>
          <w:lang w:val="en-US" w:eastAsia="zh-CN"/>
        </w:rPr>
        <w:t>万元，预算执行率为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%，主要用于2024年</w:t>
      </w:r>
      <w:r>
        <w:rPr>
          <w:rFonts w:hint="eastAsia" w:eastAsia="仿宋_GB2312" w:cs="Times New Roman"/>
          <w:sz w:val="32"/>
          <w:szCs w:val="32"/>
          <w:lang w:val="en-US" w:eastAsia="zh-CN"/>
        </w:rPr>
        <w:t>公共卫生服务项目</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免费向城乡居民提供基本公共卫生服务，居民电子健康建档人数5115人，7岁以下儿童健康管理人数44人，孕产妇系统管理人数4人，以提高居民健康水平为落脚点，全面推进基本公共卫生服务项目惠民政策的规范实施，城乡居民公共卫生差距不断缩小，基本公共卫生服务水平不断提高。</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2.阶段性目标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免费向城乡居民提供基本公共卫生服务，重性精神管理人数21人，孕产妇系统管理人数3人，居民电子健康建档人数4995人，7岁以下儿童健康管理人数30人，以提高居民健康水平为落脚点，全面推进基本公共卫生服务项目惠民政策的规范实施，城乡居民公共卫生差距不断缩小，基本公共卫生服务水平不断提高。</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w:t>
      </w: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Fonts w:hint="default" w:ascii="Times New Roman" w:hAnsi="Times New Roman" w:eastAsia="仿宋_GB2312" w:cs="Times New Roman"/>
          <w:sz w:val="32"/>
          <w:szCs w:val="32"/>
          <w:highlight w:val="none"/>
          <w:lang w:val="en-US" w:eastAsia="zh-CN"/>
        </w:rPr>
        <w:t>预算绩效评价报告在编制过程中，严格遵循相关法规与标准，确保评价内容的全面性与准确性。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对各项绩效指标的完成情况进行了逐一分析和评价，指出了项目在实施过程中存在的问题和不足，并提出了相应的改进建议；最后对整个项目的绩效状况进行了综合总结，给出了明确的评价结论和后续工作的建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进度、资金使用合规性及各项绩效目标完成情况开展全流程、穿透式系统性分析，从项目投入、实施过程、产出成果、效益影响等维度构建评估框架，秉持全面性、客观性、科学性原则，对项目在既定周期内的实施效能进行综合研判。评估范围覆盖社会效益、经济效益、生态效益、可持续影响等多维度核心指标，通过数据比对、现场核验、满意度调查等方法形成量化与质性相结合的评估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为贯彻落实 “过紧日子” 财政管理要求，强化预算资金全生命周期绩效管理，现针对项目预算资金投入产出效益开展系统性分析工作。通过构建 “投入 - 过程 - 产出 - 效益” 四维分析框架，</w:t>
      </w:r>
      <w:r>
        <w:rPr>
          <w:rFonts w:hint="eastAsia" w:eastAsia="仿宋_GB2312" w:cs="Times New Roman"/>
          <w:sz w:val="32"/>
          <w:szCs w:val="32"/>
          <w:highlight w:val="none"/>
          <w:lang w:val="en-US" w:eastAsia="zh-CN"/>
        </w:rPr>
        <w:t>分析</w:t>
      </w:r>
      <w:r>
        <w:rPr>
          <w:rFonts w:hint="default" w:ascii="Times New Roman" w:hAnsi="Times New Roman" w:eastAsia="仿宋_GB2312" w:cs="Times New Roman"/>
          <w:sz w:val="32"/>
          <w:szCs w:val="32"/>
          <w:highlight w:val="none"/>
        </w:rPr>
        <w:t>预算资金配置与项目实施的匹配度。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w:t>
      </w:r>
      <w:r>
        <w:rPr>
          <w:rFonts w:hint="eastAsia"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在预算绩效管理中的职责与任务，借助绩效评价结果形成 “各司其职、齐抓共管” 的工作格局，确保项目按年度计划、高质量推进，切实提升财政资金使用的经济性、效率性和有效性。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为项目主管部门、财政部门及决策层提供详实准确的绩效评价信息，辅助项目审批、预算安排、政策调整等关键决策，促进资源合理分配与整合，推动管理体系完善升级，提升公共资源配置效能。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绩效评价的对象</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 w:hAnsi="仿宋" w:eastAsia="仿宋" w:cs="仿宋"/>
          <w:sz w:val="32"/>
          <w:szCs w:val="32"/>
        </w:rPr>
        <w:t>本项目预算绩效评价报告的评价对象是</w:t>
      </w:r>
      <w:r>
        <w:rPr>
          <w:rFonts w:hint="eastAsia" w:ascii="仿宋" w:hAnsi="仿宋" w:eastAsia="仿宋" w:cs="仿宋"/>
          <w:kern w:val="0"/>
          <w:sz w:val="32"/>
          <w:szCs w:val="32"/>
          <w:highlight w:val="none"/>
        </w:rPr>
        <w:t>2024年基本公共卫生服务补助</w:t>
      </w:r>
      <w:r>
        <w:rPr>
          <w:rFonts w:hint="default" w:ascii="Times New Roman" w:hAnsi="Times New Roman" w:eastAsia="仿宋_GB2312" w:cs="Times New Roman"/>
          <w:sz w:val="32"/>
          <w:szCs w:val="32"/>
        </w:rPr>
        <w:t>预算的投资及其预算执行情况。该项目由</w:t>
      </w:r>
      <w:r>
        <w:rPr>
          <w:rFonts w:hint="default" w:ascii="Times New Roman" w:hAnsi="Times New Roman" w:eastAsia="仿宋_GB2312" w:cs="Times New Roman"/>
          <w:sz w:val="32"/>
          <w:szCs w:val="32"/>
          <w:lang w:val="en-US" w:eastAsia="zh-CN"/>
        </w:rPr>
        <w:t>奇台县</w:t>
      </w:r>
      <w:r>
        <w:rPr>
          <w:rFonts w:hint="eastAsia" w:eastAsia="仿宋_GB2312" w:cs="Times New Roman"/>
          <w:sz w:val="32"/>
          <w:szCs w:val="32"/>
          <w:lang w:val="en-US" w:eastAsia="zh-CN"/>
        </w:rPr>
        <w:t>碧流河镇卫生院</w:t>
      </w:r>
      <w:r>
        <w:rPr>
          <w:rFonts w:hint="default" w:ascii="Times New Roman" w:hAnsi="Times New Roman" w:eastAsia="仿宋_GB2312" w:cs="Times New Roman"/>
          <w:sz w:val="32"/>
          <w:szCs w:val="32"/>
        </w:rPr>
        <w:t>负责实施，旨在</w:t>
      </w:r>
      <w:r>
        <w:rPr>
          <w:rFonts w:hint="default" w:ascii="Times New Roman" w:hAnsi="Times New Roman" w:eastAsia="仿宋_GB2312" w:cs="Times New Roman"/>
          <w:sz w:val="32"/>
          <w:szCs w:val="32"/>
          <w:lang w:val="en-US" w:eastAsia="zh-CN"/>
        </w:rPr>
        <w:t>2024年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项目预算涵盖从2024年1月1日至2024年12月31日的全部资金</w:t>
      </w:r>
      <w:r>
        <w:rPr>
          <w:rFonts w:hint="default" w:ascii="Times New Roman" w:hAnsi="Times New Roman" w:eastAsia="仿宋_GB2312" w:cs="Times New Roman"/>
          <w:sz w:val="32"/>
          <w:szCs w:val="32"/>
        </w:rPr>
        <w:t>投入与支出，涉及资金总额</w:t>
      </w:r>
      <w:r>
        <w:rPr>
          <w:rFonts w:hint="default" w:ascii="Times New Roman" w:hAnsi="Times New Roman" w:eastAsia="仿宋_GB2312" w:cs="Times New Roman"/>
          <w:sz w:val="32"/>
          <w:szCs w:val="32"/>
          <w:lang w:val="en-US" w:eastAsia="zh-CN"/>
        </w:rPr>
        <w:t>为</w:t>
      </w:r>
      <w:r>
        <w:rPr>
          <w:rFonts w:hint="eastAsia" w:eastAsia="仿宋_GB2312" w:cs="Times New Roman"/>
          <w:sz w:val="32"/>
          <w:szCs w:val="32"/>
          <w:lang w:val="en-US" w:eastAsia="zh-CN"/>
        </w:rPr>
        <w:t>86.7</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项目实施进度：评估项目是否按照既定计划顺利推进，各项任务是否按时完成，以及项目产出的数量、质量和时效性是否符合预期。</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(3)</w:t>
      </w:r>
      <w:r>
        <w:rPr>
          <w:rFonts w:hint="default" w:ascii="Times New Roman" w:hAnsi="Times New Roman" w:eastAsia="仿宋_GB2312" w:cs="Times New Roman"/>
          <w:b w:val="0"/>
          <w:bCs w:val="0"/>
          <w:kern w:val="28"/>
          <w:sz w:val="32"/>
          <w:szCs w:val="32"/>
          <w:highlight w:val="none"/>
          <w:lang w:val="en-US" w:eastAsia="zh-CN" w:bidi="ar-SA"/>
        </w:rPr>
        <w:t>社会影响：考察项目对社会等方面的综合影响。</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（二）绩效评价原则、评价指标体系（详情见表1）、评价方法、评价标准。</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绩效评价原则</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本次项目绩效评价遵循以下基本原则：</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（1）科学公正。绩效评价应当运用科学合理的方法，按照规范的程序，对项目绩效进行客观、公正的反映。</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（3）激励约束。绩效评价结果应与预算安排、政策调整、改进管理实质性挂钩，体现奖优罚劣和激励相容导向，有效要安排、低效要压减、无效要问责。</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（4）公开透明。绩效评价结果应依法依规公开，并自觉接受社会监督。</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评价指标体系</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（1）确定评价指标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（2）确定权重</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确定各个指标相对于项目总体绩效的权重分值。在绩效评价指标体系中，</w:t>
      </w:r>
      <w:r>
        <w:rPr>
          <w:rFonts w:hint="default" w:ascii="Times New Roman" w:hAnsi="Times New Roman" w:eastAsia="仿宋_GB2312" w:cs="Times New Roman"/>
          <w:sz w:val="32"/>
          <w:szCs w:val="32"/>
          <w:lang w:val="en-US" w:eastAsia="zh-CN"/>
        </w:rPr>
        <w:t>项目决策权重20分，项目过程</w:t>
      </w:r>
      <w:r>
        <w:rPr>
          <w:rFonts w:hint="default" w:ascii="Times New Roman" w:hAnsi="Times New Roman" w:eastAsia="仿宋_GB2312" w:cs="Times New Roman"/>
          <w:sz w:val="32"/>
          <w:szCs w:val="32"/>
        </w:rPr>
        <w:t>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r>
        <w:rPr>
          <w:rFonts w:hint="default" w:ascii="Times New Roman" w:hAnsi="Times New Roman" w:eastAsia="仿宋_GB2312" w:cs="Times New Roman"/>
          <w:sz w:val="32"/>
          <w:szCs w:val="32"/>
          <w:lang w:val="en-US" w:eastAsia="zh-CN"/>
        </w:rPr>
        <w:t>项目产出权重为40分，</w:t>
      </w:r>
      <w:r>
        <w:rPr>
          <w:rFonts w:hint="default" w:ascii="Times New Roman" w:hAnsi="Times New Roman" w:eastAsia="仿宋_GB2312" w:cs="Times New Roman"/>
          <w:sz w:val="32"/>
          <w:szCs w:val="32"/>
        </w:rPr>
        <w:t>项目效益权重为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绩效评价总分值100分，根据综合评分结果，90（含）-100分为优、80（含）-90分为良、60（含）-80分为中、60分以下为差。</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）其他评价方法。</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评价标准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sz w:val="32"/>
          <w:szCs w:val="32"/>
          <w:lang w:val="en-US" w:eastAsia="zh-CN"/>
        </w:rPr>
        <w:t>计划标准</w:t>
      </w:r>
      <w:r>
        <w:rPr>
          <w:rFonts w:hint="default" w:ascii="Times New Roman" w:hAnsi="Times New Roman" w:eastAsia="仿宋_GB2312" w:cs="Times New Roman"/>
          <w:sz w:val="32"/>
          <w:szCs w:val="32"/>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（三）绩效评价工作过程</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1.前期准备阶段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val="en-US" w:eastAsia="zh-CN"/>
        </w:rPr>
        <w:t>院</w:t>
      </w:r>
      <w:r>
        <w:rPr>
          <w:rFonts w:hint="eastAsia" w:eastAsia="仿宋_GB2312" w:cs="Times New Roman"/>
          <w:sz w:val="32"/>
          <w:szCs w:val="32"/>
          <w:highlight w:val="none"/>
          <w:lang w:eastAsia="zh-CN"/>
        </w:rPr>
        <w:t>长</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各科室</w:t>
      </w:r>
      <w:r>
        <w:rPr>
          <w:rFonts w:hint="eastAsia" w:eastAsia="仿宋_GB2312" w:cs="Times New Roman"/>
          <w:sz w:val="32"/>
          <w:szCs w:val="32"/>
          <w:highlight w:val="none"/>
          <w:lang w:eastAsia="zh-CN"/>
        </w:rPr>
        <w:t>主任</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2.</w:t>
      </w:r>
      <w:r>
        <w:rPr>
          <w:rFonts w:hint="default" w:ascii="Times New Roman" w:hAnsi="Times New Roman" w:eastAsia="仿宋_GB2312" w:cs="Times New Roman"/>
          <w:b/>
          <w:bCs/>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3.</w:t>
      </w:r>
      <w:r>
        <w:rPr>
          <w:rFonts w:hint="default" w:ascii="Times New Roman" w:hAnsi="Times New Roman" w:eastAsia="仿宋_GB2312" w:cs="Times New Roman"/>
          <w:b/>
          <w:bCs/>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w:t>
      </w:r>
      <w:r>
        <w:rPr>
          <w:rFonts w:hint="eastAsia" w:eastAsia="仿宋_GB2312" w:cs="Times New Roman"/>
          <w:sz w:val="32"/>
          <w:szCs w:val="32"/>
          <w:highlight w:val="none"/>
          <w:lang w:eastAsia="zh-CN"/>
        </w:rPr>
        <w:t>各类支出票据</w:t>
      </w:r>
      <w:r>
        <w:rPr>
          <w:rFonts w:hint="default" w:ascii="Times New Roman" w:hAnsi="Times New Roman" w:eastAsia="仿宋_GB2312" w:cs="Times New Roman"/>
          <w:sz w:val="32"/>
          <w:szCs w:val="32"/>
          <w:highlight w:val="none"/>
          <w:lang w:eastAsia="zh-CN"/>
        </w:rPr>
        <w:t>等。在数据收集过程中，注重数据的质量与完整性，为后续的数据分析提供了有力支持。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4.</w:t>
      </w:r>
      <w:r>
        <w:rPr>
          <w:rFonts w:hint="default" w:ascii="Times New Roman" w:hAnsi="Times New Roman" w:eastAsia="仿宋_GB2312" w:cs="Times New Roman"/>
          <w:b/>
          <w:bCs/>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5.</w:t>
      </w:r>
      <w:r>
        <w:rPr>
          <w:rFonts w:hint="default" w:ascii="Times New Roman" w:hAnsi="Times New Roman" w:eastAsia="仿宋_GB2312" w:cs="Times New Roman"/>
          <w:b/>
          <w:bCs/>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6.</w:t>
      </w:r>
      <w:r>
        <w:rPr>
          <w:rFonts w:hint="default" w:ascii="Times New Roman" w:hAnsi="Times New Roman" w:eastAsia="仿宋_GB2312" w:cs="Times New Roman"/>
          <w:b/>
          <w:bCs/>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综合评价情况及评价结论（附相关评分表）</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评价情况</w:t>
      </w:r>
    </w:p>
    <w:p>
      <w:pP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2024年中央基本公共卫生服务补助（昌州财社【2023】104号）</w:t>
      </w:r>
      <w:r>
        <w:rPr>
          <w:rFonts w:hint="eastAsia" w:eastAsia="仿宋_GB2312" w:cs="Times New Roman"/>
          <w:sz w:val="32"/>
          <w:szCs w:val="32"/>
          <w:highlight w:val="none"/>
          <w:lang w:eastAsia="zh-CN"/>
        </w:rPr>
        <w:t>预算的投资在</w:t>
      </w:r>
      <w:r>
        <w:rPr>
          <w:rFonts w:hint="eastAsia" w:eastAsia="仿宋_GB2312" w:cs="Times New Roman"/>
          <w:sz w:val="32"/>
          <w:szCs w:val="32"/>
          <w:highlight w:val="none"/>
          <w:u w:val="none"/>
          <w:lang w:val="en-US" w:eastAsia="zh-CN"/>
        </w:rPr>
        <w:t>7岁以下儿童健康管理人数、孕产妇系统管理人数、2型糖尿病患者管理人数、老年人中医药健康管理人数、居民电子健康档案使用率、孕产妇系统管理率、2型糖尿病患者管理率、老年人中医药健康管理率</w:t>
      </w:r>
      <w:r>
        <w:rPr>
          <w:rFonts w:hint="eastAsia" w:eastAsia="仿宋_GB2312" w:cs="Times New Roman"/>
          <w:sz w:val="32"/>
          <w:szCs w:val="32"/>
          <w:highlight w:val="none"/>
          <w:lang w:eastAsia="zh-CN"/>
        </w:rPr>
        <w:t>指标等方面表现出色，达到了预期的标准与要求。</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在项目管理方面，</w:t>
      </w:r>
      <w:r>
        <w:rPr>
          <w:rFonts w:hint="default" w:ascii="Times New Roman" w:hAnsi="Times New Roman" w:eastAsia="仿宋_GB2312" w:cs="Times New Roman"/>
          <w:sz w:val="32"/>
          <w:szCs w:val="32"/>
          <w:lang w:val="en-US" w:eastAsia="zh-CN"/>
        </w:rPr>
        <w:t>奇台县</w:t>
      </w:r>
      <w:r>
        <w:rPr>
          <w:rFonts w:hint="eastAsia" w:eastAsia="仿宋_GB2312" w:cs="Times New Roman"/>
          <w:sz w:val="32"/>
          <w:szCs w:val="32"/>
          <w:lang w:val="en-US" w:eastAsia="zh-CN"/>
        </w:rPr>
        <w:t>碧流河镇卫生院</w:t>
      </w:r>
      <w:r>
        <w:rPr>
          <w:rFonts w:hint="default" w:ascii="Times New Roman" w:hAnsi="Times New Roman" w:eastAsia="仿宋_GB2312" w:cs="Times New Roman"/>
          <w:sz w:val="32"/>
          <w:szCs w:val="32"/>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lang w:val="en-US" w:eastAsia="zh-CN"/>
        </w:rPr>
        <w:t>从项目效益的角度来看，本项目不仅实现了预期</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满意度指标、健康管理</w:t>
      </w:r>
      <w:r>
        <w:rPr>
          <w:rFonts w:hint="default" w:ascii="Times New Roman" w:hAnsi="Times New Roman" w:eastAsia="仿宋_GB2312" w:cs="Times New Roman"/>
          <w:sz w:val="32"/>
          <w:szCs w:val="32"/>
          <w:highlight w:val="none"/>
        </w:rPr>
        <w:t>方面产生了积极的影响。具体而言</w:t>
      </w:r>
      <w:r>
        <w:rPr>
          <w:rFonts w:hint="eastAsia" w:eastAsia="仿宋_GB2312" w:cs="Times New Roman"/>
          <w:sz w:val="32"/>
          <w:szCs w:val="32"/>
          <w:highlight w:val="none"/>
          <w:lang w:val="en-US" w:eastAsia="zh-CN"/>
        </w:rPr>
        <w:t>卫生院</w:t>
      </w:r>
      <w:r>
        <w:rPr>
          <w:rFonts w:hint="eastAsia" w:eastAsia="仿宋_GB2312" w:cs="Times New Roman"/>
          <w:sz w:val="32"/>
          <w:szCs w:val="32"/>
          <w:highlight w:val="none"/>
          <w:lang w:eastAsia="zh-CN"/>
        </w:rPr>
        <w:t>工作正常开展率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公用经费控制数</w:t>
      </w:r>
      <w:r>
        <w:rPr>
          <w:rFonts w:hint="default" w:ascii="Times New Roman" w:hAnsi="Times New Roman" w:eastAsia="仿宋_GB2312" w:cs="Times New Roman"/>
          <w:sz w:val="32"/>
          <w:szCs w:val="32"/>
          <w:highlight w:val="none"/>
        </w:rPr>
        <w:t>等方面的提升，为项目的利益相关</w:t>
      </w:r>
      <w:r>
        <w:rPr>
          <w:rFonts w:hint="eastAsia" w:eastAsia="仿宋_GB2312" w:cs="Times New Roman"/>
          <w:sz w:val="32"/>
          <w:szCs w:val="32"/>
          <w:highlight w:val="none"/>
          <w:lang w:val="en-US" w:eastAsia="zh-CN"/>
        </w:rPr>
        <w:t>患者</w:t>
      </w:r>
      <w:r>
        <w:rPr>
          <w:rFonts w:hint="default" w:ascii="Times New Roman" w:hAnsi="Times New Roman" w:eastAsia="仿宋_GB2312" w:cs="Times New Roman"/>
          <w:sz w:val="32"/>
          <w:szCs w:val="32"/>
          <w:highlight w:val="none"/>
        </w:rPr>
        <w:t>带来了实实在在的利益。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综上所述，2024年基本公共卫生服务补助资金预算的</w:t>
      </w:r>
      <w:r>
        <w:rPr>
          <w:rFonts w:hint="default"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rPr>
        <w:t>在绩效评价中表现出色，达到了项目的预期目标，并在多个方面取得了显著的成效。</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评价结论</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eastAsia="仿宋_GB2312" w:cs="Times New Roman"/>
          <w:sz w:val="32"/>
          <w:szCs w:val="32"/>
          <w:lang w:val="en-US" w:eastAsia="zh-CN"/>
        </w:rPr>
        <w:t>98.76</w:t>
      </w:r>
      <w:r>
        <w:rPr>
          <w:rFonts w:hint="default" w:ascii="Times New Roman" w:hAnsi="Times New Roman" w:eastAsia="仿宋_GB2312" w:cs="Times New Roman"/>
          <w:sz w:val="32"/>
          <w:szCs w:val="32"/>
        </w:rPr>
        <w:t>分，属于</w:t>
      </w:r>
      <w:r>
        <w:rPr>
          <w:rFonts w:hint="eastAsia" w:eastAsia="仿宋_GB2312" w:cs="Times New Roman"/>
          <w:sz w:val="32"/>
          <w:szCs w:val="32"/>
          <w:lang w:val="en-US" w:eastAsia="zh-CN"/>
        </w:rPr>
        <w:t>优</w:t>
      </w:r>
      <w:r>
        <w:rPr>
          <w:rFonts w:hint="default" w:ascii="Times New Roman" w:hAnsi="Times New Roman" w:eastAsia="仿宋_GB2312" w:cs="Times New Roman"/>
          <w:sz w:val="32"/>
          <w:szCs w:val="32"/>
        </w:rPr>
        <w:t>。其中，项目决策类指标权重为</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rPr>
        <w:t>分，得分</w:t>
      </w:r>
      <w:r>
        <w:rPr>
          <w:rFonts w:hint="default" w:ascii="Times New Roman" w:hAnsi="Times New Roman" w:eastAsia="仿宋_GB2312" w:cs="Times New Roman"/>
          <w:sz w:val="32"/>
          <w:szCs w:val="32"/>
          <w:highlight w:val="none"/>
        </w:rPr>
        <w:t>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%。项目过程类指标权重为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%。项目产出类指标权重为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%。项目效益类指标权重为</w:t>
      </w:r>
      <w:r>
        <w:rPr>
          <w:rFonts w:hint="default"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default"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具体打分情况详见：附件1综合评分表</w:t>
      </w:r>
      <w:r>
        <w:rPr>
          <w:rFonts w:hint="default" w:ascii="Times New Roman" w:hAnsi="Times New Roman" w:eastAsia="仿宋_GB2312" w:cs="Times New Roman"/>
          <w:sz w:val="32"/>
          <w:szCs w:val="32"/>
          <w:lang w:eastAsia="zh-CN"/>
        </w:rPr>
        <w:t>。</w:t>
      </w:r>
    </w:p>
    <w:p>
      <w:pPr>
        <w:pStyle w:val="10"/>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9056" w:type="dxa"/>
        <w:jc w:val="center"/>
        <w:tblInd w:w="0" w:type="dxa"/>
        <w:tblLayout w:type="fixed"/>
        <w:tblCellMar>
          <w:top w:w="0" w:type="dxa"/>
          <w:left w:w="108" w:type="dxa"/>
          <w:bottom w:w="0" w:type="dxa"/>
          <w:right w:w="108" w:type="dxa"/>
        </w:tblCellMar>
      </w:tblPr>
      <w:tblGrid>
        <w:gridCol w:w="2745"/>
        <w:gridCol w:w="2199"/>
        <w:gridCol w:w="1784"/>
        <w:gridCol w:w="2328"/>
      </w:tblGrid>
      <w:tr>
        <w:tblPrEx>
          <w:tblLayout w:type="fixed"/>
          <w:tblCellMar>
            <w:top w:w="0" w:type="dxa"/>
            <w:left w:w="108" w:type="dxa"/>
            <w:bottom w:w="0" w:type="dxa"/>
            <w:right w:w="108" w:type="dxa"/>
          </w:tblCellMar>
        </w:tblPrEx>
        <w:trPr>
          <w:trHeight w:val="90" w:hRule="atLeast"/>
          <w:tblHeader/>
          <w:jc w:val="center"/>
        </w:trPr>
        <w:tc>
          <w:tcPr>
            <w:tcW w:w="2745"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99"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784"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32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489"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39.76</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b w:val="0"/>
                <w:bCs w:val="0"/>
                <w:color w:val="auto"/>
                <w:highlight w:val="none"/>
                <w:lang w:val="en-US" w:eastAsia="zh-CN"/>
              </w:rPr>
              <w:t>98.76</w:t>
            </w:r>
            <w:r>
              <w:rPr>
                <w:rFonts w:hint="default" w:ascii="Times New Roman" w:hAnsi="Times New Roman" w:eastAsia="仿宋_GB2312" w:cs="Times New Roman"/>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98.76</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rPr>
            </w:pPr>
            <w:r>
              <w:rPr>
                <w:rFonts w:hint="eastAsia" w:eastAsia="仿宋_GB2312" w:cs="Times New Roman"/>
                <w:b/>
                <w:bCs/>
                <w:color w:val="000000"/>
                <w:sz w:val="21"/>
                <w:szCs w:val="21"/>
                <w:highlight w:val="none"/>
                <w:lang w:val="en-US" w:eastAsia="zh-CN"/>
              </w:rPr>
              <w:t>98.76%</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项目决策类指标包括项目立项、绩效目标和资金投入三方面的内容，由6个三级指标构成，权重分值为</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分，实际得分</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分，得分率为100%。</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卫生院实际情况制定</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工作计划和经费预算，经过与部门项目分管领导沟通、筛选确定经费预算计划，确定最终预算方案。项目的审批文件、材料符合相关要求，项目事前经过必要的</w:t>
      </w:r>
      <w:r>
        <w:rPr>
          <w:rFonts w:hint="default" w:ascii="Times New Roman" w:hAnsi="Times New Roman" w:eastAsia="仿宋_GB2312" w:cs="Times New Roman"/>
          <w:sz w:val="32"/>
          <w:szCs w:val="32"/>
          <w:highlight w:val="none"/>
          <w:lang w:val="en-US" w:eastAsia="zh-CN"/>
        </w:rPr>
        <w:t>集体决策</w:t>
      </w:r>
      <w:r>
        <w:rPr>
          <w:rFonts w:hint="default" w:ascii="Times New Roman" w:hAnsi="Times New Roman" w:eastAsia="仿宋_GB2312" w:cs="Times New Roman"/>
          <w:sz w:val="32"/>
          <w:szCs w:val="32"/>
          <w:lang w:val="en-US" w:eastAsia="zh-CN"/>
        </w:rPr>
        <w:t>，保障了程序的规范性。</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在预算编制过程中，</w:t>
      </w:r>
      <w:r>
        <w:rPr>
          <w:rFonts w:hint="default" w:ascii="Times New Roman" w:hAnsi="Times New Roman" w:eastAsia="仿宋_GB2312" w:cs="Times New Roman"/>
          <w:sz w:val="32"/>
          <w:szCs w:val="32"/>
          <w:lang w:val="en-US" w:eastAsia="zh-CN"/>
        </w:rPr>
        <w:t>还</w:t>
      </w:r>
      <w:r>
        <w:rPr>
          <w:rFonts w:hint="default" w:ascii="Times New Roman" w:hAnsi="Times New Roman" w:eastAsia="仿宋_GB2312" w:cs="Times New Roman"/>
          <w:sz w:val="32"/>
          <w:szCs w:val="32"/>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default" w:ascii="楷体" w:hAnsi="楷体" w:eastAsia="楷体" w:cs="楷体"/>
          <w:b/>
          <w:bCs/>
          <w:sz w:val="32"/>
          <w:szCs w:val="32"/>
        </w:rPr>
        <w:t>项目过程情况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w:t>
      </w:r>
      <w:r>
        <w:rPr>
          <w:rFonts w:hint="default" w:ascii="Times New Roman" w:hAnsi="Times New Roman" w:eastAsia="仿宋_GB2312" w:cs="Times New Roman"/>
          <w:sz w:val="32"/>
          <w:szCs w:val="32"/>
          <w:highlight w:val="none"/>
          <w:lang w:val="en-US" w:eastAsia="zh-CN"/>
        </w:rPr>
        <w:t>方面的内容，由5个三级指标构成，权重分值为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eastAsia="仿宋_GB2312" w:cs="Times New Roman"/>
          <w:sz w:val="32"/>
          <w:szCs w:val="32"/>
          <w:lang w:val="en-US" w:eastAsia="zh-CN"/>
        </w:rPr>
        <w:t>86.7</w:t>
      </w:r>
      <w:r>
        <w:rPr>
          <w:rFonts w:hint="default" w:ascii="Times New Roman" w:hAnsi="Times New Roman" w:eastAsia="仿宋_GB2312" w:cs="Times New Roman"/>
          <w:sz w:val="32"/>
          <w:szCs w:val="32"/>
          <w:lang w:val="en-US" w:eastAsia="zh-CN"/>
        </w:rPr>
        <w:t>万元，财政资金及时足额到位，到位率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eastAsia="仿宋_GB2312" w:cs="Times New Roman"/>
          <w:sz w:val="32"/>
          <w:szCs w:val="32"/>
          <w:lang w:val="en-US" w:eastAsia="zh-CN"/>
        </w:rPr>
        <w:t>86.7万元</w:t>
      </w:r>
      <w:r>
        <w:rPr>
          <w:rFonts w:hint="default" w:ascii="Times New Roman" w:hAnsi="Times New Roman" w:eastAsia="仿宋_GB2312" w:cs="Times New Roman"/>
          <w:sz w:val="32"/>
          <w:szCs w:val="32"/>
          <w:lang w:val="en-US" w:eastAsia="zh-CN"/>
        </w:rPr>
        <w:t>，预算执行率为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依据《国家基本公共卫生服务规范（第三版）》</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根据</w:t>
      </w:r>
      <w:r>
        <w:rPr>
          <w:rFonts w:hint="eastAsia" w:eastAsia="仿宋_GB2312" w:cs="Times New Roman"/>
          <w:sz w:val="32"/>
          <w:szCs w:val="32"/>
          <w:highlight w:val="none"/>
          <w:lang w:eastAsia="zh-CN"/>
        </w:rPr>
        <w:t>《国家基本公共卫生服务规范（第三版）》</w:t>
      </w:r>
      <w:r>
        <w:rPr>
          <w:rFonts w:hint="default" w:ascii="Times New Roman" w:hAnsi="Times New Roman" w:eastAsia="仿宋_GB2312" w:cs="Times New Roman"/>
          <w:sz w:val="32"/>
          <w:szCs w:val="32"/>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在制度设计上，我们注重了制度的科学性与可操作性，确保制度能够切实指导项目的执行与管理。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项目产出</w:t>
      </w:r>
      <w:r>
        <w:rPr>
          <w:rFonts w:hint="default" w:ascii="Times New Roman" w:hAnsi="Times New Roman" w:eastAsia="楷体" w:cs="Times New Roman"/>
          <w:b/>
          <w:bCs/>
          <w:sz w:val="32"/>
          <w:szCs w:val="32"/>
          <w:lang w:val="en-US" w:eastAsia="zh-CN"/>
        </w:rPr>
        <w:t>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分，实际</w:t>
      </w:r>
      <w:r>
        <w:rPr>
          <w:rFonts w:hint="default" w:ascii="Times New Roman" w:hAnsi="Times New Roman" w:eastAsia="仿宋_GB2312" w:cs="Times New Roman"/>
          <w:sz w:val="32"/>
          <w:szCs w:val="32"/>
          <w:highlight w:val="none"/>
          <w:lang w:val="en-US" w:eastAsia="zh-CN"/>
        </w:rPr>
        <w:t>得分</w:t>
      </w:r>
      <w:r>
        <w:rPr>
          <w:rFonts w:hint="eastAsia" w:eastAsia="仿宋_GB2312" w:cs="Times New Roman"/>
          <w:sz w:val="32"/>
          <w:szCs w:val="32"/>
          <w:highlight w:val="none"/>
          <w:lang w:val="en-US" w:eastAsia="zh-CN"/>
        </w:rPr>
        <w:t>38.76</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：高血压患者管理人数指标值</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val="en-US" w:eastAsia="zh-CN"/>
        </w:rPr>
        <w:t>679人</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737人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108</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；偏差原因分析及改进措施：</w:t>
      </w:r>
      <w:r>
        <w:rPr>
          <w:rFonts w:hint="eastAsia" w:eastAsia="仿宋_GB2312" w:cs="Times New Roman"/>
          <w:sz w:val="32"/>
          <w:szCs w:val="32"/>
          <w:lang w:val="en-US" w:eastAsia="zh-CN"/>
        </w:rPr>
        <w:t>居民流动性较大，有新增患者。改进措施：动态调整目标，做好患者动态监测，加强宣传力度。</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sz w:val="32"/>
          <w:szCs w:val="32"/>
          <w:lang w:eastAsia="zh-CN"/>
        </w:rPr>
      </w:pPr>
      <w:r>
        <w:rPr>
          <w:rFonts w:hint="eastAsia" w:eastAsia="仿宋_GB2312" w:cs="Times New Roman"/>
          <w:sz w:val="32"/>
          <w:szCs w:val="32"/>
          <w:lang w:val="en-US" w:eastAsia="zh-CN"/>
        </w:rPr>
        <w:t>指标2：</w:t>
      </w:r>
      <w:r>
        <w:rPr>
          <w:rFonts w:hint="eastAsia" w:eastAsia="仿宋_GB2312" w:cs="Times New Roman"/>
          <w:sz w:val="32"/>
          <w:szCs w:val="32"/>
          <w:lang w:eastAsia="zh-CN"/>
        </w:rPr>
        <w:t>居民电子健康档案建档人数</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val="en-US" w:eastAsia="zh-CN"/>
        </w:rPr>
        <w:t>5115人</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4995人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97.65</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；偏差原因分析及改进措施：居民流动性较大，迁出人员较多。改进措施：</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卫生院公卫专干做好居民电子健康档案的的管理</w:t>
      </w:r>
      <w:r>
        <w:rPr>
          <w:rFonts w:hint="eastAsia" w:eastAsia="仿宋_GB2312" w:cs="Times New Roman"/>
          <w:i w:val="0"/>
          <w:caps w:val="0"/>
          <w:color w:val="auto"/>
          <w:spacing w:val="0"/>
          <w:kern w:val="2"/>
          <w:sz w:val="32"/>
          <w:szCs w:val="32"/>
          <w:highlight w:val="none"/>
          <w:shd w:val="clear" w:color="auto" w:fill="auto"/>
          <w:lang w:val="en-US" w:eastAsia="zh-CN" w:bidi="ar"/>
        </w:rPr>
        <w:t>。</w:t>
      </w:r>
      <w:r>
        <w:rPr>
          <w:rFonts w:hint="eastAsia" w:eastAsia="仿宋_GB2312" w:cs="Times New Roman"/>
          <w:sz w:val="32"/>
          <w:szCs w:val="32"/>
          <w:lang w:eastAsia="zh-CN"/>
        </w:rPr>
        <w:t>加强宣传、优化建档流程。</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lang w:eastAsia="zh-CN"/>
        </w:rPr>
        <w:t>指标</w:t>
      </w:r>
      <w:r>
        <w:rPr>
          <w:rFonts w:hint="eastAsia" w:eastAsia="仿宋_GB2312" w:cs="Times New Roman"/>
          <w:sz w:val="32"/>
          <w:szCs w:val="32"/>
          <w:lang w:val="en-US" w:eastAsia="zh-CN"/>
        </w:rPr>
        <w:t>3：7岁以下儿童健康管理指标值44人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30人，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68.18%；</w:t>
      </w:r>
      <w:r>
        <w:rPr>
          <w:rFonts w:hint="eastAsia" w:eastAsia="仿宋_GB2312" w:cs="Times New Roman"/>
          <w:sz w:val="32"/>
          <w:szCs w:val="32"/>
          <w:lang w:eastAsia="zh-CN"/>
        </w:rPr>
        <w:t>偏差原因分析及改进措施：儿童流动性大，部分儿童超出管理年龄范围。改进措施：</w:t>
      </w:r>
      <w:r>
        <w:rPr>
          <w:rFonts w:hint="eastAsia" w:ascii="Times New Roman" w:hAnsi="Times New Roman" w:eastAsia="仿宋_GB2312" w:cs="Times New Roman"/>
          <w:i w:val="0"/>
          <w:caps w:val="0"/>
          <w:spacing w:val="0"/>
          <w:sz w:val="32"/>
          <w:szCs w:val="32"/>
          <w:highlight w:val="none"/>
          <w:shd w:val="clear"/>
        </w:rPr>
        <w:t>卫生院妇幼专干做好7岁以下儿童的管理</w:t>
      </w:r>
      <w:r>
        <w:rPr>
          <w:rFonts w:hint="eastAsia" w:eastAsia="仿宋_GB2312" w:cs="Times New Roman"/>
          <w:i w:val="0"/>
          <w:caps w:val="0"/>
          <w:spacing w:val="0"/>
          <w:sz w:val="32"/>
          <w:szCs w:val="32"/>
          <w:highlight w:val="none"/>
          <w:shd w:val="clear"/>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lang w:eastAsia="zh-CN"/>
        </w:rPr>
        <w:t>指标</w:t>
      </w:r>
      <w:r>
        <w:rPr>
          <w:rFonts w:hint="eastAsia" w:eastAsia="仿宋_GB2312" w:cs="Times New Roman"/>
          <w:sz w:val="32"/>
          <w:szCs w:val="32"/>
          <w:lang w:val="en-US" w:eastAsia="zh-CN"/>
        </w:rPr>
        <w:t>4：孕产妇系统管理人数指标值4人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3人，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75%；</w:t>
      </w:r>
      <w:r>
        <w:rPr>
          <w:rFonts w:hint="eastAsia" w:eastAsia="仿宋_GB2312" w:cs="Times New Roman"/>
          <w:sz w:val="32"/>
          <w:szCs w:val="32"/>
          <w:lang w:eastAsia="zh-CN"/>
        </w:rPr>
        <w:t>偏差原因分析及改进措施：1人完成全程管理，不属于孕产妇管理系统。改进措施：</w:t>
      </w:r>
      <w:r>
        <w:rPr>
          <w:rFonts w:hint="eastAsia" w:ascii="Times New Roman" w:hAnsi="Times New Roman" w:eastAsia="仿宋_GB2312" w:cs="Times New Roman"/>
          <w:i w:val="0"/>
          <w:caps w:val="0"/>
          <w:spacing w:val="0"/>
          <w:sz w:val="32"/>
          <w:szCs w:val="32"/>
          <w:highlight w:val="none"/>
          <w:shd w:val="clear"/>
        </w:rPr>
        <w:t>卫生院妇幼专干做好</w:t>
      </w:r>
      <w:r>
        <w:rPr>
          <w:rFonts w:hint="eastAsia" w:eastAsia="仿宋_GB2312" w:cs="Times New Roman"/>
          <w:i w:val="0"/>
          <w:caps w:val="0"/>
          <w:spacing w:val="0"/>
          <w:sz w:val="32"/>
          <w:szCs w:val="32"/>
          <w:highlight w:val="none"/>
          <w:shd w:val="clear"/>
          <w:lang w:val="en-US" w:eastAsia="zh-CN"/>
        </w:rPr>
        <w:t>孕产妇</w:t>
      </w:r>
      <w:r>
        <w:rPr>
          <w:rFonts w:hint="eastAsia" w:ascii="Times New Roman" w:hAnsi="Times New Roman" w:eastAsia="仿宋_GB2312" w:cs="Times New Roman"/>
          <w:i w:val="0"/>
          <w:caps w:val="0"/>
          <w:spacing w:val="0"/>
          <w:sz w:val="32"/>
          <w:szCs w:val="32"/>
          <w:highlight w:val="none"/>
          <w:shd w:val="clear"/>
        </w:rPr>
        <w:t>的管理</w:t>
      </w:r>
      <w:r>
        <w:rPr>
          <w:rFonts w:hint="eastAsia" w:eastAsia="仿宋_GB2312" w:cs="Times New Roman"/>
          <w:i w:val="0"/>
          <w:caps w:val="0"/>
          <w:spacing w:val="0"/>
          <w:sz w:val="32"/>
          <w:szCs w:val="32"/>
          <w:highlight w:val="none"/>
          <w:shd w:val="clear"/>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lang w:eastAsia="zh-CN"/>
        </w:rPr>
        <w:t>指标</w:t>
      </w:r>
      <w:r>
        <w:rPr>
          <w:rFonts w:hint="eastAsia" w:eastAsia="仿宋_GB2312" w:cs="Times New Roman"/>
          <w:sz w:val="32"/>
          <w:szCs w:val="32"/>
          <w:lang w:val="en-US" w:eastAsia="zh-CN"/>
        </w:rPr>
        <w:t>5：2型糖尿病患者管理人数指标值227人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238人，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105%；</w:t>
      </w:r>
      <w:r>
        <w:rPr>
          <w:rFonts w:hint="eastAsia" w:eastAsia="仿宋_GB2312" w:cs="Times New Roman"/>
          <w:sz w:val="32"/>
          <w:szCs w:val="32"/>
          <w:lang w:eastAsia="zh-CN"/>
        </w:rPr>
        <w:t>偏差原因分析及改进措施：居民流动性较大，有新增患者。改进措施：</w:t>
      </w:r>
      <w:r>
        <w:rPr>
          <w:rFonts w:hint="eastAsia" w:ascii="Times New Roman" w:hAnsi="Times New Roman" w:eastAsia="仿宋_GB2312" w:cs="Times New Roman"/>
          <w:i w:val="0"/>
          <w:caps w:val="0"/>
          <w:spacing w:val="0"/>
          <w:sz w:val="32"/>
          <w:szCs w:val="32"/>
          <w:highlight w:val="none"/>
          <w:shd w:val="clear"/>
        </w:rPr>
        <w:t>卫生院公卫专干做好</w:t>
      </w:r>
      <w:r>
        <w:rPr>
          <w:rFonts w:hint="eastAsia" w:eastAsia="仿宋_GB2312" w:cs="Times New Roman"/>
          <w:i w:val="0"/>
          <w:caps w:val="0"/>
          <w:spacing w:val="0"/>
          <w:sz w:val="32"/>
          <w:szCs w:val="32"/>
          <w:highlight w:val="none"/>
          <w:shd w:val="clear"/>
          <w:lang w:val="en-US" w:eastAsia="zh-CN"/>
        </w:rPr>
        <w:t>糖尿病</w:t>
      </w:r>
      <w:r>
        <w:rPr>
          <w:rFonts w:hint="eastAsia" w:ascii="Times New Roman" w:hAnsi="Times New Roman" w:eastAsia="仿宋_GB2312" w:cs="Times New Roman"/>
          <w:i w:val="0"/>
          <w:caps w:val="0"/>
          <w:spacing w:val="0"/>
          <w:sz w:val="32"/>
          <w:szCs w:val="32"/>
          <w:highlight w:val="none"/>
          <w:shd w:val="clear"/>
        </w:rPr>
        <w:t>患者的管理及随访</w:t>
      </w:r>
      <w:r>
        <w:rPr>
          <w:rFonts w:hint="eastAsia" w:eastAsia="仿宋_GB2312" w:cs="Times New Roman"/>
          <w:i w:val="0"/>
          <w:caps w:val="0"/>
          <w:spacing w:val="0"/>
          <w:sz w:val="32"/>
          <w:szCs w:val="32"/>
          <w:highlight w:val="none"/>
          <w:shd w:val="clear"/>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eastAsia="zh-CN"/>
        </w:rPr>
        <w:t>指标</w:t>
      </w:r>
      <w:r>
        <w:rPr>
          <w:rFonts w:hint="eastAsia" w:eastAsia="仿宋_GB2312" w:cs="Times New Roman"/>
          <w:sz w:val="32"/>
          <w:szCs w:val="32"/>
          <w:lang w:val="en-US" w:eastAsia="zh-CN"/>
        </w:rPr>
        <w:t>6：老年人中医药健康管理指标值1197人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871人，</w:t>
      </w:r>
      <w:r>
        <w:rPr>
          <w:rFonts w:hint="default" w:ascii="Times New Roman" w:hAnsi="Times New Roman" w:eastAsia="仿宋_GB2312" w:cs="Times New Roman"/>
          <w:sz w:val="32"/>
          <w:szCs w:val="32"/>
        </w:rPr>
        <w:t>指标完成率</w:t>
      </w:r>
      <w:r>
        <w:rPr>
          <w:rFonts w:hint="eastAsia" w:eastAsia="仿宋_GB2312" w:cs="Times New Roman"/>
          <w:sz w:val="32"/>
          <w:szCs w:val="32"/>
          <w:lang w:val="en-US" w:eastAsia="zh-CN"/>
        </w:rPr>
        <w:t>72.76%；</w:t>
      </w:r>
      <w:r>
        <w:rPr>
          <w:rFonts w:hint="eastAsia" w:eastAsia="仿宋_GB2312" w:cs="Times New Roman"/>
          <w:sz w:val="32"/>
          <w:szCs w:val="32"/>
          <w:lang w:eastAsia="zh-CN"/>
        </w:rPr>
        <w:t>偏差原因分析及改进措施：居民健康管理意识淡薄，老年人因交通不便难以获得服务。改进措施：动态调整不足，强化宣传教育，提供个性化服务。</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2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②</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质量指标：</w:t>
      </w:r>
    </w:p>
    <w:p>
      <w:pPr>
        <w:pStyle w:val="3"/>
        <w:ind w:firstLine="640" w:firstLineChars="200"/>
        <w:rPr>
          <w:rFonts w:hint="eastAsia" w:eastAsia="仿宋_GB2312" w:cs="Times New Roman"/>
          <w:sz w:val="32"/>
          <w:szCs w:val="32"/>
          <w:lang w:eastAsia="zh-CN"/>
        </w:rPr>
      </w:pPr>
      <w:r>
        <w:rPr>
          <w:rFonts w:hint="eastAsia" w:eastAsia="仿宋_GB2312" w:cs="Times New Roman"/>
          <w:sz w:val="32"/>
          <w:szCs w:val="32"/>
          <w:lang w:val="en-US" w:eastAsia="zh-CN"/>
        </w:rPr>
        <w:t>指标1：居民电子健康档案建档人数初预算管理人数为5115人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年末实际管理人数为4995人，使用率为97.65%；</w:t>
      </w:r>
      <w:r>
        <w:rPr>
          <w:rFonts w:hint="eastAsia" w:eastAsia="仿宋_GB2312" w:cs="Times New Roman"/>
          <w:sz w:val="32"/>
          <w:szCs w:val="32"/>
          <w:lang w:eastAsia="zh-CN"/>
        </w:rPr>
        <w:t>偏差原因分析及改进措施：居民健康意识增强，健康档案使用率提高。改进措施：</w:t>
      </w:r>
      <w:r>
        <w:rPr>
          <w:rFonts w:hint="eastAsia" w:ascii="Times New Roman" w:hAnsi="Times New Roman" w:eastAsia="仿宋_GB2312" w:cs="Times New Roman"/>
          <w:i w:val="0"/>
          <w:caps w:val="0"/>
          <w:color w:val="auto"/>
          <w:spacing w:val="0"/>
          <w:kern w:val="2"/>
          <w:sz w:val="32"/>
          <w:szCs w:val="32"/>
          <w:highlight w:val="none"/>
          <w:shd w:val="clear" w:color="auto" w:fill="auto"/>
          <w:lang w:val="en-US" w:eastAsia="zh-CN" w:bidi="ar"/>
        </w:rPr>
        <w:t>卫生院公卫专干做好居民电子健康档案的的管理</w:t>
      </w:r>
      <w:r>
        <w:rPr>
          <w:rFonts w:hint="eastAsia" w:eastAsia="仿宋_GB2312" w:cs="Times New Roman"/>
          <w:sz w:val="32"/>
          <w:szCs w:val="32"/>
          <w:lang w:eastAsia="zh-CN"/>
        </w:rPr>
        <w:t>。</w:t>
      </w:r>
    </w:p>
    <w:p>
      <w:pPr>
        <w:shd w:val="clear"/>
        <w:spacing w:line="600" w:lineRule="exact"/>
        <w:ind w:firstLine="640" w:firstLineChars="200"/>
        <w:outlineLvl w:val="0"/>
        <w:rPr>
          <w:rFonts w:hint="eastAsia" w:eastAsia="仿宋_GB2312" w:cs="Times New Roman"/>
          <w:sz w:val="32"/>
          <w:szCs w:val="32"/>
          <w:lang w:eastAsia="zh-CN"/>
        </w:rPr>
      </w:pPr>
      <w:r>
        <w:rPr>
          <w:rFonts w:hint="eastAsia" w:eastAsia="仿宋_GB2312" w:cs="Times New Roman"/>
          <w:sz w:val="32"/>
          <w:szCs w:val="32"/>
          <w:lang w:eastAsia="zh-CN"/>
        </w:rPr>
        <w:t>指标</w:t>
      </w:r>
      <w:r>
        <w:rPr>
          <w:rFonts w:hint="eastAsia" w:eastAsia="仿宋_GB2312" w:cs="Times New Roman"/>
          <w:sz w:val="32"/>
          <w:szCs w:val="32"/>
          <w:lang w:val="en-US" w:eastAsia="zh-CN"/>
        </w:rPr>
        <w:t>2：高血压患者年初预算管理人数为679人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年末实际管理人数为737人，管理率108%；</w:t>
      </w:r>
      <w:r>
        <w:rPr>
          <w:rFonts w:hint="eastAsia" w:eastAsia="仿宋_GB2312" w:cs="Times New Roman"/>
          <w:sz w:val="32"/>
          <w:szCs w:val="32"/>
          <w:lang w:eastAsia="zh-CN"/>
        </w:rPr>
        <w:t>偏差原因分析及改进措施：居民流动性较大，有新增患者。改进措施：</w:t>
      </w:r>
      <w:r>
        <w:rPr>
          <w:rFonts w:hint="eastAsia" w:ascii="Times New Roman" w:hAnsi="Times New Roman" w:eastAsia="仿宋_GB2312" w:cs="Times New Roman"/>
          <w:i w:val="0"/>
          <w:caps w:val="0"/>
          <w:spacing w:val="0"/>
          <w:sz w:val="32"/>
          <w:szCs w:val="32"/>
          <w:highlight w:val="none"/>
          <w:shd w:val="clear"/>
        </w:rPr>
        <w:t>卫生院公卫专干做好高血压患者的管理及随访</w:t>
      </w:r>
      <w:r>
        <w:rPr>
          <w:rFonts w:hint="eastAsia" w:eastAsia="仿宋_GB2312" w:cs="Times New Roman"/>
          <w:i w:val="0"/>
          <w:caps w:val="0"/>
          <w:spacing w:val="0"/>
          <w:sz w:val="32"/>
          <w:szCs w:val="32"/>
          <w:highlight w:val="none"/>
          <w:shd w:val="clear"/>
          <w:lang w:eastAsia="zh-CN"/>
        </w:rPr>
        <w:t>，</w:t>
      </w:r>
      <w:r>
        <w:rPr>
          <w:rFonts w:hint="eastAsia" w:eastAsia="仿宋_GB2312" w:cs="Times New Roman"/>
          <w:sz w:val="32"/>
          <w:szCs w:val="32"/>
          <w:lang w:eastAsia="zh-CN"/>
        </w:rPr>
        <w:t>做好患者动态监测，加强宣传力度。</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lang w:val="en-US" w:eastAsia="zh-CN"/>
        </w:rPr>
        <w:t>指标3：2型糖尿病患者年初预算管理人数为227人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年末实际管理人数为238人，管理率105%；</w:t>
      </w:r>
      <w:r>
        <w:rPr>
          <w:rFonts w:hint="eastAsia" w:eastAsia="仿宋_GB2312" w:cs="Times New Roman"/>
          <w:sz w:val="32"/>
          <w:szCs w:val="32"/>
          <w:lang w:eastAsia="zh-CN"/>
        </w:rPr>
        <w:t>偏差原因分析及改进措施：居民流动性较大，有新增患者。改进措施：</w:t>
      </w:r>
      <w:r>
        <w:rPr>
          <w:rFonts w:hint="eastAsia" w:ascii="Times New Roman" w:hAnsi="Times New Roman" w:eastAsia="仿宋_GB2312" w:cs="Times New Roman"/>
          <w:i w:val="0"/>
          <w:caps w:val="0"/>
          <w:spacing w:val="0"/>
          <w:sz w:val="32"/>
          <w:szCs w:val="32"/>
          <w:highlight w:val="none"/>
          <w:shd w:val="clear"/>
        </w:rPr>
        <w:t>卫生院公卫专干做好</w:t>
      </w:r>
      <w:r>
        <w:rPr>
          <w:rFonts w:hint="eastAsia" w:eastAsia="仿宋_GB2312" w:cs="Times New Roman"/>
          <w:i w:val="0"/>
          <w:caps w:val="0"/>
          <w:spacing w:val="0"/>
          <w:sz w:val="32"/>
          <w:szCs w:val="32"/>
          <w:highlight w:val="none"/>
          <w:shd w:val="clear"/>
          <w:lang w:val="en-US" w:eastAsia="zh-CN"/>
        </w:rPr>
        <w:t>糖尿病</w:t>
      </w:r>
      <w:r>
        <w:rPr>
          <w:rFonts w:hint="eastAsia" w:ascii="Times New Roman" w:hAnsi="Times New Roman" w:eastAsia="仿宋_GB2312" w:cs="Times New Roman"/>
          <w:i w:val="0"/>
          <w:caps w:val="0"/>
          <w:spacing w:val="0"/>
          <w:sz w:val="32"/>
          <w:szCs w:val="32"/>
          <w:highlight w:val="none"/>
          <w:shd w:val="clear"/>
        </w:rPr>
        <w:t>患者的管理及随访</w:t>
      </w:r>
      <w:r>
        <w:rPr>
          <w:rFonts w:hint="eastAsia" w:eastAsia="仿宋_GB2312" w:cs="Times New Roman"/>
          <w:i w:val="0"/>
          <w:caps w:val="0"/>
          <w:spacing w:val="0"/>
          <w:sz w:val="32"/>
          <w:szCs w:val="32"/>
          <w:highlight w:val="none"/>
          <w:shd w:val="clear"/>
          <w:lang w:eastAsia="zh-CN"/>
        </w:rPr>
        <w:t>。</w:t>
      </w:r>
    </w:p>
    <w:p>
      <w:pPr>
        <w:pStyle w:val="3"/>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指标4：老年人中医药健康管理人数年初预算管理人数为1197人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年末实际管理人数为871人，管理率72.76%；</w:t>
      </w:r>
      <w:r>
        <w:rPr>
          <w:rFonts w:hint="eastAsia" w:eastAsia="仿宋_GB2312" w:cs="Times New Roman"/>
          <w:sz w:val="32"/>
          <w:szCs w:val="32"/>
          <w:lang w:eastAsia="zh-CN"/>
        </w:rPr>
        <w:t>偏差原因分析及改进措施：居民健康管理意识淡薄，老年人因交通不便难以获得服务。改进措施：</w:t>
      </w:r>
      <w:r>
        <w:rPr>
          <w:rFonts w:hint="eastAsia" w:eastAsia="仿宋_GB2312" w:cs="Times New Roman"/>
          <w:sz w:val="32"/>
          <w:szCs w:val="32"/>
          <w:lang w:val="en-US" w:eastAsia="zh-CN"/>
        </w:rPr>
        <w:t>卫生院公卫专干做好老年人中医药健康管理，</w:t>
      </w:r>
      <w:r>
        <w:rPr>
          <w:rFonts w:hint="eastAsia" w:eastAsia="仿宋_GB2312" w:cs="Times New Roman"/>
          <w:sz w:val="32"/>
          <w:szCs w:val="32"/>
          <w:lang w:eastAsia="zh-CN"/>
        </w:rPr>
        <w:t>强化宣传教育，提供个性化服务。</w:t>
      </w:r>
    </w:p>
    <w:p>
      <w:pPr>
        <w:shd w:val="clear"/>
        <w:spacing w:line="600" w:lineRule="exact"/>
        <w:ind w:firstLine="640" w:firstLineChars="200"/>
        <w:outlineLvl w:val="0"/>
        <w:rPr>
          <w:rFonts w:hint="eastAsia" w:eastAsia="仿宋_GB2312" w:cs="Times New Roman"/>
          <w:sz w:val="32"/>
          <w:szCs w:val="32"/>
          <w:lang w:eastAsia="zh-CN"/>
        </w:rPr>
      </w:pPr>
      <w:r>
        <w:rPr>
          <w:rFonts w:hint="eastAsia" w:eastAsia="仿宋_GB2312" w:cs="Times New Roman"/>
          <w:sz w:val="32"/>
          <w:szCs w:val="32"/>
          <w:lang w:val="en-US" w:eastAsia="zh-CN"/>
        </w:rPr>
        <w:t>指标5：7岁以下儿童健康管理人数年初预算管理人数为44人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年末实际管理人数为30人，管理率68.18%；</w:t>
      </w:r>
      <w:r>
        <w:rPr>
          <w:rFonts w:hint="eastAsia" w:eastAsia="仿宋_GB2312" w:cs="Times New Roman"/>
          <w:sz w:val="32"/>
          <w:szCs w:val="32"/>
          <w:lang w:eastAsia="zh-CN"/>
        </w:rPr>
        <w:t>偏差原因分析及改进措施：儿童流动性大，部分儿童超出管理年龄范围。改进措施：</w:t>
      </w:r>
      <w:r>
        <w:rPr>
          <w:rFonts w:hint="eastAsia" w:ascii="Times New Roman" w:hAnsi="Times New Roman" w:eastAsia="仿宋_GB2312" w:cs="Times New Roman"/>
          <w:i w:val="0"/>
          <w:caps w:val="0"/>
          <w:spacing w:val="0"/>
          <w:sz w:val="32"/>
          <w:szCs w:val="32"/>
          <w:highlight w:val="none"/>
          <w:shd w:val="clear"/>
        </w:rPr>
        <w:t>卫生院妇幼专干做好7岁以下儿童的管理</w:t>
      </w:r>
      <w:r>
        <w:rPr>
          <w:rFonts w:hint="eastAsia" w:eastAsia="仿宋_GB2312" w:cs="Times New Roman"/>
          <w:i w:val="0"/>
          <w:caps w:val="0"/>
          <w:spacing w:val="0"/>
          <w:sz w:val="32"/>
          <w:szCs w:val="32"/>
          <w:highlight w:val="none"/>
          <w:shd w:val="clear"/>
          <w:lang w:eastAsia="zh-CN"/>
        </w:rPr>
        <w:t>。</w:t>
      </w:r>
      <w:r>
        <w:rPr>
          <w:rFonts w:hint="eastAsia" w:eastAsia="仿宋_GB2312" w:cs="Times New Roman"/>
          <w:sz w:val="32"/>
          <w:szCs w:val="32"/>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lang w:val="en-US" w:eastAsia="zh-CN"/>
        </w:rPr>
        <w:t>指标6：孕产妇年初预算管理人数为4人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年末实际管理人数为3人，管理率75%。</w:t>
      </w:r>
      <w:r>
        <w:rPr>
          <w:rFonts w:hint="eastAsia" w:eastAsia="仿宋_GB2312" w:cs="Times New Roman"/>
          <w:sz w:val="32"/>
          <w:szCs w:val="32"/>
          <w:lang w:eastAsia="zh-CN"/>
        </w:rPr>
        <w:t>偏差原因分析及改进措施：1人完成全程管理，不属于孕产妇管理系统。改进措施：</w:t>
      </w:r>
      <w:r>
        <w:rPr>
          <w:rFonts w:hint="eastAsia" w:ascii="Times New Roman" w:hAnsi="Times New Roman" w:eastAsia="仿宋_GB2312" w:cs="Times New Roman"/>
          <w:i w:val="0"/>
          <w:caps w:val="0"/>
          <w:spacing w:val="0"/>
          <w:sz w:val="32"/>
          <w:szCs w:val="32"/>
          <w:highlight w:val="none"/>
          <w:shd w:val="clear"/>
        </w:rPr>
        <w:t>卫生院妇幼专干做好</w:t>
      </w:r>
      <w:r>
        <w:rPr>
          <w:rFonts w:hint="eastAsia" w:eastAsia="仿宋_GB2312" w:cs="Times New Roman"/>
          <w:i w:val="0"/>
          <w:caps w:val="0"/>
          <w:spacing w:val="0"/>
          <w:sz w:val="32"/>
          <w:szCs w:val="32"/>
          <w:highlight w:val="none"/>
          <w:shd w:val="clear"/>
          <w:lang w:val="en-US" w:eastAsia="zh-CN"/>
        </w:rPr>
        <w:t>孕产妇</w:t>
      </w:r>
      <w:r>
        <w:rPr>
          <w:rFonts w:hint="eastAsia" w:ascii="Times New Roman" w:hAnsi="Times New Roman" w:eastAsia="仿宋_GB2312" w:cs="Times New Roman"/>
          <w:i w:val="0"/>
          <w:caps w:val="0"/>
          <w:spacing w:val="0"/>
          <w:sz w:val="32"/>
          <w:szCs w:val="32"/>
          <w:highlight w:val="none"/>
          <w:shd w:val="clear"/>
        </w:rPr>
        <w:t>的管理</w:t>
      </w:r>
      <w:r>
        <w:rPr>
          <w:rFonts w:hint="eastAsia" w:eastAsia="仿宋_GB2312" w:cs="Times New Roman"/>
          <w:i w:val="0"/>
          <w:caps w:val="0"/>
          <w:spacing w:val="0"/>
          <w:sz w:val="32"/>
          <w:szCs w:val="32"/>
          <w:highlight w:val="none"/>
          <w:shd w:val="clear"/>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3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时效指标：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w:t>
      </w:r>
      <w:r>
        <w:rPr>
          <w:rFonts w:hint="eastAsia" w:eastAsia="仿宋_GB2312" w:cs="Times New Roman"/>
          <w:sz w:val="32"/>
          <w:szCs w:val="32"/>
          <w:highlight w:val="none"/>
          <w:lang w:eastAsia="zh-CN"/>
        </w:rPr>
        <w:t>发放</w:t>
      </w:r>
      <w:r>
        <w:rPr>
          <w:rFonts w:hint="default" w:ascii="Times New Roman" w:hAnsi="Times New Roman" w:eastAsia="仿宋_GB2312" w:cs="Times New Roman"/>
          <w:sz w:val="32"/>
          <w:szCs w:val="32"/>
          <w:highlight w:val="none"/>
        </w:rPr>
        <w:t>及时率，指标值：</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111</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111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，偏差原因：年初设定指标值偏低；改进措施：今后项目中应做好数据的调查和核对，根据实际情况进行设置指标值。</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highlight w:val="none"/>
        </w:rPr>
        <w:t>指标1：</w:t>
      </w:r>
      <w:r>
        <w:rPr>
          <w:rFonts w:hint="eastAsia" w:ascii="Times New Roman" w:hAnsi="Times New Roman" w:eastAsia="仿宋_GB2312" w:cs="Times New Roman"/>
          <w:b w:val="0"/>
          <w:bCs w:val="0"/>
          <w:sz w:val="32"/>
          <w:szCs w:val="32"/>
          <w:highlight w:val="none"/>
          <w:lang w:eastAsia="zh-CN"/>
        </w:rPr>
        <w:t>项目预算控制率</w:t>
      </w:r>
      <w:r>
        <w:rPr>
          <w:rFonts w:hint="default" w:ascii="Times New Roman" w:hAnsi="Times New Roman" w:eastAsia="仿宋_GB2312" w:cs="Times New Roman"/>
          <w:b w:val="0"/>
          <w:bCs w:val="0"/>
          <w:sz w:val="32"/>
          <w:szCs w:val="32"/>
          <w:highlight w:val="none"/>
        </w:rPr>
        <w:t>，指标值：</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，实际完成值</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 xml:space="preserve"> ，指标完成率</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sz w:val="32"/>
          <w:szCs w:val="32"/>
          <w:highlight w:val="none"/>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（四）项目效益情况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个三级指标构成，权重分为20分，实际得分20分，得分率为100%。具体效益指标及满意度指标完成情况如下：</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缩小城乡居民公共卫生差距</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不断缩小</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不断缩小</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2.满意度</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eastAsia" w:eastAsia="仿宋_GB2312" w:cs="Times New Roman"/>
          <w:sz w:val="32"/>
          <w:szCs w:val="32"/>
          <w:lang w:val="en-US" w:eastAsia="zh-CN"/>
        </w:rPr>
        <w:t>服务对象</w:t>
      </w:r>
      <w:r>
        <w:rPr>
          <w:rFonts w:hint="default" w:ascii="Times New Roman" w:hAnsi="Times New Roman" w:eastAsia="仿宋_GB2312" w:cs="Times New Roman"/>
          <w:sz w:val="32"/>
          <w:szCs w:val="32"/>
          <w:lang w:val="en-US" w:eastAsia="zh-CN"/>
        </w:rPr>
        <w:t>满意度：</w:t>
      </w:r>
      <w:r>
        <w:rPr>
          <w:rFonts w:hint="default" w:ascii="Times New Roman" w:hAnsi="Times New Roman" w:eastAsia="仿宋_GB2312" w:cs="Times New Roman"/>
          <w:sz w:val="32"/>
          <w:szCs w:val="32"/>
        </w:rPr>
        <w:t>指标值：</w:t>
      </w:r>
      <w:r>
        <w:rPr>
          <w:rFonts w:hint="eastAsia" w:eastAsia="仿宋_GB2312" w:cs="Times New Roman"/>
          <w:sz w:val="32"/>
          <w:szCs w:val="32"/>
          <w:lang w:val="en-US" w:eastAsia="zh-CN"/>
        </w:rPr>
        <w:t>≥98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Hans"/>
        </w:rPr>
      </w:pP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val="en-US" w:eastAsia="zh-Hans"/>
        </w:rPr>
        <w:t>预算执行进度与绩效指标总体完成率偏差</w:t>
      </w:r>
    </w:p>
    <w:p>
      <w:pPr>
        <w:pStyle w:val="19"/>
        <w:spacing w:line="560" w:lineRule="exact"/>
        <w:ind w:firstLine="640"/>
        <w:rPr>
          <w:rFonts w:hint="default" w:eastAsia="仿宋_GB2312" w:cs="Times New Roman"/>
          <w:kern w:val="2"/>
          <w:sz w:val="32"/>
          <w:szCs w:val="32"/>
          <w:highlight w:val="none"/>
          <w:lang w:val="en-US" w:eastAsia="zh-CN" w:bidi="ar-SA"/>
        </w:rPr>
      </w:pPr>
      <w:r>
        <w:rPr>
          <w:rFonts w:hint="eastAsia" w:ascii="Times New Roman" w:hAnsi="Times New Roman" w:eastAsia="仿宋_GB2312" w:cs="Times New Roman"/>
          <w:color w:val="auto"/>
          <w:kern w:val="2"/>
          <w:sz w:val="32"/>
          <w:szCs w:val="32"/>
          <w:lang w:val="en-US" w:eastAsia="zh-CN" w:bidi="ar-SA"/>
        </w:rPr>
        <w:t>2024年</w:t>
      </w:r>
      <w:r>
        <w:rPr>
          <w:rFonts w:hint="default" w:ascii="Times New Roman" w:hAnsi="Times New Roman" w:eastAsia="仿宋_GB2312" w:cs="Times New Roman"/>
          <w:color w:val="auto"/>
          <w:kern w:val="2"/>
          <w:sz w:val="32"/>
          <w:szCs w:val="32"/>
          <w:lang w:val="en-US" w:eastAsia="zh-CN" w:bidi="ar-SA"/>
        </w:rPr>
        <w:t>项目年初预算</w:t>
      </w:r>
      <w:r>
        <w:rPr>
          <w:rFonts w:hint="eastAsia" w:eastAsia="仿宋_GB2312" w:cs="Times New Roman"/>
          <w:color w:val="auto"/>
          <w:kern w:val="2"/>
          <w:sz w:val="32"/>
          <w:szCs w:val="32"/>
          <w:lang w:val="en-US" w:eastAsia="zh-CN" w:bidi="ar-SA"/>
        </w:rPr>
        <w:t>61.85</w:t>
      </w:r>
      <w:r>
        <w:rPr>
          <w:rFonts w:hint="default" w:ascii="Times New Roman" w:hAnsi="Times New Roman" w:eastAsia="仿宋_GB2312" w:cs="Times New Roman"/>
          <w:color w:val="auto"/>
          <w:kern w:val="2"/>
          <w:sz w:val="32"/>
          <w:szCs w:val="32"/>
          <w:lang w:val="en-US" w:eastAsia="zh-CN" w:bidi="ar-SA"/>
        </w:rPr>
        <w:t>万元，全年预算</w:t>
      </w:r>
      <w:r>
        <w:rPr>
          <w:rFonts w:hint="eastAsia" w:eastAsia="仿宋_GB2312" w:cs="Times New Roman"/>
          <w:color w:val="auto"/>
          <w:kern w:val="2"/>
          <w:sz w:val="32"/>
          <w:szCs w:val="32"/>
          <w:lang w:val="en-US" w:eastAsia="zh-CN" w:bidi="ar-SA"/>
        </w:rPr>
        <w:t>86.7</w:t>
      </w:r>
      <w:r>
        <w:rPr>
          <w:rFonts w:hint="default" w:ascii="Times New Roman" w:hAnsi="Times New Roman" w:eastAsia="仿宋_GB2312" w:cs="Times New Roman"/>
          <w:color w:val="auto"/>
          <w:kern w:val="2"/>
          <w:sz w:val="32"/>
          <w:szCs w:val="32"/>
          <w:lang w:val="en-US" w:eastAsia="zh-CN" w:bidi="ar-SA"/>
        </w:rPr>
        <w:t>万元，实际支出</w:t>
      </w:r>
      <w:r>
        <w:rPr>
          <w:rFonts w:hint="eastAsia" w:eastAsia="仿宋_GB2312" w:cs="Times New Roman"/>
          <w:color w:val="auto"/>
          <w:kern w:val="2"/>
          <w:sz w:val="32"/>
          <w:szCs w:val="32"/>
          <w:lang w:val="en-US" w:eastAsia="zh-CN" w:bidi="ar-SA"/>
        </w:rPr>
        <w:t>86.7</w:t>
      </w:r>
      <w:r>
        <w:rPr>
          <w:rFonts w:hint="default" w:ascii="Times New Roman" w:hAnsi="Times New Roman" w:eastAsia="仿宋_GB2312" w:cs="Times New Roman"/>
          <w:color w:val="auto"/>
          <w:kern w:val="2"/>
          <w:sz w:val="32"/>
          <w:szCs w:val="32"/>
          <w:lang w:val="en-US" w:eastAsia="zh-CN" w:bidi="ar-SA"/>
        </w:rPr>
        <w:t>万元，预算执行率为</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%，项目绩效指标总体完成率为</w:t>
      </w:r>
      <w:r>
        <w:rPr>
          <w:rFonts w:hint="eastAsia" w:eastAsia="仿宋_GB2312" w:cs="Times New Roman"/>
          <w:color w:val="auto"/>
          <w:kern w:val="2"/>
          <w:sz w:val="32"/>
          <w:szCs w:val="32"/>
          <w:lang w:val="en-US" w:eastAsia="zh-CN" w:bidi="ar-SA"/>
        </w:rPr>
        <w:t>97.44</w:t>
      </w:r>
      <w:r>
        <w:rPr>
          <w:rFonts w:hint="default" w:ascii="Times New Roman" w:hAnsi="Times New Roman" w:eastAsia="仿宋_GB2312" w:cs="Times New Roman"/>
          <w:color w:val="auto"/>
          <w:kern w:val="2"/>
          <w:sz w:val="32"/>
          <w:szCs w:val="32"/>
          <w:lang w:val="en-US" w:eastAsia="zh-CN" w:bidi="ar-SA"/>
        </w:rPr>
        <w:t>%</w:t>
      </w:r>
      <w:r>
        <w:rPr>
          <w:rFonts w:hint="eastAsia" w:eastAsia="仿宋_GB2312" w:cs="Times New Roman"/>
          <w:color w:val="auto"/>
          <w:kern w:val="2"/>
          <w:sz w:val="32"/>
          <w:szCs w:val="32"/>
          <w:lang w:val="en-US" w:eastAsia="zh-CN" w:bidi="ar-SA"/>
        </w:rPr>
        <w:t>，总体偏差率为2.56%</w:t>
      </w:r>
      <w:r>
        <w:rPr>
          <w:rFonts w:hint="default" w:ascii="Times New Roman" w:hAnsi="Times New Roman" w:eastAsia="仿宋_GB2312" w:cs="Times New Roman"/>
          <w:color w:val="auto"/>
          <w:kern w:val="2"/>
          <w:sz w:val="32"/>
          <w:szCs w:val="32"/>
          <w:lang w:val="en-US" w:eastAsia="zh-CN" w:bidi="ar-SA"/>
        </w:rPr>
        <w:t>。</w:t>
      </w:r>
      <w:r>
        <w:rPr>
          <w:rFonts w:hint="eastAsia" w:eastAsia="仿宋_GB2312" w:cs="Times New Roman"/>
          <w:kern w:val="2"/>
          <w:sz w:val="32"/>
          <w:szCs w:val="32"/>
          <w:highlight w:val="none"/>
          <w:lang w:val="en-US" w:eastAsia="zh-CN" w:bidi="ar-SA"/>
        </w:rPr>
        <w:t>偏差原因：部分指标年初预估较低，导致部分指标超额完成，部分指标年初预估较高，以致未完成目标指标，导致出现偏差。整改措施：做好数据统计，认真分析数据报告，研究后确立目标指标，年末时尽力达到目标指标，减少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color w:val="auto"/>
          <w:kern w:val="2"/>
        </w:rPr>
        <w:t>通过本项目的实施，促进医疗卫生质量的提升，改善群众就医局面，保障公</w:t>
      </w:r>
      <w:r>
        <w:rPr>
          <w:rFonts w:hint="default" w:ascii="Times New Roman" w:hAnsi="Times New Roman" w:eastAsia="仿宋_GB2312" w:cs="Times New Roman"/>
          <w:b w:val="0"/>
          <w:bCs w:val="0"/>
          <w:kern w:val="2"/>
        </w:rPr>
        <w:t>众健康，使医院职工、患者满意度达到90%。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2024年中央基本公共卫生服务补助项目经验，我们能够更好地提高项目执行质量和效率，为工作提供有力支持。</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2"/>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w:t>
      </w:r>
      <w:r>
        <w:rPr>
          <w:rFonts w:hint="eastAsia" w:ascii="Times New Roman" w:hAnsi="Times New Roman" w:eastAsia="仿宋_GB2312" w:cs="Times New Roman"/>
          <w:sz w:val="32"/>
          <w:szCs w:val="32"/>
          <w:highlight w:val="none"/>
          <w:lang w:val="en-US" w:eastAsia="zh-CN"/>
        </w:rPr>
        <w:t>缺乏深入反思，流于形式化，自评沦为“填表任务”，失去改进工作的核心价值，</w:t>
      </w:r>
      <w:r>
        <w:rPr>
          <w:rFonts w:hint="default" w:ascii="Times New Roman" w:hAnsi="Times New Roman" w:eastAsia="仿宋_GB2312" w:cs="Times New Roman"/>
          <w:sz w:val="32"/>
          <w:szCs w:val="32"/>
          <w:highlight w:val="none"/>
          <w:lang w:val="en-US" w:eastAsia="zh-CN"/>
        </w:rPr>
        <w:t>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w:t>
      </w:r>
      <w:r>
        <w:rPr>
          <w:rFonts w:hint="eastAsia" w:ascii="Times New Roman" w:hAnsi="Times New Roman" w:eastAsia="仿宋_GB2312" w:cs="Times New Roman"/>
          <w:sz w:val="32"/>
          <w:szCs w:val="32"/>
          <w:highlight w:val="none"/>
          <w:lang w:val="en-US" w:eastAsia="zh-CN"/>
        </w:rPr>
        <w:t>，因不熟悉标准而自我评估偏差较大。</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其他需要说</w:t>
      </w:r>
      <w:bookmarkStart w:id="0" w:name="page8"/>
      <w:bookmarkEnd w:id="0"/>
      <w:r>
        <w:rPr>
          <w:rFonts w:hint="eastAsia" w:ascii="黑体" w:hAnsi="黑体" w:eastAsia="黑体" w:cs="黑体"/>
          <w:sz w:val="32"/>
          <w:szCs w:val="32"/>
        </w:rPr>
        <w:t>明的问题</w:t>
      </w:r>
    </w:p>
    <w:p>
      <w:pPr>
        <w:pStyle w:val="13"/>
        <w:spacing w:after="0" w:line="560" w:lineRule="exact"/>
        <w:ind w:left="0" w:leftChars="0" w:firstLine="640" w:firstLineChars="20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keepNext w:val="0"/>
        <w:keepLines w:val="0"/>
        <w:pageBreakBefore w:val="0"/>
        <w:widowControl w:val="0"/>
        <w:kinsoku/>
        <w:wordWrap w:val="0"/>
        <w:overflowPunct/>
        <w:topLinePunct/>
        <w:autoSpaceDE/>
        <w:autoSpaceDN/>
        <w:bidi w:val="0"/>
        <w:adjustRightInd/>
        <w:snapToGrid/>
        <w:spacing w:after="0" w:line="560" w:lineRule="exact"/>
        <w:ind w:left="0" w:leftChars="0" w:firstLine="640"/>
        <w:textAlignment w:val="auto"/>
        <w:rPr>
          <w:rFonts w:hint="eastAsia" w:ascii="Times New Roman" w:hAnsi="Times New Roman" w:eastAsia="黑体" w:cs="Times New Roman"/>
          <w:sz w:val="32"/>
          <w:szCs w:val="32"/>
          <w:highlight w:val="none"/>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keepNext w:val="0"/>
        <w:keepLines w:val="0"/>
        <w:pageBreakBefore w:val="0"/>
        <w:kinsoku/>
        <w:wordWrap/>
        <w:overflowPunct/>
        <w:topLinePunct w:val="0"/>
        <w:autoSpaceDE/>
        <w:autoSpaceDN/>
        <w:bidi w:val="0"/>
        <w:adjustRightInd/>
        <w:snapToGrid/>
        <w:spacing w:line="500" w:lineRule="exact"/>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2024年基本公共卫生服务补助资金预算的投资</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98.76</w:t>
            </w:r>
          </w:p>
        </w:tc>
      </w:tr>
    </w:tbl>
    <w:p>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sectPr>
          <w:footerReference r:id="rId4" w:type="default"/>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p>
    <w:tbl>
      <w:tblPr>
        <w:tblW w:w="13725" w:type="dxa"/>
        <w:tblInd w:w="0" w:type="dxa"/>
        <w:shd w:val="clear"/>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shd w:val="clear"/>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(2024年度)</w:t>
            </w:r>
          </w:p>
        </w:tc>
      </w:tr>
      <w:tr>
        <w:tblPrEx>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2024年基本公共卫生服务补助资金</w:t>
            </w:r>
          </w:p>
        </w:tc>
      </w:tr>
      <w:tr>
        <w:tblPrEx>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奇台县碧流河镇卫生院</w:t>
            </w:r>
          </w:p>
        </w:tc>
        <w:tc>
          <w:tcPr>
            <w:tcW w:w="220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奇台县碧流河镇卫生院</w:t>
            </w:r>
          </w:p>
        </w:tc>
      </w:tr>
      <w:tr>
        <w:tblPrEx>
          <w:tblLayout w:type="fixed"/>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61.85</w:t>
            </w:r>
          </w:p>
        </w:tc>
        <w:tc>
          <w:tcPr>
            <w:tcW w:w="21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86.70</w:t>
            </w:r>
          </w:p>
        </w:tc>
        <w:tc>
          <w:tcPr>
            <w:tcW w:w="220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86.70</w:t>
            </w:r>
          </w:p>
        </w:tc>
        <w:tc>
          <w:tcPr>
            <w:tcW w:w="166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61.85</w:t>
            </w:r>
          </w:p>
        </w:tc>
        <w:tc>
          <w:tcPr>
            <w:tcW w:w="21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86.70</w:t>
            </w:r>
          </w:p>
        </w:tc>
        <w:tc>
          <w:tcPr>
            <w:tcW w:w="220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86.7</w:t>
            </w:r>
          </w:p>
        </w:tc>
        <w:tc>
          <w:tcPr>
            <w:tcW w:w="166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Layout w:type="fixed"/>
          <w:tblCellMar>
            <w:top w:w="0" w:type="dxa"/>
            <w:left w:w="0" w:type="dxa"/>
            <w:bottom w:w="0" w:type="dxa"/>
            <w:right w:w="0"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免费向城乡居民提供基本公共卫生服务，居民电子健康建档人数5115人，7岁以下儿童健康管理人数44人，孕产妇系统管理人数4人，以提高居民健康水平为落脚点，全面推进基本公共卫生服务项目惠民政策的规范实施，城乡居民公共卫生差距不断缩小，基本公共卫生服务水平不断提高。</w:t>
            </w:r>
          </w:p>
        </w:tc>
        <w:tc>
          <w:tcPr>
            <w:tcW w:w="627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免费向城乡居民提供基本公共卫生服务，重性精神管理人数21人，孕产妇系统管理人数3人，居民电子健康建档人数4995人，7岁以下儿童健康管理人数30人，以提高居民健康水平为落脚点，全面推进基本公共卫生服务项目惠民政策的规范实施，城乡居民公共卫生差距不断缩小，基本公共卫生服务水平不断提高。</w:t>
            </w:r>
          </w:p>
        </w:tc>
      </w:tr>
      <w:tr>
        <w:tblPrEx>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Layout w:type="fixed"/>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高血压患者管理人数</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&gt;=679人</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=737人</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4.6</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居民流动性较大，有新增患者。改进方向：动态调整目标，做好患者动态监测，加强宣传力度。</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居民电子健康档案建档人数</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&gt;=5115人</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=4995人</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4.71</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居民流动性较大，迁出人员较多。改进方向：加强宣传、优化建档流程。</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7岁以下儿童健康管理人数</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&gt;=44人</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=30人</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0.82</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儿童流动性大，部分儿童超出管理年龄范围。改进方向：动态调整目标值，强化宣传，完善数据互通。</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孕产妇系统管理人数</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&gt;=4人</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=3人</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1人完成全程管理，不属于孕产妇管理系统。改进方向：动态调整目标，强化基层能力。</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2型糖尿病患者管理人数</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&gt;=227人</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=238人</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3.84</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居民流动性较大，有新增患者。改进方向：做好患者动态监测，加强宣传力度。</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老年人中医药健康管理人数</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&gt;=1197人</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=871人</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1.28</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居民健康管理意识淡薄，老年人因交通不便难以获得服务。改进方向：动态调整不足，强化宣传教育，提供个性化服务</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高血压患者管理率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=82%</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=85.48%</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1.92</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居民流动性较大，有新增患者。改进方向：动态调整目标，做好患者动态监测，加强宣传力度。</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居民电子健康档案使用率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&gt;=60%</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=75.56%</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居民健康意识增强，健康档案使用率提高。改进方向：动态调整目标，做好动态监测，强化服务意识。</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7岁以下儿童健康管理率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=95.65%</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1.88</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儿童流动性较大。改进方向：动态调整目标，做好服务随访工作，动态管理。</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孕产妇系统管理率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1.78</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居民流动性较大，有新增患者。改进方向：动态调整目标，做好患者动态监测，加强宣传力度。</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2型糖尿病患者管理率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&gt;=82%</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=78.99%</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1.82</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患者依从性与认知不足，健康知识匮乏。改进方向：动态调整目标，强化患者教育，优化监测服务，提供个性化健康服务。</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老年人中医药管理率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=75.74%</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1.21</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居民健康管理意识淡薄，老年人因交通不便难以获得服务。改进方向：动态调整不足，强化宣传教育，提供个性化服务</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资金发放及时率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1.78</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动态调整目标，做好资金动态管理。</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缩小城乡居民公共卫生差距</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不断缩小</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不断缩小</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服务对象满意度</w:t>
            </w:r>
          </w:p>
        </w:tc>
        <w:tc>
          <w:tcPr>
            <w:tcW w:w="15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&gt;=98%</w:t>
            </w:r>
          </w:p>
        </w:tc>
        <w:tc>
          <w:tcPr>
            <w:tcW w:w="13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加强业务培训，提高服务能力，增强获得感与幸福感，提高群众满意度。</w:t>
            </w:r>
          </w:p>
        </w:tc>
      </w:tr>
      <w:tr>
        <w:tblPrEx>
          <w:tblLayout w:type="fixed"/>
          <w:tblCellMar>
            <w:top w:w="0" w:type="dxa"/>
            <w:left w:w="0" w:type="dxa"/>
            <w:bottom w:w="0" w:type="dxa"/>
            <w:right w:w="0"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88.64分</w:t>
            </w:r>
          </w:p>
        </w:tc>
        <w:tc>
          <w:tcPr>
            <w:tcW w:w="17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nil"/>
              <w:bottom w:val="nil"/>
              <w:right w:val="nil"/>
            </w:tcBorders>
            <w:shd w:val="clear"/>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3165" w:type="dxa"/>
            <w:gridSpan w:val="3"/>
            <w:tcBorders>
              <w:top w:val="single" w:color="000000" w:sz="4" w:space="0"/>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335" w:type="dxa"/>
            <w:gridSpan w:val="4"/>
            <w:tcBorders>
              <w:top w:val="single" w:color="000000" w:sz="4" w:space="0"/>
              <w:left w:val="nil"/>
              <w:bottom w:val="nil"/>
              <w:right w:val="nil"/>
            </w:tcBorders>
            <w:shd w:val="clear"/>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065" w:type="dxa"/>
            <w:gridSpan w:val="5"/>
            <w:tcBorders>
              <w:top w:val="single" w:color="000000" w:sz="4" w:space="0"/>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70" w:hRule="atLeast"/>
        </w:trPr>
        <w:tc>
          <w:tcPr>
            <w:tcW w:w="2160" w:type="dxa"/>
            <w:gridSpan w:val="2"/>
            <w:tcBorders>
              <w:top w:val="nil"/>
              <w:left w:val="nil"/>
              <w:bottom w:val="nil"/>
              <w:right w:val="nil"/>
            </w:tcBorders>
            <w:shd w:val="clear"/>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3165" w:type="dxa"/>
            <w:gridSpan w:val="3"/>
            <w:tcBorders>
              <w:top w:val="nil"/>
              <w:left w:val="nil"/>
              <w:bottom w:val="nil"/>
              <w:right w:val="nil"/>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335" w:type="dxa"/>
            <w:gridSpan w:val="4"/>
            <w:tcBorders>
              <w:top w:val="nil"/>
              <w:left w:val="nil"/>
              <w:bottom w:val="nil"/>
              <w:right w:val="nil"/>
            </w:tcBorders>
            <w:shd w:val="clear"/>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065" w:type="dxa"/>
            <w:gridSpan w:val="5"/>
            <w:tcBorders>
              <w:top w:val="nil"/>
              <w:left w:val="nil"/>
              <w:bottom w:val="nil"/>
              <w:right w:val="nil"/>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p>
    <w:p>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pPr>
    </w:p>
    <w:sectPr>
      <w:pgSz w:w="16838" w:h="11906" w:orient="landscape"/>
      <w:pgMar w:top="118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018"/>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0F64C36"/>
    <w:rsid w:val="015D50E0"/>
    <w:rsid w:val="01610122"/>
    <w:rsid w:val="02510197"/>
    <w:rsid w:val="029A3A86"/>
    <w:rsid w:val="03EC461B"/>
    <w:rsid w:val="043E66D1"/>
    <w:rsid w:val="04A06AE1"/>
    <w:rsid w:val="04A4232A"/>
    <w:rsid w:val="06926D57"/>
    <w:rsid w:val="06EA182C"/>
    <w:rsid w:val="071A5591"/>
    <w:rsid w:val="07397B77"/>
    <w:rsid w:val="07F35C6F"/>
    <w:rsid w:val="086A3084"/>
    <w:rsid w:val="0AD007F3"/>
    <w:rsid w:val="0D082A6E"/>
    <w:rsid w:val="0E3C619F"/>
    <w:rsid w:val="0F2F5BD4"/>
    <w:rsid w:val="0F6273CA"/>
    <w:rsid w:val="100F38EC"/>
    <w:rsid w:val="11170296"/>
    <w:rsid w:val="11641C95"/>
    <w:rsid w:val="12A41D58"/>
    <w:rsid w:val="12C66037"/>
    <w:rsid w:val="12C705FB"/>
    <w:rsid w:val="12CD1ABC"/>
    <w:rsid w:val="133B07D3"/>
    <w:rsid w:val="13471461"/>
    <w:rsid w:val="13B90F01"/>
    <w:rsid w:val="13F90F39"/>
    <w:rsid w:val="155E4C4D"/>
    <w:rsid w:val="169B3A7C"/>
    <w:rsid w:val="181066D2"/>
    <w:rsid w:val="19287648"/>
    <w:rsid w:val="1C237F59"/>
    <w:rsid w:val="1C671E73"/>
    <w:rsid w:val="1D322C47"/>
    <w:rsid w:val="1EA1074C"/>
    <w:rsid w:val="208E4638"/>
    <w:rsid w:val="22290DFD"/>
    <w:rsid w:val="22F865B5"/>
    <w:rsid w:val="23616034"/>
    <w:rsid w:val="23696C97"/>
    <w:rsid w:val="239443CD"/>
    <w:rsid w:val="23F33B84"/>
    <w:rsid w:val="24480FA2"/>
    <w:rsid w:val="24BD3695"/>
    <w:rsid w:val="24D42689"/>
    <w:rsid w:val="25227A45"/>
    <w:rsid w:val="26AC3A6A"/>
    <w:rsid w:val="26DB3710"/>
    <w:rsid w:val="2B1277CC"/>
    <w:rsid w:val="2B9D7E25"/>
    <w:rsid w:val="2C7C7A3B"/>
    <w:rsid w:val="2D217FC5"/>
    <w:rsid w:val="2F364819"/>
    <w:rsid w:val="2F7E38B9"/>
    <w:rsid w:val="2F897353"/>
    <w:rsid w:val="2FD63906"/>
    <w:rsid w:val="317E2440"/>
    <w:rsid w:val="359A71EC"/>
    <w:rsid w:val="37215DAE"/>
    <w:rsid w:val="38CA40DD"/>
    <w:rsid w:val="395F2B56"/>
    <w:rsid w:val="3989662F"/>
    <w:rsid w:val="399968AD"/>
    <w:rsid w:val="3B482032"/>
    <w:rsid w:val="3BBA0580"/>
    <w:rsid w:val="3BECE841"/>
    <w:rsid w:val="3CDE204C"/>
    <w:rsid w:val="3D0A1709"/>
    <w:rsid w:val="3D363C36"/>
    <w:rsid w:val="3E9C3F6D"/>
    <w:rsid w:val="3FF7797D"/>
    <w:rsid w:val="42F16CBA"/>
    <w:rsid w:val="46690BD8"/>
    <w:rsid w:val="46E22723"/>
    <w:rsid w:val="48891C8F"/>
    <w:rsid w:val="49AA691D"/>
    <w:rsid w:val="49F70BF1"/>
    <w:rsid w:val="4ADF60DF"/>
    <w:rsid w:val="4B4340EE"/>
    <w:rsid w:val="4BA547C3"/>
    <w:rsid w:val="4C230E60"/>
    <w:rsid w:val="4F694CC2"/>
    <w:rsid w:val="503D507A"/>
    <w:rsid w:val="50942AC9"/>
    <w:rsid w:val="50FD0400"/>
    <w:rsid w:val="510C0C3F"/>
    <w:rsid w:val="51FA74D0"/>
    <w:rsid w:val="52AA4A52"/>
    <w:rsid w:val="539D3AD1"/>
    <w:rsid w:val="53B764C9"/>
    <w:rsid w:val="547F1728"/>
    <w:rsid w:val="54F20DD2"/>
    <w:rsid w:val="573A37A0"/>
    <w:rsid w:val="578B4632"/>
    <w:rsid w:val="594C6863"/>
    <w:rsid w:val="59943D66"/>
    <w:rsid w:val="59957788"/>
    <w:rsid w:val="59E051FD"/>
    <w:rsid w:val="59E15E56"/>
    <w:rsid w:val="59E6355E"/>
    <w:rsid w:val="5AD83820"/>
    <w:rsid w:val="5B821531"/>
    <w:rsid w:val="5BCB05BF"/>
    <w:rsid w:val="5BFF6039"/>
    <w:rsid w:val="5D76195E"/>
    <w:rsid w:val="5D76A616"/>
    <w:rsid w:val="5D7F20B9"/>
    <w:rsid w:val="5DAC7D0E"/>
    <w:rsid w:val="5F98B5AF"/>
    <w:rsid w:val="5FFE8511"/>
    <w:rsid w:val="5FFEACE2"/>
    <w:rsid w:val="609D5BF6"/>
    <w:rsid w:val="61073070"/>
    <w:rsid w:val="61B9080E"/>
    <w:rsid w:val="61DF3FED"/>
    <w:rsid w:val="62606CE8"/>
    <w:rsid w:val="62BA3A21"/>
    <w:rsid w:val="62FB3C34"/>
    <w:rsid w:val="642A0B61"/>
    <w:rsid w:val="642B176B"/>
    <w:rsid w:val="643EE26D"/>
    <w:rsid w:val="64AF3043"/>
    <w:rsid w:val="65067DBA"/>
    <w:rsid w:val="656019A0"/>
    <w:rsid w:val="65E810C8"/>
    <w:rsid w:val="65F242EE"/>
    <w:rsid w:val="666D7E19"/>
    <w:rsid w:val="68376930"/>
    <w:rsid w:val="68F91E38"/>
    <w:rsid w:val="6B3158B9"/>
    <w:rsid w:val="6BA02A3F"/>
    <w:rsid w:val="6C105349"/>
    <w:rsid w:val="6C1E5A53"/>
    <w:rsid w:val="6DDF5E91"/>
    <w:rsid w:val="6F5C41AC"/>
    <w:rsid w:val="6FAF6C78"/>
    <w:rsid w:val="6FF05449"/>
    <w:rsid w:val="70F80C27"/>
    <w:rsid w:val="716167CC"/>
    <w:rsid w:val="718A7AD1"/>
    <w:rsid w:val="72A44BC2"/>
    <w:rsid w:val="7317C656"/>
    <w:rsid w:val="734ED73F"/>
    <w:rsid w:val="73C82B32"/>
    <w:rsid w:val="73F71249"/>
    <w:rsid w:val="73F94DAE"/>
    <w:rsid w:val="74220495"/>
    <w:rsid w:val="74343FFF"/>
    <w:rsid w:val="747D1B6F"/>
    <w:rsid w:val="749E5641"/>
    <w:rsid w:val="76271066"/>
    <w:rsid w:val="76885262"/>
    <w:rsid w:val="77FD8BE9"/>
    <w:rsid w:val="78000AED"/>
    <w:rsid w:val="78036054"/>
    <w:rsid w:val="790E52B6"/>
    <w:rsid w:val="79A9BD3F"/>
    <w:rsid w:val="79AC5F8D"/>
    <w:rsid w:val="7AC5270E"/>
    <w:rsid w:val="7B776F12"/>
    <w:rsid w:val="7BFFFDD0"/>
    <w:rsid w:val="7C336E5F"/>
    <w:rsid w:val="7C8D4919"/>
    <w:rsid w:val="7CB244A3"/>
    <w:rsid w:val="7D7A5F86"/>
    <w:rsid w:val="7E2E692B"/>
    <w:rsid w:val="7E4B683A"/>
    <w:rsid w:val="7E5E656D"/>
    <w:rsid w:val="7E8F2BCB"/>
    <w:rsid w:val="7F37BB4E"/>
    <w:rsid w:val="7FEF918E"/>
    <w:rsid w:val="7FF4FB6F"/>
    <w:rsid w:val="7FF7FF27"/>
    <w:rsid w:val="7FFDF714"/>
    <w:rsid w:val="7FFE136B"/>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14194</Words>
  <Characters>14871</Characters>
  <Lines>58</Lines>
  <Paragraphs>16</Paragraphs>
  <TotalTime>3</TotalTime>
  <ScaleCrop>false</ScaleCrop>
  <LinksUpToDate>false</LinksUpToDate>
  <CharactersWithSpaces>14903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2025-05-14T09:14:13Z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EFC02BC35BFC430A8470348B909BABAC_13</vt:lpwstr>
  </property>
  <property fmtid="{D5CDD505-2E9C-101B-9397-08002B2CF9AE}" pid="4" name="KSOTemplateDocerSaveRecord">
    <vt:lpwstr>eyJoZGlkIjoiYzA4OWU5OTcyODJlODExMTczZmRjNDQ5NzI0M2U2NzgifQ==</vt:lpwstr>
  </property>
</Properties>
</file>