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BC38F">
      <w:pPr>
        <w:spacing w:line="540" w:lineRule="exact"/>
        <w:jc w:val="center"/>
        <w:rPr>
          <w:rFonts w:hint="default" w:ascii="Times New Roman" w:hAnsi="Times New Roman" w:eastAsia="华文中宋" w:cs="Times New Roman"/>
          <w:b/>
          <w:kern w:val="0"/>
          <w:sz w:val="52"/>
          <w:szCs w:val="52"/>
        </w:rPr>
      </w:pPr>
    </w:p>
    <w:p w14:paraId="59830E3B">
      <w:pPr>
        <w:spacing w:line="540" w:lineRule="exact"/>
        <w:rPr>
          <w:rFonts w:hint="default" w:ascii="Times New Roman" w:hAnsi="Times New Roman" w:eastAsia="华文中宋" w:cs="Times New Roman"/>
          <w:b/>
          <w:kern w:val="0"/>
          <w:sz w:val="52"/>
          <w:szCs w:val="52"/>
        </w:rPr>
      </w:pPr>
    </w:p>
    <w:p w14:paraId="12F4FA4C">
      <w:pPr>
        <w:spacing w:line="540" w:lineRule="exact"/>
        <w:jc w:val="center"/>
        <w:rPr>
          <w:rFonts w:hint="default" w:ascii="Times New Roman" w:hAnsi="Times New Roman" w:eastAsia="华文中宋" w:cs="Times New Roman"/>
          <w:b/>
          <w:kern w:val="0"/>
          <w:sz w:val="52"/>
          <w:szCs w:val="52"/>
        </w:rPr>
      </w:pPr>
    </w:p>
    <w:p w14:paraId="2407E38A">
      <w:pPr>
        <w:spacing w:line="540" w:lineRule="exact"/>
        <w:jc w:val="center"/>
        <w:rPr>
          <w:rFonts w:hint="default" w:ascii="Times New Roman" w:hAnsi="Times New Roman" w:eastAsia="华文中宋" w:cs="Times New Roman"/>
          <w:b/>
          <w:kern w:val="0"/>
          <w:sz w:val="52"/>
          <w:szCs w:val="52"/>
        </w:rPr>
      </w:pPr>
    </w:p>
    <w:p w14:paraId="4B87B049">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碧流河镇西戈壁村四五六组村容村貌改造提升项目</w:t>
      </w:r>
      <w:bookmarkStart w:id="3" w:name="_GoBack"/>
      <w:r>
        <w:rPr>
          <w:rFonts w:hint="default" w:ascii="Times New Roman" w:hAnsi="Times New Roman" w:eastAsia="方正小标宋_GBK" w:cs="Times New Roman"/>
          <w:kern w:val="0"/>
          <w:sz w:val="48"/>
          <w:szCs w:val="48"/>
        </w:rPr>
        <w:t>支出绩效评价报告</w:t>
      </w:r>
      <w:bookmarkEnd w:id="3"/>
    </w:p>
    <w:p w14:paraId="2113CE5C">
      <w:pPr>
        <w:spacing w:line="540" w:lineRule="exact"/>
        <w:jc w:val="center"/>
        <w:rPr>
          <w:rFonts w:hint="default" w:ascii="Times New Roman" w:hAnsi="Times New Roman" w:eastAsia="华文中宋" w:cs="Times New Roman"/>
          <w:b/>
          <w:kern w:val="0"/>
          <w:sz w:val="52"/>
          <w:szCs w:val="52"/>
        </w:rPr>
      </w:pPr>
    </w:p>
    <w:p w14:paraId="7DCB1308">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6325F879">
      <w:pPr>
        <w:spacing w:line="540" w:lineRule="exact"/>
        <w:jc w:val="center"/>
        <w:rPr>
          <w:rFonts w:hint="default" w:ascii="Times New Roman" w:hAnsi="Times New Roman" w:eastAsia="仿宋_GB2312" w:cs="Times New Roman"/>
          <w:kern w:val="0"/>
          <w:sz w:val="30"/>
          <w:szCs w:val="30"/>
        </w:rPr>
      </w:pPr>
    </w:p>
    <w:p w14:paraId="2E8992C2">
      <w:pPr>
        <w:spacing w:line="540" w:lineRule="exact"/>
        <w:jc w:val="center"/>
        <w:rPr>
          <w:rFonts w:hint="default" w:ascii="Times New Roman" w:hAnsi="Times New Roman" w:eastAsia="仿宋_GB2312" w:cs="Times New Roman"/>
          <w:kern w:val="0"/>
          <w:sz w:val="30"/>
          <w:szCs w:val="30"/>
        </w:rPr>
      </w:pPr>
    </w:p>
    <w:p w14:paraId="6D739726">
      <w:pPr>
        <w:spacing w:line="540" w:lineRule="exact"/>
        <w:jc w:val="center"/>
        <w:rPr>
          <w:rFonts w:hint="default" w:ascii="Times New Roman" w:hAnsi="Times New Roman" w:eastAsia="仿宋_GB2312" w:cs="Times New Roman"/>
          <w:kern w:val="0"/>
          <w:sz w:val="30"/>
          <w:szCs w:val="30"/>
        </w:rPr>
      </w:pPr>
    </w:p>
    <w:p w14:paraId="5302A5A6">
      <w:pPr>
        <w:pStyle w:val="10"/>
        <w:rPr>
          <w:rFonts w:hint="default" w:ascii="Times New Roman" w:hAnsi="Times New Roman" w:cs="Times New Roman"/>
        </w:rPr>
      </w:pPr>
    </w:p>
    <w:p w14:paraId="141F2D64">
      <w:pPr>
        <w:spacing w:line="540" w:lineRule="exact"/>
        <w:jc w:val="center"/>
        <w:rPr>
          <w:rFonts w:hint="default" w:ascii="Times New Roman" w:hAnsi="Times New Roman" w:eastAsia="仿宋_GB2312" w:cs="Times New Roman"/>
          <w:kern w:val="0"/>
          <w:sz w:val="30"/>
          <w:szCs w:val="30"/>
        </w:rPr>
      </w:pPr>
    </w:p>
    <w:p w14:paraId="448ABDFB">
      <w:pPr>
        <w:spacing w:line="540" w:lineRule="exact"/>
        <w:rPr>
          <w:rFonts w:hint="default" w:ascii="Times New Roman" w:hAnsi="Times New Roman" w:eastAsia="仿宋_GB2312" w:cs="Times New Roman"/>
          <w:kern w:val="0"/>
          <w:sz w:val="30"/>
          <w:szCs w:val="30"/>
        </w:rPr>
      </w:pPr>
    </w:p>
    <w:p w14:paraId="22B34325">
      <w:pPr>
        <w:spacing w:line="700" w:lineRule="exact"/>
        <w:ind w:firstLine="1440" w:firstLineChars="4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项目名称：昌州财农[2023]58号碧流河镇西戈壁村四五六组村容村貌改造提升项目</w:t>
      </w:r>
    </w:p>
    <w:p w14:paraId="59DC3B51">
      <w:pPr>
        <w:spacing w:line="700" w:lineRule="exact"/>
        <w:ind w:firstLine="1440" w:firstLineChars="400"/>
        <w:jc w:val="left"/>
        <w:rPr>
          <w:rFonts w:hint="eastAsia" w:ascii="仿宋_GB2312" w:hAnsi="仿宋_GB2312" w:eastAsia="仿宋_GB2312" w:cs="仿宋_GB2312"/>
          <w:kern w:val="0"/>
          <w:sz w:val="36"/>
          <w:szCs w:val="36"/>
          <w:highlight w:val="none"/>
        </w:rPr>
      </w:pPr>
      <w:r>
        <w:rPr>
          <w:rFonts w:hint="eastAsia" w:ascii="仿宋_GB2312" w:hAnsi="仿宋_GB2312" w:eastAsia="仿宋_GB2312" w:cs="仿宋_GB2312"/>
          <w:kern w:val="0"/>
          <w:sz w:val="36"/>
          <w:szCs w:val="36"/>
        </w:rPr>
        <w:t>实施单位（公章）：</w:t>
      </w:r>
      <w:r>
        <w:rPr>
          <w:rFonts w:hint="eastAsia" w:ascii="仿宋_GB2312" w:hAnsi="仿宋_GB2312" w:eastAsia="仿宋_GB2312" w:cs="仿宋_GB2312"/>
          <w:kern w:val="0"/>
          <w:sz w:val="36"/>
          <w:szCs w:val="36"/>
          <w:highlight w:val="none"/>
        </w:rPr>
        <w:t>奇台县碧流河镇人民政府</w:t>
      </w:r>
    </w:p>
    <w:p w14:paraId="49EB363E">
      <w:pPr>
        <w:spacing w:line="700" w:lineRule="exact"/>
        <w:ind w:firstLine="1440" w:firstLineChars="400"/>
        <w:jc w:val="left"/>
        <w:rPr>
          <w:rFonts w:hint="eastAsia" w:ascii="仿宋_GB2312" w:hAnsi="仿宋_GB2312" w:eastAsia="仿宋_GB2312" w:cs="仿宋_GB2312"/>
          <w:kern w:val="0"/>
          <w:sz w:val="36"/>
          <w:szCs w:val="36"/>
          <w:highlight w:val="none"/>
        </w:rPr>
      </w:pPr>
      <w:r>
        <w:rPr>
          <w:rFonts w:hint="eastAsia" w:ascii="仿宋_GB2312" w:hAnsi="仿宋_GB2312" w:eastAsia="仿宋_GB2312" w:cs="仿宋_GB2312"/>
          <w:kern w:val="0"/>
          <w:sz w:val="36"/>
          <w:szCs w:val="36"/>
          <w:highlight w:val="none"/>
        </w:rPr>
        <w:t>主管部门（公章）：奇台县碧流河镇人民政府</w:t>
      </w:r>
    </w:p>
    <w:p w14:paraId="1EB21D47">
      <w:pPr>
        <w:spacing w:line="700" w:lineRule="exact"/>
        <w:ind w:firstLine="1440" w:firstLineChars="400"/>
        <w:jc w:val="left"/>
        <w:rPr>
          <w:rFonts w:hint="eastAsia" w:ascii="仿宋_GB2312" w:hAnsi="仿宋_GB2312" w:eastAsia="仿宋_GB2312" w:cs="仿宋_GB2312"/>
          <w:kern w:val="0"/>
          <w:sz w:val="36"/>
          <w:szCs w:val="36"/>
          <w:highlight w:val="none"/>
          <w:lang w:eastAsia="zh-CN"/>
        </w:rPr>
      </w:pPr>
      <w:r>
        <w:rPr>
          <w:rFonts w:hint="eastAsia" w:ascii="仿宋_GB2312" w:hAnsi="仿宋_GB2312" w:eastAsia="仿宋_GB2312" w:cs="仿宋_GB2312"/>
          <w:kern w:val="0"/>
          <w:sz w:val="36"/>
          <w:szCs w:val="36"/>
          <w:highlight w:val="none"/>
        </w:rPr>
        <w:t>项目负责人（签章）：</w:t>
      </w:r>
      <w:r>
        <w:rPr>
          <w:rFonts w:hint="eastAsia" w:ascii="仿宋_GB2312" w:hAnsi="仿宋_GB2312" w:eastAsia="仿宋_GB2312" w:cs="仿宋_GB2312"/>
          <w:kern w:val="0"/>
          <w:sz w:val="36"/>
          <w:szCs w:val="36"/>
          <w:highlight w:val="none"/>
          <w:lang w:val="en-US" w:eastAsia="zh-CN"/>
        </w:rPr>
        <w:t>王莎</w:t>
      </w:r>
    </w:p>
    <w:p w14:paraId="36100A78">
      <w:pPr>
        <w:spacing w:line="700" w:lineRule="exact"/>
        <w:ind w:firstLine="1440" w:firstLineChars="400"/>
        <w:jc w:val="left"/>
        <w:rPr>
          <w:rFonts w:hint="eastAsia" w:ascii="仿宋_GB2312" w:hAnsi="仿宋_GB2312" w:eastAsia="仿宋_GB2312" w:cs="仿宋_GB2312"/>
          <w:kern w:val="0"/>
          <w:sz w:val="36"/>
          <w:szCs w:val="36"/>
          <w:highlight w:val="none"/>
        </w:rPr>
      </w:pPr>
      <w:r>
        <w:rPr>
          <w:rFonts w:hint="eastAsia" w:ascii="仿宋_GB2312" w:hAnsi="仿宋_GB2312" w:eastAsia="仿宋_GB2312" w:cs="仿宋_GB2312"/>
          <w:kern w:val="0"/>
          <w:sz w:val="36"/>
          <w:szCs w:val="36"/>
          <w:highlight w:val="none"/>
        </w:rPr>
        <w:t>填报时间：</w:t>
      </w:r>
      <w:r>
        <w:rPr>
          <w:rFonts w:hint="eastAsia" w:ascii="仿宋_GB2312" w:hAnsi="仿宋_GB2312" w:eastAsia="仿宋_GB2312" w:cs="仿宋_GB2312"/>
          <w:kern w:val="0"/>
          <w:sz w:val="36"/>
          <w:szCs w:val="36"/>
          <w:highlight w:val="none"/>
          <w:lang w:val="en-US" w:eastAsia="zh-CN"/>
        </w:rPr>
        <w:t>2025</w:t>
      </w:r>
      <w:r>
        <w:rPr>
          <w:rFonts w:hint="eastAsia" w:ascii="仿宋_GB2312" w:hAnsi="仿宋_GB2312" w:eastAsia="仿宋_GB2312" w:cs="仿宋_GB2312"/>
          <w:kern w:val="0"/>
          <w:sz w:val="36"/>
          <w:szCs w:val="36"/>
          <w:highlight w:val="none"/>
        </w:rPr>
        <w:t>年</w:t>
      </w:r>
      <w:r>
        <w:rPr>
          <w:rFonts w:hint="eastAsia" w:ascii="仿宋_GB2312" w:hAnsi="仿宋_GB2312" w:eastAsia="仿宋_GB2312" w:cs="仿宋_GB2312"/>
          <w:kern w:val="0"/>
          <w:sz w:val="36"/>
          <w:szCs w:val="36"/>
          <w:highlight w:val="none"/>
          <w:lang w:val="en-US" w:eastAsia="zh-CN"/>
        </w:rPr>
        <w:t>5</w:t>
      </w:r>
      <w:r>
        <w:rPr>
          <w:rFonts w:hint="eastAsia" w:ascii="仿宋_GB2312" w:hAnsi="仿宋_GB2312" w:eastAsia="仿宋_GB2312" w:cs="仿宋_GB2312"/>
          <w:kern w:val="0"/>
          <w:sz w:val="36"/>
          <w:szCs w:val="36"/>
          <w:highlight w:val="none"/>
        </w:rPr>
        <w:t>月</w:t>
      </w:r>
      <w:r>
        <w:rPr>
          <w:rFonts w:hint="eastAsia" w:ascii="仿宋_GB2312" w:hAnsi="仿宋_GB2312" w:eastAsia="仿宋_GB2312" w:cs="仿宋_GB2312"/>
          <w:kern w:val="0"/>
          <w:sz w:val="36"/>
          <w:szCs w:val="36"/>
          <w:highlight w:val="none"/>
          <w:lang w:val="en-US" w:eastAsia="zh-CN"/>
        </w:rPr>
        <w:t>6</w:t>
      </w:r>
      <w:r>
        <w:rPr>
          <w:rFonts w:hint="eastAsia" w:ascii="仿宋_GB2312" w:hAnsi="仿宋_GB2312" w:eastAsia="仿宋_GB2312" w:cs="仿宋_GB2312"/>
          <w:kern w:val="0"/>
          <w:sz w:val="36"/>
          <w:szCs w:val="36"/>
          <w:highlight w:val="none"/>
        </w:rPr>
        <w:t>日</w:t>
      </w:r>
    </w:p>
    <w:p w14:paraId="2D9F36D8">
      <w:pPr>
        <w:spacing w:line="540" w:lineRule="exact"/>
        <w:jc w:val="center"/>
        <w:rPr>
          <w:rFonts w:hint="eastAsia" w:ascii="仿宋_GB2312" w:hAnsi="仿宋_GB2312" w:eastAsia="仿宋_GB2312" w:cs="仿宋_GB2312"/>
          <w:kern w:val="0"/>
          <w:sz w:val="30"/>
          <w:szCs w:val="30"/>
          <w:highlight w:val="none"/>
        </w:rPr>
      </w:pPr>
    </w:p>
    <w:p w14:paraId="6B6503D5">
      <w:pPr>
        <w:spacing w:line="540" w:lineRule="exact"/>
        <w:rPr>
          <w:rStyle w:val="16"/>
          <w:rFonts w:hint="default" w:ascii="Times New Roman" w:hAnsi="Times New Roman" w:eastAsia="黑体" w:cs="Times New Roman"/>
          <w:b w:val="0"/>
          <w:spacing w:val="-4"/>
          <w:sz w:val="32"/>
          <w:szCs w:val="32"/>
          <w:highlight w:val="none"/>
        </w:rPr>
      </w:pPr>
    </w:p>
    <w:p w14:paraId="49DF1DDB">
      <w:pPr>
        <w:spacing w:line="540" w:lineRule="exact"/>
        <w:ind w:firstLine="640"/>
        <w:rPr>
          <w:rStyle w:val="16"/>
          <w:rFonts w:hint="default" w:ascii="Times New Roman" w:hAnsi="Times New Roman" w:eastAsia="黑体" w:cs="Times New Roman"/>
          <w:b w:val="0"/>
          <w:spacing w:val="-4"/>
          <w:sz w:val="32"/>
          <w:szCs w:val="32"/>
        </w:rPr>
      </w:pPr>
    </w:p>
    <w:p w14:paraId="62504025">
      <w:pPr>
        <w:spacing w:line="540" w:lineRule="exact"/>
        <w:rPr>
          <w:rStyle w:val="16"/>
          <w:rFonts w:hint="default" w:ascii="Times New Roman" w:hAnsi="Times New Roman" w:eastAsia="黑体" w:cs="Times New Roman"/>
          <w:b w:val="0"/>
          <w:spacing w:val="-4"/>
          <w:sz w:val="32"/>
          <w:szCs w:val="32"/>
        </w:rPr>
      </w:pPr>
    </w:p>
    <w:p w14:paraId="61944119">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70F3DDF2">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058A99AB">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65650E4D">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val="en-US" w:eastAsia="zh-CN"/>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14:paraId="2D64E400">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随着乡村振兴战略的深入推进，农村基础设施建设和民生改善成为各级政府工作的重点方向。近年来，国家及地方层面相继出台《“十四五”推进农业农村现代化规划》《关于全面推进乡村振兴加快农业农村现代化的意见》《农村人居环境整治提升五年行动方案》等政策文件，明确提出要优化农村人居环境、完善公共照明设施、提升农村公共服务水平，切实增强农民群众的获得感、幸福感和安全感。</w:t>
      </w:r>
    </w:p>
    <w:p w14:paraId="65955D9F">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经实地调研发现，西戈壁村村内主干道、巷道及公共活动区域照明设施严重不足。夜间照明缺失导致村民出行不便，交通事故和治安事件发生率较高，尤其对老人、儿童及晚归务农的村民构成安全隐患。此外，村内文化广场、健身场地等公共区域因缺乏照明，难以开展夜间文娱活动，制约了乡村文化振兴和村民生活品质提升。村民多次通过村委会议、联名信等方式呼吁完善照明设施，需求迫切。</w:t>
      </w:r>
    </w:p>
    <w:p w14:paraId="33C1DF56">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完善的照明设施是农村现代化的重要标志。项目建成后，将延长村民夜间活动时间，促进广场舞、文化演出等公共活动开展，丰富乡村精神文化生活，推动乡风文明建设，预计直接受益村民超236户，夜间照明时段交通事故率可下降60%以上，村民满意度提升显著。同时，太阳能绿化路灯的应用每年可减少碳排放，助力“双碳”目标实现。长远来看，完善的照明设施将增强村庄吸引力，为农副产品运输、电商物流等产业发展提供便利条件，进一步激活乡村经济活力。  </w:t>
      </w:r>
    </w:p>
    <w:p w14:paraId="0ABBCF71">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Style w:val="16"/>
          <w:rFonts w:hint="eastAsia" w:ascii="仿宋_GB2312" w:hAnsi="仿宋_GB2312" w:eastAsia="仿宋_GB2312" w:cs="仿宋_GB2312"/>
          <w:b w:val="0"/>
          <w:bCs/>
          <w:spacing w:val="-4"/>
          <w:sz w:val="32"/>
          <w:szCs w:val="32"/>
          <w:highlight w:val="none"/>
          <w:lang w:eastAsia="zh-CN"/>
        </w:rPr>
      </w:pPr>
      <w:r>
        <w:rPr>
          <w:rFonts w:hint="eastAsia" w:ascii="仿宋_GB2312" w:hAnsi="仿宋_GB2312" w:eastAsia="仿宋_GB2312" w:cs="仿宋_GB2312"/>
          <w:sz w:val="32"/>
          <w:szCs w:val="32"/>
          <w:highlight w:val="none"/>
          <w:lang w:val="en-US" w:eastAsia="zh-CN"/>
        </w:rPr>
        <w:t>在此背景下，旨在通过科学规划和合理投资，解决村民夜间出行难、安全隐患多等问题，进一步推动美丽乡村建设，助力城乡融合发展。碧流河镇西戈壁村四五六组村容村貌改造提升项目的建设是贯彻“以人民为中心”发展理念的具体实践，也是补齐农村基础设施短板的关键举措。为建设碧流河镇美丽乡村，推进生态文明建设，完善西戈壁村居住条件、提升乡村综合实力、改善人居环境、促进经济旅游发展、提高政府公信力等多方面起到积极作用，对西戈壁村居住集中的四五六组安装太阳能绿化路灯，改善夜间生活环境，方便居民出行，达到提高村民的生活质量的效果。通过科学规划与精准投入，项目不仅能够解决村民急难愁盼问题，更将为构建宜居宜业和美乡村注入持久动力，成为政府惠民工程的示范样板。</w:t>
      </w:r>
    </w:p>
    <w:p w14:paraId="5A78C7DC">
      <w:pPr>
        <w:pStyle w:val="10"/>
        <w:keepNext w:val="0"/>
        <w:keepLines w:val="0"/>
        <w:pageBreakBefore w:val="0"/>
        <w:numPr>
          <w:ilvl w:val="0"/>
          <w:numId w:val="0"/>
        </w:numPr>
        <w:kinsoku/>
        <w:wordWrap/>
        <w:overflowPunct/>
        <w:topLinePunct w:val="0"/>
        <w:autoSpaceDE/>
        <w:autoSpaceDN/>
        <w:bidi w:val="0"/>
        <w:adjustRightInd/>
        <w:snapToGrid/>
        <w:spacing w:before="0" w:after="0" w:line="520" w:lineRule="exact"/>
        <w:ind w:firstLine="640" w:firstLineChars="200"/>
        <w:jc w:val="both"/>
        <w:textAlignment w:val="auto"/>
        <w:rPr>
          <w:rFonts w:hint="default"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根据《关于提前下达2024年中央农村综合改革转移支付预算的通知》（昌州财农﹝2023﹞58号）文件精神，推进实施项目“西戈壁村四五六组村容村貌改造提升项目”的建设。</w:t>
      </w:r>
    </w:p>
    <w:p w14:paraId="46DB508C">
      <w:pPr>
        <w:pStyle w:val="10"/>
        <w:keepNext w:val="0"/>
        <w:keepLines w:val="0"/>
        <w:pageBreakBefore w:val="0"/>
        <w:numPr>
          <w:ilvl w:val="0"/>
          <w:numId w:val="0"/>
        </w:numPr>
        <w:kinsoku/>
        <w:wordWrap/>
        <w:overflowPunct/>
        <w:topLinePunct w:val="0"/>
        <w:autoSpaceDE/>
        <w:autoSpaceDN/>
        <w:bidi w:val="0"/>
        <w:adjustRightInd/>
        <w:snapToGrid/>
        <w:spacing w:before="0" w:after="0" w:line="520" w:lineRule="exact"/>
        <w:ind w:firstLine="643" w:firstLineChars="200"/>
        <w:jc w:val="both"/>
        <w:textAlignment w:val="auto"/>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rPr>
        <w:t>2.</w:t>
      </w:r>
      <w:r>
        <w:rPr>
          <w:rFonts w:hint="default" w:ascii="Times New Roman" w:hAnsi="Times New Roman" w:eastAsia="仿宋_GB2312" w:cs="Times New Roman"/>
          <w:kern w:val="2"/>
          <w:sz w:val="32"/>
          <w:szCs w:val="32"/>
        </w:rPr>
        <w:t>项目主要内容：</w:t>
      </w:r>
    </w:p>
    <w:p w14:paraId="678EC51B">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项目主要内容：对碧流河镇西戈壁村居住集中的四五六组安装太阳能亮化路灯共计160盏。</w:t>
      </w:r>
    </w:p>
    <w:p w14:paraId="57844BE7">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项目实施情况：截止2024年12月31日，该项目实际完成安装路灯数量200盏,项目竣工验收合格率达到100%,项目按计划开工时间达100%,项目按计划完工时间达到100%，安装路灯受益户数236户,群众满意度达到90%以上。</w:t>
      </w:r>
    </w:p>
    <w:p w14:paraId="1D0823DC">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14:paraId="5A63CEFC">
      <w:pPr>
        <w:keepNext w:val="0"/>
        <w:keepLines w:val="0"/>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（1）资金投入情况</w:t>
      </w:r>
    </w:p>
    <w:p w14:paraId="06C90112">
      <w:pPr>
        <w:keepNext w:val="0"/>
        <w:keepLines w:val="0"/>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该项目年初预算数45万元，全年预算数45万元，该项目资金已全部落实到位，资金来源为财政拨款。</w:t>
      </w:r>
    </w:p>
    <w:p w14:paraId="50A14527">
      <w:pPr>
        <w:keepNext w:val="0"/>
        <w:keepLines w:val="0"/>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14:paraId="0BCBBB08">
      <w:pPr>
        <w:keepNext w:val="0"/>
        <w:keepLines w:val="0"/>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该项目年初预算数45万元，全年预算数45万元，，全年执行数44.95万元，预算执行率为99.89%，主要用于：西戈壁村居住集中的四五六组太阳能绿化路灯安装。</w:t>
      </w:r>
    </w:p>
    <w:p w14:paraId="742C47ED">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14:paraId="072DF5BF">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b/>
          <w:bCs/>
          <w:sz w:val="32"/>
          <w:szCs w:val="32"/>
          <w:highlight w:val="none"/>
          <w:lang w:val="en-US" w:eastAsia="zh-CN"/>
        </w:rPr>
        <w:t>.</w:t>
      </w:r>
      <w:r>
        <w:rPr>
          <w:rFonts w:hint="eastAsia" w:ascii="仿宋_GB2312" w:hAnsi="仿宋_GB2312" w:eastAsia="仿宋_GB2312" w:cs="仿宋_GB2312"/>
          <w:sz w:val="32"/>
          <w:szCs w:val="32"/>
          <w:highlight w:val="none"/>
        </w:rPr>
        <w:t>总体目标</w:t>
      </w:r>
    </w:p>
    <w:p w14:paraId="7E6B54CB">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根据昌州财农[2023]58号文碧流河镇西戈壁村四五六组村容村貌改造提升项目内容，对西戈壁村居住集中的四五六组安装太阳能绿化路灯，预计受益人群236户，816人。此项目的实施有效改善群众夜间生活环境，方便居民出行，达到提高村民生活质量的效果。</w:t>
      </w:r>
    </w:p>
    <w:p w14:paraId="6659900C">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FF0000"/>
          <w:sz w:val="32"/>
          <w:szCs w:val="32"/>
          <w:highlight w:val="none"/>
          <w:lang w:val="en-US" w:eastAsia="zh-CN"/>
        </w:rPr>
      </w:pP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b/>
          <w:bCs/>
          <w:sz w:val="32"/>
          <w:szCs w:val="32"/>
          <w:highlight w:val="none"/>
          <w:lang w:val="en-US" w:eastAsia="zh-CN"/>
        </w:rPr>
        <w:t>.</w:t>
      </w:r>
      <w:r>
        <w:rPr>
          <w:rFonts w:hint="eastAsia" w:ascii="仿宋_GB2312" w:hAnsi="仿宋_GB2312" w:eastAsia="仿宋_GB2312" w:cs="仿宋_GB2312"/>
          <w:sz w:val="32"/>
          <w:szCs w:val="32"/>
          <w:highlight w:val="none"/>
        </w:rPr>
        <w:t>阶段性目标</w:t>
      </w:r>
    </w:p>
    <w:p w14:paraId="3DCC602F">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对西戈壁村居住集中的四五六组安装太阳能绿化路灯，预计受益人群236户，816人，2024年底完成项目验收。此项目的实施有效改善群众夜间生活环境，方便居民出行，达到提高村民生活质量的效果。</w:t>
      </w:r>
    </w:p>
    <w:p w14:paraId="098A8790">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14:paraId="2FE36848">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14:paraId="54786A2C">
      <w:pPr>
        <w:pStyle w:val="10"/>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1.绩效评价完整性</w:t>
      </w:r>
    </w:p>
    <w:p w14:paraId="20339384">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碧流河镇西戈壁村四五六组村容村貌改造提升项目预算绩效评价报告在编制过程中，严格遵循相关法规与标准，确保评价内容的全面性与准确性。报告涵盖了项目从预算编制、执行到完成的全过程，对项目的各项绩效指标进行了细致的梳理与评估。</w:t>
      </w:r>
    </w:p>
    <w:p w14:paraId="69C7A4C6">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在评价指标体系的构建上，充分考虑了项目的性质、目标以及预期成果，选取了具有代表性和可衡量性的关键指标，涵盖了数量、质量、经济成本、生态效益等多个维度，力求全方位反映项目的绩效状况。同时，对于每个指标的评价标准和数据来源均进行了明确说明，确保评价结果的客观性和可追溯性。</w:t>
      </w:r>
    </w:p>
    <w:p w14:paraId="4BE8DD8C">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60CB8EFC">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68755485">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63D8EAD5">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绩效评价的目的</w:t>
      </w:r>
    </w:p>
    <w:p w14:paraId="6796934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（1）评估项目实施效果</w:t>
      </w:r>
    </w:p>
    <w:p w14:paraId="3FA959F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通过对项目预算执行情况及各项绩效目标达成程度的系统性分析，全面、客观地评估项目在预定周期内的实施效果，包括</w:t>
      </w:r>
      <w:r>
        <w:rPr>
          <w:rFonts w:hint="eastAsia" w:ascii="仿宋_GB2312" w:hAnsi="仿宋_GB2312" w:eastAsia="仿宋_GB2312" w:cs="仿宋_GB2312"/>
          <w:sz w:val="32"/>
          <w:szCs w:val="32"/>
          <w:highlight w:val="none"/>
          <w:lang w:val="en-US" w:eastAsia="zh-CN"/>
        </w:rPr>
        <w:t>数量、质量、时效、经济成本、社会效益、满意度</w:t>
      </w:r>
      <w:r>
        <w:rPr>
          <w:rFonts w:hint="eastAsia" w:ascii="仿宋_GB2312" w:hAnsi="仿宋_GB2312" w:eastAsia="仿宋_GB2312" w:cs="仿宋_GB2312"/>
          <w:sz w:val="32"/>
          <w:szCs w:val="32"/>
          <w:highlight w:val="none"/>
        </w:rPr>
        <w:t>等多维度指标，为项目后续的改进与优化提供科学依据。</w:t>
      </w:r>
    </w:p>
    <w:p w14:paraId="20C0F48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（2）提升资源利用效率</w:t>
      </w:r>
    </w:p>
    <w:p w14:paraId="74C8392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6E9F9D8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（3）强化项目管理责任</w:t>
      </w:r>
    </w:p>
    <w:p w14:paraId="334B00E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4833165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（4）为决策提供支持</w:t>
      </w:r>
    </w:p>
    <w:p w14:paraId="02AB937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5ED9CBC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（5）促进项目持续改进</w:t>
      </w:r>
    </w:p>
    <w:p w14:paraId="237743C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1F718E2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1178004D">
      <w:pPr>
        <w:pStyle w:val="10"/>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3</w:t>
      </w:r>
      <w:r>
        <w:rPr>
          <w:rFonts w:hint="eastAsia" w:ascii="仿宋_GB2312" w:hAnsi="仿宋_GB2312" w:eastAsia="仿宋_GB2312" w:cs="仿宋_GB2312"/>
          <w:b/>
          <w:bCs/>
          <w:sz w:val="32"/>
          <w:szCs w:val="32"/>
          <w:highlight w:val="none"/>
          <w:lang w:val="en-US" w:eastAsia="zh-CN"/>
        </w:rPr>
        <w:t>.</w:t>
      </w:r>
      <w:r>
        <w:rPr>
          <w:rFonts w:hint="eastAsia" w:ascii="仿宋_GB2312" w:hAnsi="仿宋_GB2312" w:eastAsia="仿宋_GB2312" w:cs="仿宋_GB2312"/>
          <w:b w:val="0"/>
          <w:bCs w:val="0"/>
          <w:sz w:val="32"/>
          <w:szCs w:val="32"/>
          <w:highlight w:val="none"/>
        </w:rPr>
        <w:t>绩效评价的对象</w:t>
      </w:r>
    </w:p>
    <w:p w14:paraId="797F3F47">
      <w:pPr>
        <w:pStyle w:val="10"/>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本项目预算绩效评价报告的评价对象是昌州财农[2023]58号碧流河镇西戈壁村四五六组村容村貌改造提升项目及其预算执行情况。该项目由</w:t>
      </w:r>
      <w:r>
        <w:rPr>
          <w:rFonts w:hint="eastAsia" w:ascii="仿宋_GB2312" w:hAnsi="仿宋_GB2312" w:eastAsia="仿宋_GB2312" w:cs="仿宋_GB2312"/>
          <w:b w:val="0"/>
          <w:bCs w:val="0"/>
          <w:sz w:val="32"/>
          <w:szCs w:val="32"/>
          <w:highlight w:val="none"/>
          <w:lang w:val="en-US" w:eastAsia="zh-CN"/>
        </w:rPr>
        <w:t>奇台县碧流河镇人民政府</w:t>
      </w:r>
      <w:r>
        <w:rPr>
          <w:rFonts w:hint="eastAsia" w:ascii="仿宋_GB2312" w:hAnsi="仿宋_GB2312" w:eastAsia="仿宋_GB2312" w:cs="仿宋_GB2312"/>
          <w:b w:val="0"/>
          <w:bCs w:val="0"/>
          <w:sz w:val="32"/>
          <w:szCs w:val="32"/>
          <w:highlight w:val="none"/>
        </w:rPr>
        <w:t>负责实施，旨在对西戈壁村居住集中的四五六组安装太阳能绿化路灯</w:t>
      </w:r>
      <w:r>
        <w:rPr>
          <w:rFonts w:hint="eastAsia" w:ascii="仿宋_GB2312" w:hAnsi="仿宋_GB2312" w:eastAsia="仿宋_GB2312" w:cs="仿宋_GB2312"/>
          <w:b w:val="0"/>
          <w:bCs w:val="0"/>
          <w:sz w:val="32"/>
          <w:szCs w:val="32"/>
          <w:highlight w:val="none"/>
          <w:lang w:val="en-US" w:eastAsia="zh-CN"/>
        </w:rPr>
        <w:t>160盏</w:t>
      </w:r>
      <w:r>
        <w:rPr>
          <w:rFonts w:hint="eastAsia" w:ascii="仿宋_GB2312" w:hAnsi="仿宋_GB2312" w:eastAsia="仿宋_GB2312" w:cs="仿宋_GB2312"/>
          <w:b w:val="0"/>
          <w:bCs w:val="0"/>
          <w:sz w:val="32"/>
          <w:szCs w:val="32"/>
          <w:highlight w:val="none"/>
        </w:rPr>
        <w:t>，预计受益人群236户，816人</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有效改善群众夜间生活环境，方便居民出行，达到提高村民生活质量的效果。项目预算涵盖从</w:t>
      </w:r>
      <w:r>
        <w:rPr>
          <w:rFonts w:hint="eastAsia" w:ascii="仿宋_GB2312" w:hAnsi="仿宋_GB2312" w:eastAsia="仿宋_GB2312" w:cs="仿宋_GB2312"/>
          <w:b w:val="0"/>
          <w:bCs w:val="0"/>
          <w:sz w:val="32"/>
          <w:szCs w:val="32"/>
          <w:highlight w:val="none"/>
          <w:lang w:val="en-US" w:eastAsia="zh-CN"/>
        </w:rPr>
        <w:t>2024年1月1日</w:t>
      </w:r>
      <w:r>
        <w:rPr>
          <w:rFonts w:hint="eastAsia" w:ascii="仿宋_GB2312" w:hAnsi="仿宋_GB2312" w:eastAsia="仿宋_GB2312" w:cs="仿宋_GB2312"/>
          <w:b w:val="0"/>
          <w:bCs w:val="0"/>
          <w:sz w:val="32"/>
          <w:szCs w:val="32"/>
          <w:highlight w:val="none"/>
        </w:rPr>
        <w:t>至</w:t>
      </w:r>
      <w:r>
        <w:rPr>
          <w:rFonts w:hint="eastAsia" w:ascii="仿宋_GB2312" w:hAnsi="仿宋_GB2312" w:eastAsia="仿宋_GB2312" w:cs="仿宋_GB2312"/>
          <w:b w:val="0"/>
          <w:bCs w:val="0"/>
          <w:sz w:val="32"/>
          <w:szCs w:val="32"/>
          <w:highlight w:val="none"/>
          <w:lang w:val="en-US" w:eastAsia="zh-CN"/>
        </w:rPr>
        <w:t>2024年12月31日</w:t>
      </w:r>
      <w:r>
        <w:rPr>
          <w:rFonts w:hint="eastAsia" w:ascii="仿宋_GB2312" w:hAnsi="仿宋_GB2312" w:eastAsia="仿宋_GB2312" w:cs="仿宋_GB2312"/>
          <w:b w:val="0"/>
          <w:bCs w:val="0"/>
          <w:sz w:val="32"/>
          <w:szCs w:val="32"/>
          <w:highlight w:val="none"/>
        </w:rPr>
        <w:t>的全部资金投入与支出，涉及资金总额为</w:t>
      </w:r>
      <w:r>
        <w:rPr>
          <w:rFonts w:hint="eastAsia" w:ascii="仿宋_GB2312" w:hAnsi="仿宋_GB2312" w:eastAsia="仿宋_GB2312" w:cs="仿宋_GB2312"/>
          <w:b w:val="0"/>
          <w:bCs w:val="0"/>
          <w:sz w:val="32"/>
          <w:szCs w:val="32"/>
          <w:highlight w:val="none"/>
          <w:lang w:val="en-US" w:eastAsia="zh-CN"/>
        </w:rPr>
        <w:t>45万</w:t>
      </w:r>
      <w:r>
        <w:rPr>
          <w:rFonts w:hint="eastAsia" w:ascii="仿宋_GB2312" w:hAnsi="仿宋_GB2312" w:eastAsia="仿宋_GB2312" w:cs="仿宋_GB2312"/>
          <w:b w:val="0"/>
          <w:bCs w:val="0"/>
          <w:sz w:val="32"/>
          <w:szCs w:val="32"/>
          <w:highlight w:val="none"/>
        </w:rPr>
        <w:t>元。</w:t>
      </w:r>
    </w:p>
    <w:p w14:paraId="0AB344E9">
      <w:pPr>
        <w:pStyle w:val="10"/>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rPr>
        <w:t>绩效评价的范围</w:t>
      </w:r>
    </w:p>
    <w:p w14:paraId="1B8F57DD">
      <w:pPr>
        <w:pStyle w:val="10"/>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35881897">
      <w:pPr>
        <w:pStyle w:val="10"/>
        <w:keepNext w:val="0"/>
        <w:keepLines w:val="0"/>
        <w:pageBreakBefore w:val="0"/>
        <w:widowControl w:val="0"/>
        <w:numPr>
          <w:ilvl w:val="0"/>
          <w:numId w:val="1"/>
        </w:numPr>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39E18484">
      <w:pPr>
        <w:pStyle w:val="10"/>
        <w:keepNext w:val="0"/>
        <w:keepLines w:val="0"/>
        <w:pageBreakBefore w:val="0"/>
        <w:widowControl w:val="0"/>
        <w:numPr>
          <w:ilvl w:val="0"/>
          <w:numId w:val="1"/>
        </w:numPr>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14:paraId="420B9C2F">
      <w:pPr>
        <w:pStyle w:val="10"/>
        <w:keepNext w:val="0"/>
        <w:keepLines w:val="0"/>
        <w:pageBreakBefore w:val="0"/>
        <w:widowControl w:val="0"/>
        <w:numPr>
          <w:ilvl w:val="0"/>
          <w:numId w:val="1"/>
        </w:numPr>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14:paraId="43A3AFE6">
      <w:pPr>
        <w:pStyle w:val="10"/>
        <w:keepNext w:val="0"/>
        <w:keepLines w:val="0"/>
        <w:pageBreakBefore w:val="0"/>
        <w:widowControl w:val="0"/>
        <w:numPr>
          <w:ilvl w:val="0"/>
          <w:numId w:val="1"/>
        </w:numPr>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社会</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生态等</w:t>
      </w:r>
      <w:r>
        <w:rPr>
          <w:rFonts w:hint="eastAsia" w:ascii="仿宋_GB2312" w:hAnsi="仿宋_GB2312" w:eastAsia="仿宋_GB2312" w:cs="仿宋_GB2312"/>
          <w:b w:val="0"/>
          <w:bCs w:val="0"/>
          <w:sz w:val="32"/>
          <w:szCs w:val="32"/>
          <w:highlight w:val="none"/>
        </w:rPr>
        <w:t>影响：考察项目对社会、</w:t>
      </w:r>
      <w:r>
        <w:rPr>
          <w:rFonts w:hint="eastAsia" w:ascii="仿宋_GB2312" w:hAnsi="仿宋_GB2312" w:eastAsia="仿宋_GB2312" w:cs="仿宋_GB2312"/>
          <w:b w:val="0"/>
          <w:bCs w:val="0"/>
          <w:sz w:val="32"/>
          <w:szCs w:val="32"/>
          <w:highlight w:val="none"/>
          <w:lang w:val="en-US" w:eastAsia="zh-CN"/>
        </w:rPr>
        <w:t>生态</w:t>
      </w:r>
      <w:r>
        <w:rPr>
          <w:rFonts w:hint="eastAsia" w:ascii="仿宋_GB2312" w:hAnsi="仿宋_GB2312" w:eastAsia="仿宋_GB2312" w:cs="仿宋_GB2312"/>
          <w:b w:val="0"/>
          <w:bCs w:val="0"/>
          <w:sz w:val="32"/>
          <w:szCs w:val="32"/>
          <w:highlight w:val="none"/>
        </w:rPr>
        <w:t>、经济等方面的综合影响。</w:t>
      </w:r>
    </w:p>
    <w:p w14:paraId="7DC898B3">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cs="Times New Roman"/>
          <w:sz w:val="32"/>
          <w:szCs w:val="32"/>
        </w:rPr>
      </w:pPr>
      <w:r>
        <w:rPr>
          <w:rFonts w:hint="default" w:ascii="Times New Roman" w:hAnsi="Times New Roman" w:eastAsia="楷体_GB2312" w:cs="Times New Roman"/>
          <w:b/>
          <w:bCs/>
          <w:sz w:val="32"/>
          <w:szCs w:val="32"/>
          <w:highlight w:val="none"/>
        </w:rPr>
        <w:t>（二）绩效评价原则、评价指标体系</w:t>
      </w:r>
      <w:r>
        <w:rPr>
          <w:rFonts w:hint="default" w:ascii="Times New Roman" w:hAnsi="Times New Roman" w:eastAsia="楷体_GB2312" w:cs="Times New Roman"/>
          <w:b/>
          <w:bCs/>
          <w:sz w:val="32"/>
          <w:szCs w:val="32"/>
        </w:rPr>
        <w:t>（详情见表1）、评价方法、评价标准。</w:t>
      </w:r>
    </w:p>
    <w:p w14:paraId="660D193A">
      <w:pPr>
        <w:pStyle w:val="10"/>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val="0"/>
          <w:bCs w:val="0"/>
          <w:sz w:val="32"/>
          <w:szCs w:val="32"/>
        </w:rPr>
        <w:t>绩效评价原则</w:t>
      </w:r>
    </w:p>
    <w:p w14:paraId="24F32F22">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14:paraId="45E0684B">
      <w:pPr>
        <w:pStyle w:val="10"/>
        <w:keepNext w:val="0"/>
        <w:keepLines w:val="0"/>
        <w:pageBreakBefore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（1）科学公正。绩效评价应当运用科学合理的方法，按照规范的程序，对项目绩效进行客观、公正的反映。</w:t>
      </w:r>
    </w:p>
    <w:p w14:paraId="50CA6605">
      <w:pPr>
        <w:pStyle w:val="10"/>
        <w:keepNext w:val="0"/>
        <w:keepLines w:val="0"/>
        <w:pageBreakBefore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（2）统筹兼顾。单位自评、部门评价和财政评价应职责明确，各有侧重，相互衔接。单位自评应由项目单位自主实施，即“谁支出、谁自评”。部门评价和财政评价应在单位自评的基础上开展。</w:t>
      </w:r>
    </w:p>
    <w:p w14:paraId="50E05347">
      <w:pPr>
        <w:pStyle w:val="10"/>
        <w:keepNext w:val="0"/>
        <w:keepLines w:val="0"/>
        <w:pageBreakBefore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（3）激励约束。绩效评价结果应与预算安排、政策调整、改进管理实质性挂钩，体现奖优罚劣和激励相容导向，有效要安排、低效要压减、无效要问责。</w:t>
      </w:r>
    </w:p>
    <w:p w14:paraId="643DED6E">
      <w:pPr>
        <w:pStyle w:val="10"/>
        <w:keepNext w:val="0"/>
        <w:keepLines w:val="0"/>
        <w:pageBreakBefore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（4）公开透明。绩效评价结果应依法依规公开，并自觉接受社会监督。</w:t>
      </w:r>
    </w:p>
    <w:p w14:paraId="77195CA3">
      <w:pPr>
        <w:pStyle w:val="10"/>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val="0"/>
          <w:bCs w:val="0"/>
          <w:sz w:val="32"/>
          <w:szCs w:val="32"/>
        </w:rPr>
        <w:t>评价指标体系</w:t>
      </w:r>
    </w:p>
    <w:p w14:paraId="1773AB21">
      <w:pPr>
        <w:keepNext w:val="0"/>
        <w:keepLines w:val="0"/>
        <w:pageBreakBefore w:val="0"/>
        <w:kinsoku/>
        <w:wordWrap/>
        <w:overflowPunct/>
        <w:topLinePunct w:val="0"/>
        <w:autoSpaceDE/>
        <w:autoSpaceDN/>
        <w:bidi w:val="0"/>
        <w:adjustRightInd/>
        <w:snapToGrid/>
        <w:spacing w:line="52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27E45B10">
      <w:pPr>
        <w:keepNext w:val="0"/>
        <w:keepLines w:val="0"/>
        <w:pageBreakBefore w:val="0"/>
        <w:kinsoku/>
        <w:wordWrap/>
        <w:overflowPunct/>
        <w:topLinePunct w:val="0"/>
        <w:autoSpaceDE/>
        <w:autoSpaceDN/>
        <w:bidi w:val="0"/>
        <w:adjustRightInd/>
        <w:snapToGrid/>
        <w:spacing w:line="52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6AC152A5">
      <w:pPr>
        <w:keepNext w:val="0"/>
        <w:keepLines w:val="0"/>
        <w:pageBreakBefore w:val="0"/>
        <w:kinsoku/>
        <w:wordWrap/>
        <w:overflowPunct/>
        <w:topLinePunct w:val="0"/>
        <w:autoSpaceDE/>
        <w:autoSpaceDN/>
        <w:bidi w:val="0"/>
        <w:adjustRightInd/>
        <w:snapToGrid/>
        <w:spacing w:line="52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1F75E336">
      <w:pPr>
        <w:keepNext w:val="0"/>
        <w:keepLines w:val="0"/>
        <w:pageBreakBefore w:val="0"/>
        <w:kinsoku/>
        <w:wordWrap/>
        <w:overflowPunct/>
        <w:topLinePunct w:val="0"/>
        <w:autoSpaceDE/>
        <w:autoSpaceDN/>
        <w:bidi w:val="0"/>
        <w:adjustRightInd/>
        <w:snapToGrid/>
        <w:spacing w:line="52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61D90444">
      <w:pPr>
        <w:keepNext w:val="0"/>
        <w:keepLines w:val="0"/>
        <w:pageBreakBefore w:val="0"/>
        <w:kinsoku/>
        <w:wordWrap/>
        <w:overflowPunct/>
        <w:topLinePunct w:val="0"/>
        <w:autoSpaceDE/>
        <w:autoSpaceDN/>
        <w:bidi w:val="0"/>
        <w:adjustRightInd/>
        <w:snapToGrid/>
        <w:spacing w:line="520" w:lineRule="exact"/>
        <w:ind w:firstLine="708" w:firstLineChars="200"/>
        <w:textAlignment w:val="auto"/>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w:t>
      </w:r>
      <w:r>
        <w:rPr>
          <w:rFonts w:hint="eastAsia" w:ascii="仿宋_GB2312" w:hAnsi="仿宋_GB2312" w:eastAsia="仿宋_GB2312" w:cs="仿宋_GB2312"/>
          <w:color w:val="000000"/>
          <w:spacing w:val="17"/>
          <w:sz w:val="32"/>
          <w:szCs w:val="32"/>
          <w:lang w:val="en-US" w:eastAsia="zh-CN"/>
        </w:rPr>
        <w:t>40</w:t>
      </w:r>
      <w:r>
        <w:rPr>
          <w:rFonts w:hint="eastAsia" w:ascii="仿宋_GB2312" w:hAnsi="仿宋_GB2312" w:eastAsia="仿宋_GB2312" w:cs="仿宋_GB2312"/>
          <w:color w:val="000000"/>
          <w:spacing w:val="17"/>
          <w:sz w:val="32"/>
          <w:szCs w:val="32"/>
        </w:rPr>
        <w:t>分，项目效益权重为</w:t>
      </w:r>
      <w:r>
        <w:rPr>
          <w:rFonts w:hint="eastAsia" w:ascii="仿宋_GB2312" w:hAnsi="仿宋_GB2312" w:eastAsia="仿宋_GB2312" w:cs="仿宋_GB2312"/>
          <w:color w:val="000000"/>
          <w:spacing w:val="17"/>
          <w:sz w:val="32"/>
          <w:szCs w:val="32"/>
          <w:lang w:val="en-US" w:eastAsia="zh-CN"/>
        </w:rPr>
        <w:t>20</w:t>
      </w:r>
      <w:r>
        <w:rPr>
          <w:rFonts w:hint="eastAsia" w:ascii="仿宋_GB2312" w:hAnsi="仿宋_GB2312" w:eastAsia="仿宋_GB2312" w:cs="仿宋_GB2312"/>
          <w:color w:val="000000"/>
          <w:spacing w:val="17"/>
          <w:sz w:val="32"/>
          <w:szCs w:val="32"/>
        </w:rPr>
        <w:t>分。</w:t>
      </w:r>
    </w:p>
    <w:p w14:paraId="1E5A07B0">
      <w:pPr>
        <w:keepNext w:val="0"/>
        <w:keepLines w:val="0"/>
        <w:pageBreakBefore w:val="0"/>
        <w:kinsoku/>
        <w:wordWrap/>
        <w:overflowPunct/>
        <w:topLinePunct w:val="0"/>
        <w:autoSpaceDE/>
        <w:autoSpaceDN/>
        <w:bidi w:val="0"/>
        <w:adjustRightInd/>
        <w:snapToGrid/>
        <w:spacing w:line="52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1564E11B">
      <w:pPr>
        <w:keepNext w:val="0"/>
        <w:keepLines w:val="0"/>
        <w:pageBreakBefore w:val="0"/>
        <w:kinsoku/>
        <w:wordWrap/>
        <w:overflowPunct/>
        <w:topLinePunct w:val="0"/>
        <w:autoSpaceDE/>
        <w:autoSpaceDN/>
        <w:bidi w:val="0"/>
        <w:adjustRightInd/>
        <w:snapToGrid/>
        <w:spacing w:line="520" w:lineRule="exact"/>
        <w:ind w:firstLine="708" w:firstLineChars="200"/>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rPr>
        <w:t>指标</w:t>
      </w:r>
      <w:r>
        <w:rPr>
          <w:rFonts w:hint="eastAsia" w:ascii="仿宋_GB2312" w:hAnsi="仿宋_GB2312" w:eastAsia="仿宋_GB2312" w:cs="仿宋_GB2312"/>
          <w:color w:val="000000"/>
          <w:spacing w:val="17"/>
          <w:sz w:val="32"/>
          <w:szCs w:val="32"/>
          <w:highlight w:val="none"/>
        </w:rPr>
        <w:t>标准值是绩效评价指标的尺度，既要反映同类项目的先进水平，又要符合项目的实际绩效水平。具体采用计划标准等确定此次绩效评价指标标准值。</w:t>
      </w:r>
    </w:p>
    <w:p w14:paraId="4E52EE93">
      <w:pPr>
        <w:pStyle w:val="10"/>
        <w:keepNext w:val="0"/>
        <w:keepLines w:val="0"/>
        <w:pageBreakBefore w:val="0"/>
        <w:kinsoku/>
        <w:wordWrap/>
        <w:overflowPunct/>
        <w:topLinePunct w:val="0"/>
        <w:autoSpaceDE/>
        <w:autoSpaceDN/>
        <w:bidi w:val="0"/>
        <w:adjustRightInd/>
        <w:snapToGrid/>
        <w:spacing w:before="0" w:after="0" w:line="520" w:lineRule="exact"/>
        <w:ind w:firstLine="708" w:firstLineChars="200"/>
        <w:jc w:val="both"/>
        <w:textAlignment w:val="auto"/>
        <w:rPr>
          <w:rFonts w:hint="eastAsia" w:ascii="仿宋_GB2312" w:hAnsi="仿宋_GB2312" w:eastAsia="仿宋_GB2312" w:cs="仿宋_GB2312"/>
          <w:b w:val="0"/>
          <w:bCs w:val="0"/>
          <w:color w:val="000000"/>
          <w:spacing w:val="17"/>
          <w:kern w:val="2"/>
          <w:sz w:val="32"/>
          <w:szCs w:val="32"/>
          <w:highlight w:val="none"/>
        </w:rPr>
      </w:pPr>
      <w:r>
        <w:rPr>
          <w:rFonts w:hint="eastAsia" w:ascii="仿宋_GB2312" w:hAnsi="仿宋_GB2312" w:eastAsia="仿宋_GB2312" w:cs="仿宋_GB2312"/>
          <w:b w:val="0"/>
          <w:bCs w:val="0"/>
          <w:color w:val="000000"/>
          <w:spacing w:val="17"/>
          <w:kern w:val="2"/>
          <w:sz w:val="32"/>
          <w:szCs w:val="32"/>
          <w:highlight w:val="none"/>
        </w:rPr>
        <w:t>绩效评价总分值100分，根据综合评分结果，90（含）-100分为优、80（含）-90分为良、60（含）-80分为中、60分以下为差。</w:t>
      </w:r>
    </w:p>
    <w:p w14:paraId="3D193745">
      <w:pPr>
        <w:pStyle w:val="10"/>
        <w:keepNext w:val="0"/>
        <w:keepLines w:val="0"/>
        <w:pageBreakBefore w:val="0"/>
        <w:widowControl w:val="0"/>
        <w:kinsoku/>
        <w:wordWrap/>
        <w:overflowPunct/>
        <w:topLinePunct w:val="0"/>
        <w:autoSpaceDE/>
        <w:autoSpaceDN/>
        <w:bidi w:val="0"/>
        <w:adjustRightInd/>
        <w:snapToGrid/>
        <w:spacing w:before="0" w:after="0" w:line="520" w:lineRule="exact"/>
        <w:ind w:firstLine="708" w:firstLineChars="200"/>
        <w:jc w:val="both"/>
        <w:textAlignment w:val="auto"/>
        <w:outlineLvl w:val="9"/>
        <w:rPr>
          <w:rFonts w:hint="eastAsia" w:ascii="仿宋_GB2312" w:hAnsi="仿宋_GB2312" w:eastAsia="仿宋_GB2312" w:cs="仿宋_GB2312"/>
          <w:b w:val="0"/>
          <w:bCs w:val="0"/>
          <w:color w:val="000000"/>
          <w:spacing w:val="17"/>
          <w:sz w:val="32"/>
          <w:szCs w:val="32"/>
          <w:highlight w:val="none"/>
        </w:rPr>
      </w:pPr>
      <w:r>
        <w:rPr>
          <w:rFonts w:hint="eastAsia" w:ascii="仿宋_GB2312" w:hAnsi="仿宋_GB2312" w:eastAsia="仿宋_GB2312" w:cs="仿宋_GB2312"/>
          <w:b w:val="0"/>
          <w:bCs w:val="0"/>
          <w:color w:val="000000"/>
          <w:spacing w:val="17"/>
          <w:sz w:val="32"/>
          <w:szCs w:val="32"/>
          <w:highlight w:val="none"/>
        </w:rPr>
        <w:t>具体评价指标体系详情见附件1</w:t>
      </w:r>
    </w:p>
    <w:p w14:paraId="68E6B41E">
      <w:pPr>
        <w:pStyle w:val="10"/>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3</w:t>
      </w:r>
      <w:r>
        <w:rPr>
          <w:rFonts w:hint="eastAsia" w:ascii="仿宋_GB2312" w:hAnsi="仿宋_GB2312" w:eastAsia="仿宋_GB2312" w:cs="仿宋_GB2312"/>
          <w:b w:val="0"/>
          <w:bCs w:val="0"/>
          <w:sz w:val="32"/>
          <w:szCs w:val="32"/>
          <w:highlight w:val="none"/>
          <w:lang w:val="en-US" w:eastAsia="zh-CN"/>
        </w:rPr>
        <w:t>.</w:t>
      </w:r>
      <w:r>
        <w:rPr>
          <w:rFonts w:hint="eastAsia" w:ascii="仿宋_GB2312" w:hAnsi="仿宋_GB2312" w:eastAsia="仿宋_GB2312" w:cs="仿宋_GB2312"/>
          <w:b w:val="0"/>
          <w:bCs w:val="0"/>
          <w:sz w:val="32"/>
          <w:szCs w:val="32"/>
          <w:highlight w:val="none"/>
        </w:rPr>
        <w:t>绩效评价方法</w:t>
      </w:r>
    </w:p>
    <w:p w14:paraId="23714688">
      <w:pPr>
        <w:keepNext w:val="0"/>
        <w:keepLines w:val="0"/>
        <w:pageBreakBefore w:val="0"/>
        <w:kinsoku/>
        <w:wordWrap/>
        <w:overflowPunct/>
        <w:topLinePunct w:val="0"/>
        <w:autoSpaceDE/>
        <w:autoSpaceDN/>
        <w:bidi w:val="0"/>
        <w:adjustRightInd/>
        <w:snapToGrid/>
        <w:spacing w:line="520" w:lineRule="exact"/>
        <w:ind w:firstLine="708" w:firstLineChars="200"/>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绩效评价从项目决策、项目过程、项目产出、项目效益四个维度进行评价。评价对象为项目目标实施情况，评价核心为资金的支出完成情况和项目的产出效益。</w:t>
      </w:r>
    </w:p>
    <w:p w14:paraId="16A6A585">
      <w:pPr>
        <w:keepNext w:val="0"/>
        <w:keepLines w:val="0"/>
        <w:pageBreakBefore w:val="0"/>
        <w:kinsoku/>
        <w:wordWrap/>
        <w:overflowPunct/>
        <w:topLinePunct w:val="0"/>
        <w:autoSpaceDE/>
        <w:autoSpaceDN/>
        <w:bidi w:val="0"/>
        <w:adjustRightInd/>
        <w:snapToGrid/>
        <w:spacing w:line="520" w:lineRule="exact"/>
        <w:ind w:firstLine="708" w:firstLineChars="200"/>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547C76B3">
      <w:pPr>
        <w:keepNext w:val="0"/>
        <w:keepLines w:val="0"/>
        <w:pageBreakBefore w:val="0"/>
        <w:kinsoku/>
        <w:wordWrap/>
        <w:overflowPunct/>
        <w:topLinePunct w:val="0"/>
        <w:autoSpaceDE/>
        <w:autoSpaceDN/>
        <w:bidi w:val="0"/>
        <w:adjustRightInd/>
        <w:snapToGrid/>
        <w:spacing w:line="520" w:lineRule="exact"/>
        <w:ind w:firstLine="708" w:firstLineChars="200"/>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（1）比较法</w:t>
      </w:r>
    </w:p>
    <w:p w14:paraId="43DBC847">
      <w:pPr>
        <w:keepNext w:val="0"/>
        <w:keepLines w:val="0"/>
        <w:pageBreakBefore w:val="0"/>
        <w:kinsoku/>
        <w:wordWrap/>
        <w:overflowPunct/>
        <w:topLinePunct w:val="0"/>
        <w:autoSpaceDE/>
        <w:autoSpaceDN/>
        <w:bidi w:val="0"/>
        <w:adjustRightInd/>
        <w:snapToGrid/>
        <w:spacing w:line="520" w:lineRule="exact"/>
        <w:ind w:firstLine="708" w:firstLineChars="200"/>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通过对绩效目标与实施效果、历史与当期情况，综合分析绩效目标实现程度。对项目最终验收情况与年度绩效目标对比、预算资金执行情况等相关因素进行比较。</w:t>
      </w:r>
    </w:p>
    <w:p w14:paraId="23369625">
      <w:pPr>
        <w:keepNext w:val="0"/>
        <w:keepLines w:val="0"/>
        <w:pageBreakBefore w:val="0"/>
        <w:kinsoku/>
        <w:wordWrap/>
        <w:overflowPunct/>
        <w:topLinePunct w:val="0"/>
        <w:autoSpaceDE/>
        <w:autoSpaceDN/>
        <w:bidi w:val="0"/>
        <w:adjustRightInd/>
        <w:snapToGrid/>
        <w:spacing w:line="520" w:lineRule="exact"/>
        <w:ind w:firstLine="708" w:firstLineChars="200"/>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（2）因素分析法</w:t>
      </w:r>
    </w:p>
    <w:p w14:paraId="6F2D9BA9">
      <w:pPr>
        <w:keepNext w:val="0"/>
        <w:keepLines w:val="0"/>
        <w:pageBreakBefore w:val="0"/>
        <w:kinsoku/>
        <w:wordWrap/>
        <w:overflowPunct/>
        <w:topLinePunct w:val="0"/>
        <w:autoSpaceDE/>
        <w:autoSpaceDN/>
        <w:bidi w:val="0"/>
        <w:adjustRightInd/>
        <w:snapToGrid/>
        <w:spacing w:line="520" w:lineRule="exact"/>
        <w:ind w:firstLine="708" w:firstLineChars="200"/>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14:paraId="4F237293">
      <w:pPr>
        <w:keepNext w:val="0"/>
        <w:keepLines w:val="0"/>
        <w:pageBreakBefore w:val="0"/>
        <w:kinsoku/>
        <w:wordWrap/>
        <w:overflowPunct/>
        <w:topLinePunct w:val="0"/>
        <w:autoSpaceDE/>
        <w:autoSpaceDN/>
        <w:bidi w:val="0"/>
        <w:adjustRightInd/>
        <w:snapToGrid/>
        <w:spacing w:line="520" w:lineRule="exact"/>
        <w:ind w:firstLine="708" w:firstLineChars="200"/>
        <w:textAlignment w:val="auto"/>
        <w:rPr>
          <w:rFonts w:hint="default" w:ascii="仿宋_GB2312" w:hAnsi="仿宋_GB2312" w:eastAsia="仿宋_GB2312" w:cs="仿宋_GB2312"/>
          <w:color w:val="000000"/>
          <w:spacing w:val="17"/>
          <w:sz w:val="32"/>
          <w:szCs w:val="32"/>
          <w:highlight w:val="none"/>
        </w:rPr>
      </w:pPr>
      <w:r>
        <w:rPr>
          <w:rFonts w:hint="default" w:ascii="仿宋_GB2312" w:hAnsi="仿宋_GB2312" w:eastAsia="仿宋_GB2312" w:cs="仿宋_GB2312"/>
          <w:color w:val="000000"/>
          <w:spacing w:val="17"/>
          <w:sz w:val="32"/>
          <w:szCs w:val="32"/>
          <w:highlight w:val="none"/>
        </w:rPr>
        <w:t>（</w:t>
      </w:r>
      <w:r>
        <w:rPr>
          <w:rFonts w:hint="eastAsia" w:ascii="仿宋_GB2312" w:hAnsi="仿宋_GB2312" w:eastAsia="仿宋_GB2312" w:cs="仿宋_GB2312"/>
          <w:color w:val="000000"/>
          <w:spacing w:val="17"/>
          <w:sz w:val="32"/>
          <w:szCs w:val="32"/>
          <w:highlight w:val="none"/>
          <w:lang w:val="en-US" w:eastAsia="zh-CN"/>
        </w:rPr>
        <w:t>3</w:t>
      </w:r>
      <w:r>
        <w:rPr>
          <w:rFonts w:hint="default" w:ascii="仿宋_GB2312" w:hAnsi="仿宋_GB2312" w:eastAsia="仿宋_GB2312" w:cs="仿宋_GB2312"/>
          <w:color w:val="000000"/>
          <w:spacing w:val="17"/>
          <w:sz w:val="32"/>
          <w:szCs w:val="32"/>
          <w:highlight w:val="none"/>
        </w:rPr>
        <w:t>）最低成本法</w:t>
      </w:r>
    </w:p>
    <w:p w14:paraId="46D6ECC9">
      <w:pPr>
        <w:keepNext w:val="0"/>
        <w:keepLines w:val="0"/>
        <w:pageBreakBefore w:val="0"/>
        <w:kinsoku/>
        <w:wordWrap/>
        <w:overflowPunct/>
        <w:topLinePunct w:val="0"/>
        <w:autoSpaceDE/>
        <w:autoSpaceDN/>
        <w:bidi w:val="0"/>
        <w:adjustRightInd/>
        <w:snapToGrid/>
        <w:spacing w:line="520" w:lineRule="exact"/>
        <w:ind w:firstLine="708" w:firstLineChars="200"/>
        <w:textAlignment w:val="auto"/>
        <w:rPr>
          <w:rFonts w:hint="eastAsia" w:ascii="仿宋_GB2312" w:hAnsi="仿宋_GB2312" w:eastAsia="仿宋_GB2312" w:cs="仿宋_GB2312"/>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是指在绩效目标确定的前提下，成本最小者为优的方法。</w:t>
      </w:r>
    </w:p>
    <w:p w14:paraId="09CC00CE">
      <w:pPr>
        <w:pStyle w:val="10"/>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4</w:t>
      </w:r>
      <w:r>
        <w:rPr>
          <w:rFonts w:hint="eastAsia" w:ascii="仿宋_GB2312" w:hAnsi="仿宋_GB2312" w:eastAsia="仿宋_GB2312" w:cs="仿宋_GB2312"/>
          <w:b/>
          <w:bCs/>
          <w:sz w:val="32"/>
          <w:szCs w:val="32"/>
          <w:highlight w:val="none"/>
          <w:lang w:val="en-US" w:eastAsia="zh-CN"/>
        </w:rPr>
        <w:t>.</w:t>
      </w:r>
      <w:r>
        <w:rPr>
          <w:rFonts w:hint="eastAsia" w:ascii="仿宋_GB2312" w:hAnsi="仿宋_GB2312" w:eastAsia="仿宋_GB2312" w:cs="仿宋_GB2312"/>
          <w:b w:val="0"/>
          <w:bCs w:val="0"/>
          <w:sz w:val="32"/>
          <w:szCs w:val="32"/>
          <w:highlight w:val="none"/>
        </w:rPr>
        <w:t>评价标准</w:t>
      </w:r>
    </w:p>
    <w:p w14:paraId="1635671E">
      <w:pPr>
        <w:pStyle w:val="10"/>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绩效评价标准通常包括计划标准、行业标准、历史标准等，用于对绩效指标完成情况进行比较、分析、评价。本次评价主要采用了</w:t>
      </w:r>
      <w:r>
        <w:rPr>
          <w:rFonts w:hint="eastAsia" w:ascii="仿宋_GB2312" w:hAnsi="仿宋_GB2312" w:eastAsia="仿宋_GB2312" w:cs="仿宋_GB2312"/>
          <w:b w:val="0"/>
          <w:bCs w:val="0"/>
          <w:sz w:val="32"/>
          <w:szCs w:val="32"/>
          <w:highlight w:val="none"/>
          <w:lang w:val="en-US" w:eastAsia="zh-CN"/>
        </w:rPr>
        <w:t>计划</w:t>
      </w:r>
      <w:r>
        <w:rPr>
          <w:rFonts w:hint="eastAsia" w:ascii="仿宋_GB2312" w:hAnsi="仿宋_GB2312" w:eastAsia="仿宋_GB2312" w:cs="仿宋_GB2312"/>
          <w:b w:val="0"/>
          <w:bCs w:val="0"/>
          <w:sz w:val="32"/>
          <w:szCs w:val="32"/>
          <w:highlight w:val="none"/>
        </w:rPr>
        <w:t>标准。</w:t>
      </w:r>
    </w:p>
    <w:p w14:paraId="3BDD16E2">
      <w:pPr>
        <w:pStyle w:val="10"/>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计划标准。指以预先制定的目标、计划、预算、定额等作为评价标准。</w:t>
      </w:r>
    </w:p>
    <w:p w14:paraId="5060F9FD">
      <w:pPr>
        <w:pStyle w:val="10"/>
        <w:keepNext w:val="0"/>
        <w:keepLines w:val="0"/>
        <w:pageBreakBefore w:val="0"/>
        <w:numPr>
          <w:ilvl w:val="0"/>
          <w:numId w:val="2"/>
        </w:numPr>
        <w:kinsoku/>
        <w:wordWrap/>
        <w:overflowPunct/>
        <w:topLinePunct w:val="0"/>
        <w:autoSpaceDE/>
        <w:autoSpaceDN/>
        <w:bidi w:val="0"/>
        <w:adjustRightInd/>
        <w:snapToGrid/>
        <w:spacing w:before="0" w:after="0" w:line="520" w:lineRule="exact"/>
        <w:ind w:firstLine="711" w:firstLineChars="200"/>
        <w:jc w:val="both"/>
        <w:textAlignment w:val="auto"/>
        <w:rPr>
          <w:rFonts w:hint="default" w:ascii="Times New Roman" w:hAnsi="Times New Roman" w:eastAsia="楷体" w:cs="Times New Roman"/>
          <w:color w:val="000000"/>
          <w:spacing w:val="17"/>
          <w:sz w:val="32"/>
          <w:szCs w:val="32"/>
          <w:highlight w:val="none"/>
        </w:rPr>
      </w:pPr>
      <w:r>
        <w:rPr>
          <w:rFonts w:hint="default" w:ascii="Times New Roman" w:hAnsi="Times New Roman" w:eastAsia="楷体" w:cs="Times New Roman"/>
          <w:color w:val="000000"/>
          <w:spacing w:val="17"/>
          <w:sz w:val="32"/>
          <w:szCs w:val="32"/>
          <w:highlight w:val="none"/>
        </w:rPr>
        <w:t>绩效评价工作过程</w:t>
      </w:r>
    </w:p>
    <w:p w14:paraId="57C80FB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前期准备与规划</w:t>
      </w:r>
    </w:p>
    <w:p w14:paraId="798C672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在项目绩效评价工作启动之初，成立了专门的评价工作小组，开展前期调研；其次明确项目绩效目标，设计绩效评价指标体系并确定绩效评价方法；接着确定现场和非现场评价范围，设计资料清单；最后制定评价实施方案并进行论证。确保从多角度、全方位对项目绩效进行评价。同时，明确了评价工作的目标、范围、重点及时间安排，制定了详细的工作计划，为评价工作的顺利开展奠定了坚实基础。</w:t>
      </w:r>
    </w:p>
    <w:p w14:paraId="02D2598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eastAsia="zh-CN"/>
        </w:rPr>
        <w:t>）指标体系构建</w:t>
      </w:r>
    </w:p>
    <w:p w14:paraId="792A87C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依据项目的性质、目标以及预期成果，构建了科学合理的绩效评价指标体系。该指标体系涵盖了</w:t>
      </w:r>
      <w:r>
        <w:rPr>
          <w:rFonts w:hint="eastAsia" w:ascii="仿宋_GB2312" w:hAnsi="仿宋_GB2312" w:eastAsia="仿宋_GB2312" w:cs="仿宋_GB2312"/>
          <w:color w:val="000000"/>
          <w:spacing w:val="17"/>
          <w:sz w:val="32"/>
          <w:szCs w:val="32"/>
          <w:highlight w:val="none"/>
        </w:rPr>
        <w:t>项目决策、项目过程、项目产出、项目效益四个维度</w:t>
      </w:r>
      <w:r>
        <w:rPr>
          <w:rFonts w:hint="eastAsia" w:ascii="仿宋_GB2312" w:hAnsi="仿宋_GB2312" w:eastAsia="仿宋_GB2312" w:cs="仿宋_GB2312"/>
          <w:sz w:val="32"/>
          <w:szCs w:val="32"/>
          <w:highlight w:val="none"/>
          <w:lang w:eastAsia="zh-CN"/>
        </w:rPr>
        <w:t>，选取了具有代表性和可衡量性的关键指标，并为每个指标设定了明确的评价标准与权重，确保评价结果能够全面、准确地反映项目的绩效状况。</w:t>
      </w:r>
    </w:p>
    <w:p w14:paraId="211D011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lang w:eastAsia="zh-CN"/>
        </w:rPr>
        <w:t>）数据收集与整理</w:t>
      </w:r>
    </w:p>
    <w:p w14:paraId="1C8E930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广泛收集与项目相关的各类数据，包括财务报表、项目文档、业务数据、</w:t>
      </w:r>
      <w:r>
        <w:rPr>
          <w:rFonts w:hint="eastAsia" w:ascii="仿宋_GB2312" w:hAnsi="仿宋_GB2312" w:eastAsia="仿宋_GB2312" w:cs="仿宋_GB2312"/>
          <w:sz w:val="32"/>
          <w:szCs w:val="32"/>
          <w:highlight w:val="none"/>
          <w:lang w:val="en-US" w:eastAsia="zh-CN"/>
        </w:rPr>
        <w:t>村民</w:t>
      </w:r>
      <w:r>
        <w:rPr>
          <w:rFonts w:hint="eastAsia" w:ascii="仿宋_GB2312" w:hAnsi="仿宋_GB2312" w:eastAsia="仿宋_GB2312" w:cs="仿宋_GB2312"/>
          <w:sz w:val="32"/>
          <w:szCs w:val="32"/>
          <w:highlight w:val="none"/>
          <w:lang w:eastAsia="zh-CN"/>
        </w:rPr>
        <w:t>反馈等。在数据收集过程中，注重数据的质量与完整性，对缺失或异常的数据进行了合理的处理和补充。随后，对收集到的数据进行了系统的整理与分类，为后续的数据分析提供了有力支持。</w:t>
      </w:r>
    </w:p>
    <w:p w14:paraId="6679323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lang w:eastAsia="zh-CN"/>
        </w:rPr>
        <w:t>）数据分析与评估</w:t>
      </w:r>
    </w:p>
    <w:p w14:paraId="1F92C5C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0723AE4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lang w:eastAsia="zh-CN"/>
        </w:rPr>
        <w:t>）报告撰写与反馈</w:t>
      </w:r>
    </w:p>
    <w:p w14:paraId="2D86A4F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14C48A0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lang w:eastAsia="zh-CN"/>
        </w:rPr>
        <w:t>）后续跟踪与改进</w:t>
      </w:r>
    </w:p>
    <w:p w14:paraId="63C788B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1DDF5881">
      <w:pPr>
        <w:keepNext w:val="0"/>
        <w:keepLines w:val="0"/>
        <w:pageBreakBefore w:val="0"/>
        <w:numPr>
          <w:ilvl w:val="0"/>
          <w:numId w:val="3"/>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14:paraId="35D5DB0D">
      <w:pPr>
        <w:pStyle w:val="10"/>
        <w:keepNext w:val="0"/>
        <w:keepLines w:val="0"/>
        <w:pageBreakBefore w:val="0"/>
        <w:widowControl/>
        <w:kinsoku/>
        <w:wordWrap/>
        <w:overflowPunct/>
        <w:topLinePunct w:val="0"/>
        <w:autoSpaceDE/>
        <w:autoSpaceDN/>
        <w:bidi w:val="0"/>
        <w:adjustRightInd/>
        <w:snapToGrid/>
        <w:spacing w:before="0" w:after="0" w:line="520" w:lineRule="exact"/>
        <w:ind w:firstLine="643" w:firstLineChars="200"/>
        <w:jc w:val="both"/>
        <w:textAlignment w:val="auto"/>
        <w:rPr>
          <w:rFonts w:hint="default" w:ascii="Times New Roman" w:hAnsi="Times New Roman" w:eastAsia="楷体_GB2312" w:cs="Times New Roman"/>
          <w:sz w:val="32"/>
          <w:szCs w:val="32"/>
          <w:highlight w:val="none"/>
          <w:lang w:val="en-US" w:eastAsia="zh-CN"/>
        </w:rPr>
      </w:pPr>
      <w:r>
        <w:rPr>
          <w:rFonts w:hint="default" w:ascii="Times New Roman" w:hAnsi="Times New Roman" w:eastAsia="楷体_GB2312" w:cs="Times New Roman"/>
          <w:sz w:val="32"/>
          <w:szCs w:val="32"/>
          <w:highlight w:val="none"/>
          <w:lang w:eastAsia="zh-CN"/>
        </w:rPr>
        <w:t>（</w:t>
      </w:r>
      <w:r>
        <w:rPr>
          <w:rFonts w:hint="default" w:ascii="Times New Roman" w:hAnsi="Times New Roman" w:eastAsia="楷体_GB2312" w:cs="Times New Roman"/>
          <w:sz w:val="32"/>
          <w:szCs w:val="32"/>
          <w:highlight w:val="none"/>
          <w:lang w:val="en-US" w:eastAsia="zh-CN"/>
        </w:rPr>
        <w:t>一</w:t>
      </w:r>
      <w:r>
        <w:rPr>
          <w:rFonts w:hint="default" w:ascii="Times New Roman" w:hAnsi="Times New Roman" w:eastAsia="楷体_GB2312" w:cs="Times New Roman"/>
          <w:sz w:val="32"/>
          <w:szCs w:val="32"/>
          <w:highlight w:val="none"/>
          <w:lang w:eastAsia="zh-CN"/>
        </w:rPr>
        <w:t>）</w:t>
      </w:r>
      <w:r>
        <w:rPr>
          <w:rFonts w:hint="default" w:ascii="Times New Roman" w:hAnsi="Times New Roman" w:eastAsia="楷体_GB2312" w:cs="Times New Roman"/>
          <w:sz w:val="32"/>
          <w:szCs w:val="32"/>
          <w:highlight w:val="none"/>
          <w:lang w:val="en-US" w:eastAsia="zh-CN"/>
        </w:rPr>
        <w:t>评价情况</w:t>
      </w:r>
    </w:p>
    <w:p w14:paraId="193306B4">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本项目的综合评价基于对项目各方面绩效的深入分析与评估。从项目目标的达成情况来看，</w:t>
      </w:r>
      <w:r>
        <w:rPr>
          <w:rFonts w:hint="eastAsia" w:ascii="仿宋_GB2312" w:hAnsi="仿宋_GB2312" w:eastAsia="仿宋_GB2312" w:cs="仿宋_GB2312"/>
          <w:color w:val="auto"/>
          <w:sz w:val="32"/>
          <w:szCs w:val="32"/>
          <w:highlight w:val="none"/>
        </w:rPr>
        <w:t>昌州财农[2023]58号碧流河镇西戈壁村四五六组村容村貌改造提升项目</w:t>
      </w:r>
      <w:r>
        <w:rPr>
          <w:rFonts w:hint="eastAsia" w:ascii="仿宋_GB2312" w:hAnsi="仿宋_GB2312" w:eastAsia="仿宋_GB2312" w:cs="仿宋_GB2312"/>
          <w:sz w:val="32"/>
          <w:szCs w:val="32"/>
          <w:highlight w:val="none"/>
        </w:rPr>
        <w:t>在安装路灯数量</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项目竣工验收</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成本控制</w:t>
      </w:r>
      <w:r>
        <w:rPr>
          <w:rFonts w:hint="eastAsia" w:ascii="仿宋_GB2312" w:hAnsi="仿宋_GB2312" w:eastAsia="仿宋_GB2312" w:cs="仿宋_GB2312"/>
          <w:sz w:val="32"/>
          <w:szCs w:val="32"/>
          <w:highlight w:val="none"/>
        </w:rPr>
        <w:t>等方面表现出色，达到了预期的标准与要求。同时，项目也在</w:t>
      </w:r>
      <w:r>
        <w:rPr>
          <w:rFonts w:hint="eastAsia" w:ascii="仿宋_GB2312" w:hAnsi="仿宋_GB2312" w:eastAsia="仿宋_GB2312" w:cs="仿宋_GB2312"/>
          <w:color w:val="auto"/>
          <w:sz w:val="32"/>
          <w:szCs w:val="32"/>
          <w:highlight w:val="none"/>
          <w:lang w:val="en-US" w:eastAsia="zh-CN"/>
        </w:rPr>
        <w:t>社会效益及群众满意度方面</w:t>
      </w:r>
      <w:r>
        <w:rPr>
          <w:rFonts w:hint="eastAsia" w:ascii="仿宋_GB2312" w:hAnsi="仿宋_GB2312" w:eastAsia="仿宋_GB2312" w:cs="仿宋_GB2312"/>
          <w:sz w:val="32"/>
          <w:szCs w:val="32"/>
          <w:highlight w:val="none"/>
        </w:rPr>
        <w:t>取得了显著的成效等。</w:t>
      </w:r>
    </w:p>
    <w:p w14:paraId="480108A9">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在项目管理方面，</w:t>
      </w:r>
      <w:r>
        <w:rPr>
          <w:rFonts w:hint="eastAsia" w:ascii="仿宋_GB2312" w:hAnsi="仿宋_GB2312" w:eastAsia="仿宋_GB2312" w:cs="仿宋_GB2312"/>
          <w:sz w:val="32"/>
          <w:szCs w:val="32"/>
          <w:highlight w:val="none"/>
          <w:lang w:val="en-US" w:eastAsia="zh-CN"/>
        </w:rPr>
        <w:t>奇台县碧流河镇人民政府</w:t>
      </w:r>
      <w:r>
        <w:rPr>
          <w:rFonts w:hint="eastAsia" w:ascii="仿宋_GB2312" w:hAnsi="仿宋_GB2312" w:eastAsia="仿宋_GB2312" w:cs="仿宋_GB2312"/>
          <w:sz w:val="32"/>
          <w:szCs w:val="32"/>
          <w:highlight w:val="none"/>
        </w:rPr>
        <w:t>通过有效的规划、组织与协调，项目得以顺利实施，并在预算与时间上保持了良好的控制。</w:t>
      </w:r>
    </w:p>
    <w:p w14:paraId="43493ED6">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从项目效益的角度来看，本项目</w:t>
      </w:r>
      <w:r>
        <w:rPr>
          <w:rFonts w:hint="eastAsia" w:ascii="仿宋_GB2312" w:hAnsi="仿宋_GB2312" w:eastAsia="仿宋_GB2312" w:cs="仿宋_GB2312"/>
          <w:sz w:val="32"/>
          <w:szCs w:val="32"/>
          <w:highlight w:val="none"/>
          <w:lang w:val="en-US" w:eastAsia="zh-CN"/>
        </w:rPr>
        <w:t>对</w:t>
      </w:r>
      <w:r>
        <w:rPr>
          <w:rFonts w:hint="eastAsia" w:ascii="仿宋_GB2312" w:hAnsi="仿宋_GB2312" w:eastAsia="仿宋_GB2312" w:cs="仿宋_GB2312"/>
          <w:sz w:val="32"/>
          <w:szCs w:val="32"/>
          <w:highlight w:val="none"/>
        </w:rPr>
        <w:t>预期的社会效益、</w:t>
      </w:r>
      <w:r>
        <w:rPr>
          <w:rFonts w:hint="eastAsia" w:ascii="仿宋_GB2312" w:hAnsi="仿宋_GB2312" w:eastAsia="仿宋_GB2312" w:cs="仿宋_GB2312"/>
          <w:sz w:val="32"/>
          <w:szCs w:val="32"/>
          <w:highlight w:val="none"/>
          <w:lang w:val="en-US" w:eastAsia="zh-CN"/>
        </w:rPr>
        <w:t>生态</w:t>
      </w:r>
      <w:r>
        <w:rPr>
          <w:rFonts w:hint="eastAsia" w:ascii="仿宋_GB2312" w:hAnsi="仿宋_GB2312" w:eastAsia="仿宋_GB2312" w:cs="仿宋_GB2312"/>
          <w:sz w:val="32"/>
          <w:szCs w:val="32"/>
          <w:highlight w:val="none"/>
        </w:rPr>
        <w:t>效益等方面产生了积极的影响。具体而言，夜间照明时段交通事故率下降，村民满意度提升显著。同时，节能灯具的应用每年可减少碳排放助力“双碳”目标实现</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为项目的利益相关者带来了实实在在的利益。</w:t>
      </w:r>
    </w:p>
    <w:p w14:paraId="695C80A0">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综上所述，昌州财农[2023]58号碧流河镇西戈壁村四五六组村容村貌改造提升项目在绩效评价中表现出色，达到了项目的预期目标，并在多个方面取得了显著的成效。</w:t>
      </w:r>
    </w:p>
    <w:p w14:paraId="18D6BDB6">
      <w:pPr>
        <w:pStyle w:val="10"/>
        <w:keepNext w:val="0"/>
        <w:keepLines w:val="0"/>
        <w:pageBreakBefore w:val="0"/>
        <w:widowControl/>
        <w:kinsoku/>
        <w:wordWrap/>
        <w:overflowPunct/>
        <w:topLinePunct w:val="0"/>
        <w:autoSpaceDE/>
        <w:autoSpaceDN/>
        <w:bidi w:val="0"/>
        <w:adjustRightInd/>
        <w:snapToGrid/>
        <w:spacing w:before="0" w:after="0" w:line="520" w:lineRule="exact"/>
        <w:ind w:firstLine="643" w:firstLineChars="200"/>
        <w:jc w:val="both"/>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lang w:val="en-US" w:eastAsia="zh-CN"/>
        </w:rPr>
        <w:t>二</w:t>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lang w:val="en-US" w:eastAsia="zh-CN"/>
        </w:rPr>
        <w:t>评价结论</w:t>
      </w:r>
    </w:p>
    <w:p w14:paraId="0CEEDBA7">
      <w:pPr>
        <w:pStyle w:val="10"/>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仿宋_GB2312" w:hAnsi="仿宋_GB2312" w:eastAsia="仿宋_GB2312" w:cs="仿宋_GB2312"/>
          <w:b w:val="0"/>
          <w:bCs w:val="0"/>
          <w:sz w:val="32"/>
          <w:szCs w:val="32"/>
          <w:highlight w:val="none"/>
        </w:rPr>
        <w:t>：总得分为</w:t>
      </w:r>
      <w:r>
        <w:rPr>
          <w:rFonts w:hint="eastAsia" w:ascii="仿宋_GB2312" w:hAnsi="仿宋_GB2312" w:eastAsia="仿宋_GB2312" w:cs="仿宋_GB2312"/>
          <w:b w:val="0"/>
          <w:bCs w:val="0"/>
          <w:sz w:val="32"/>
          <w:szCs w:val="32"/>
          <w:highlight w:val="none"/>
          <w:lang w:val="en-US" w:eastAsia="zh-CN"/>
        </w:rPr>
        <w:t>99.99</w:t>
      </w:r>
      <w:r>
        <w:rPr>
          <w:rFonts w:hint="eastAsia" w:ascii="仿宋_GB2312" w:hAnsi="仿宋_GB2312" w:eastAsia="仿宋_GB2312" w:cs="仿宋_GB2312"/>
          <w:b w:val="0"/>
          <w:bCs w:val="0"/>
          <w:sz w:val="32"/>
          <w:szCs w:val="32"/>
          <w:highlight w:val="none"/>
        </w:rPr>
        <w:t>分，属于“优”。其中，项目决策类指标权重为20分，得分为</w:t>
      </w:r>
      <w:r>
        <w:rPr>
          <w:rFonts w:hint="eastAsia" w:ascii="仿宋_GB2312" w:hAnsi="仿宋_GB2312" w:eastAsia="仿宋_GB2312" w:cs="仿宋_GB2312"/>
          <w:b w:val="0"/>
          <w:bCs w:val="0"/>
          <w:sz w:val="32"/>
          <w:szCs w:val="32"/>
          <w:highlight w:val="none"/>
          <w:lang w:val="en-US" w:eastAsia="zh-CN"/>
        </w:rPr>
        <w:t>20</w:t>
      </w:r>
      <w:r>
        <w:rPr>
          <w:rFonts w:hint="eastAsia" w:ascii="仿宋_GB2312" w:hAnsi="仿宋_GB2312" w:eastAsia="仿宋_GB2312" w:cs="仿宋_GB2312"/>
          <w:b w:val="0"/>
          <w:bCs w:val="0"/>
          <w:sz w:val="32"/>
          <w:szCs w:val="32"/>
          <w:highlight w:val="none"/>
        </w:rPr>
        <w:t xml:space="preserve">分，得分率为 </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%。项目过程类指标权重为20分，得分为</w:t>
      </w:r>
      <w:r>
        <w:rPr>
          <w:rFonts w:hint="eastAsia" w:ascii="仿宋_GB2312" w:hAnsi="仿宋_GB2312" w:eastAsia="仿宋_GB2312" w:cs="仿宋_GB2312"/>
          <w:b w:val="0"/>
          <w:bCs w:val="0"/>
          <w:sz w:val="32"/>
          <w:szCs w:val="32"/>
          <w:highlight w:val="none"/>
          <w:lang w:val="en-US" w:eastAsia="zh-CN"/>
        </w:rPr>
        <w:t>19.99</w:t>
      </w:r>
      <w:r>
        <w:rPr>
          <w:rFonts w:hint="eastAsia" w:ascii="仿宋_GB2312" w:hAnsi="仿宋_GB2312" w:eastAsia="仿宋_GB2312" w:cs="仿宋_GB2312"/>
          <w:b w:val="0"/>
          <w:bCs w:val="0"/>
          <w:sz w:val="32"/>
          <w:szCs w:val="32"/>
          <w:highlight w:val="none"/>
        </w:rPr>
        <w:t xml:space="preserve">分，得分率为 </w:t>
      </w:r>
      <w:r>
        <w:rPr>
          <w:rFonts w:hint="eastAsia" w:ascii="仿宋_GB2312" w:hAnsi="仿宋_GB2312" w:eastAsia="仿宋_GB2312" w:cs="仿宋_GB2312"/>
          <w:b w:val="0"/>
          <w:bCs w:val="0"/>
          <w:sz w:val="32"/>
          <w:szCs w:val="32"/>
          <w:highlight w:val="none"/>
          <w:lang w:val="en-US" w:eastAsia="zh-CN"/>
        </w:rPr>
        <w:t>99.99</w:t>
      </w:r>
      <w:r>
        <w:rPr>
          <w:rFonts w:hint="eastAsia" w:ascii="仿宋_GB2312" w:hAnsi="仿宋_GB2312" w:eastAsia="仿宋_GB2312" w:cs="仿宋_GB2312"/>
          <w:b w:val="0"/>
          <w:bCs w:val="0"/>
          <w:sz w:val="32"/>
          <w:szCs w:val="32"/>
          <w:highlight w:val="none"/>
        </w:rPr>
        <w:t>%。项目产出类指标权重为</w:t>
      </w:r>
      <w:r>
        <w:rPr>
          <w:rFonts w:hint="eastAsia" w:ascii="仿宋_GB2312" w:hAnsi="仿宋_GB2312" w:eastAsia="仿宋_GB2312" w:cs="仿宋_GB2312"/>
          <w:b w:val="0"/>
          <w:bCs w:val="0"/>
          <w:sz w:val="32"/>
          <w:szCs w:val="32"/>
          <w:highlight w:val="none"/>
          <w:lang w:val="en-US" w:eastAsia="zh-CN"/>
        </w:rPr>
        <w:t>40</w:t>
      </w:r>
      <w:r>
        <w:rPr>
          <w:rFonts w:hint="eastAsia" w:ascii="仿宋_GB2312" w:hAnsi="仿宋_GB2312" w:eastAsia="仿宋_GB2312" w:cs="仿宋_GB2312"/>
          <w:b w:val="0"/>
          <w:bCs w:val="0"/>
          <w:sz w:val="32"/>
          <w:szCs w:val="32"/>
          <w:highlight w:val="none"/>
        </w:rPr>
        <w:t>分，得分为</w:t>
      </w:r>
      <w:r>
        <w:rPr>
          <w:rFonts w:hint="eastAsia" w:ascii="仿宋_GB2312" w:hAnsi="仿宋_GB2312" w:eastAsia="仿宋_GB2312" w:cs="仿宋_GB2312"/>
          <w:b w:val="0"/>
          <w:bCs w:val="0"/>
          <w:sz w:val="32"/>
          <w:szCs w:val="32"/>
          <w:highlight w:val="none"/>
          <w:lang w:val="en-US" w:eastAsia="zh-CN"/>
        </w:rPr>
        <w:t>40</w:t>
      </w:r>
      <w:r>
        <w:rPr>
          <w:rFonts w:hint="eastAsia" w:ascii="仿宋_GB2312" w:hAnsi="仿宋_GB2312" w:eastAsia="仿宋_GB2312" w:cs="仿宋_GB2312"/>
          <w:b w:val="0"/>
          <w:bCs w:val="0"/>
          <w:sz w:val="32"/>
          <w:szCs w:val="32"/>
          <w:highlight w:val="none"/>
        </w:rPr>
        <w:t xml:space="preserve">分，得分率为 </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%。项目效益类指标权重为</w:t>
      </w:r>
      <w:r>
        <w:rPr>
          <w:rFonts w:hint="eastAsia" w:ascii="仿宋_GB2312" w:hAnsi="仿宋_GB2312" w:eastAsia="仿宋_GB2312" w:cs="仿宋_GB2312"/>
          <w:b w:val="0"/>
          <w:bCs w:val="0"/>
          <w:sz w:val="32"/>
          <w:szCs w:val="32"/>
          <w:highlight w:val="none"/>
          <w:lang w:val="en-US" w:eastAsia="zh-CN"/>
        </w:rPr>
        <w:t>20</w:t>
      </w:r>
      <w:r>
        <w:rPr>
          <w:rFonts w:hint="eastAsia" w:ascii="仿宋_GB2312" w:hAnsi="仿宋_GB2312" w:eastAsia="仿宋_GB2312" w:cs="仿宋_GB2312"/>
          <w:b w:val="0"/>
          <w:bCs w:val="0"/>
          <w:sz w:val="32"/>
          <w:szCs w:val="32"/>
          <w:highlight w:val="none"/>
        </w:rPr>
        <w:t>分，得分为</w:t>
      </w:r>
      <w:r>
        <w:rPr>
          <w:rFonts w:hint="eastAsia" w:ascii="仿宋_GB2312" w:hAnsi="仿宋_GB2312" w:eastAsia="仿宋_GB2312" w:cs="仿宋_GB2312"/>
          <w:b w:val="0"/>
          <w:bCs w:val="0"/>
          <w:sz w:val="32"/>
          <w:szCs w:val="32"/>
          <w:highlight w:val="none"/>
          <w:lang w:val="en-US" w:eastAsia="zh-CN"/>
        </w:rPr>
        <w:t>20</w:t>
      </w:r>
      <w:r>
        <w:rPr>
          <w:rFonts w:hint="eastAsia" w:ascii="仿宋_GB2312" w:hAnsi="仿宋_GB2312" w:eastAsia="仿宋_GB2312" w:cs="仿宋_GB2312"/>
          <w:b w:val="0"/>
          <w:bCs w:val="0"/>
          <w:sz w:val="32"/>
          <w:szCs w:val="32"/>
          <w:highlight w:val="none"/>
        </w:rPr>
        <w:t>分，得分率为</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%。具体打分情况详见：附件1综合评分表</w:t>
      </w:r>
      <w:r>
        <w:rPr>
          <w:rFonts w:hint="eastAsia" w:ascii="仿宋_GB2312" w:hAnsi="仿宋_GB2312" w:eastAsia="仿宋_GB2312" w:cs="仿宋_GB2312"/>
          <w:b w:val="0"/>
          <w:bCs w:val="0"/>
          <w:sz w:val="32"/>
          <w:szCs w:val="32"/>
          <w:highlight w:val="none"/>
          <w:lang w:eastAsia="zh-CN"/>
        </w:rPr>
        <w:t>。</w:t>
      </w:r>
    </w:p>
    <w:p w14:paraId="391CC7DF">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4318E4A4">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71F4A89E">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75D0CCE6">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75F9BE8">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1749482">
            <w:pPr>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14:paraId="798E7F3E">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0AC5505">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14:paraId="52B28FD0">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6227616">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16E1C01">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14BB227D">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5062F54">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14:paraId="74F3F85C">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7F6C08D3">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19.99</w:t>
            </w:r>
          </w:p>
        </w:tc>
        <w:tc>
          <w:tcPr>
            <w:tcW w:w="2023" w:type="dxa"/>
            <w:tcBorders>
              <w:top w:val="nil"/>
              <w:left w:val="nil"/>
              <w:bottom w:val="single" w:color="auto" w:sz="4" w:space="0"/>
              <w:right w:val="single" w:color="auto" w:sz="4" w:space="0"/>
            </w:tcBorders>
            <w:shd w:val="clear" w:color="auto" w:fill="auto"/>
            <w:vAlign w:val="center"/>
          </w:tcPr>
          <w:p w14:paraId="122195AD">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99.99%</w:t>
            </w:r>
          </w:p>
        </w:tc>
      </w:tr>
      <w:tr w14:paraId="6307203F">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1EE7E881">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14:paraId="115A185D">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1F9EA610">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61336D81">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14:paraId="519C961E">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966E078">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14:paraId="03D95810">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1B6CA69">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475B0C37">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14:paraId="5C9EE6BA">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E15CDC9">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927" w:type="dxa"/>
            <w:tcBorders>
              <w:top w:val="nil"/>
              <w:left w:val="nil"/>
              <w:bottom w:val="single" w:color="auto" w:sz="4" w:space="0"/>
              <w:right w:val="single" w:color="auto" w:sz="4" w:space="0"/>
            </w:tcBorders>
            <w:shd w:val="clear" w:color="auto" w:fill="auto"/>
            <w:vAlign w:val="center"/>
          </w:tcPr>
          <w:p w14:paraId="0D6DD521">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7129B7F0">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99.99</w:t>
            </w:r>
          </w:p>
        </w:tc>
        <w:tc>
          <w:tcPr>
            <w:tcW w:w="2023" w:type="dxa"/>
            <w:tcBorders>
              <w:top w:val="nil"/>
              <w:left w:val="nil"/>
              <w:bottom w:val="single" w:color="auto" w:sz="4" w:space="0"/>
              <w:right w:val="single" w:color="auto" w:sz="4" w:space="0"/>
            </w:tcBorders>
            <w:shd w:val="clear" w:color="auto" w:fill="auto"/>
            <w:vAlign w:val="center"/>
          </w:tcPr>
          <w:p w14:paraId="3943779F">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99.99%</w:t>
            </w:r>
          </w:p>
        </w:tc>
      </w:tr>
    </w:tbl>
    <w:p w14:paraId="5067DAE2">
      <w:pPr>
        <w:pageBreakBefore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4B36B033">
      <w:pPr>
        <w:pStyle w:val="10"/>
        <w:pageBreakBefore w:val="0"/>
        <w:kinsoku/>
        <w:wordWrap/>
        <w:overflowPunct/>
        <w:topLinePunct w:val="0"/>
        <w:autoSpaceDE/>
        <w:autoSpaceDN/>
        <w:bidi w:val="0"/>
        <w:adjustRightInd/>
        <w:snapToGrid/>
        <w:spacing w:before="0" w:after="0" w:line="520" w:lineRule="exact"/>
        <w:ind w:firstLine="643" w:firstLineChars="200"/>
        <w:jc w:val="both"/>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（一）项目决策情况</w:t>
      </w:r>
    </w:p>
    <w:p w14:paraId="72A6FAFB">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项目决策类指标包括项目立项、绩效目标和资金投入三方面的内容，由6个三级指标构成，权重分值为20分，实际得分20分，得分率为100%。</w:t>
      </w:r>
    </w:p>
    <w:p w14:paraId="136067D1">
      <w:pPr>
        <w:pStyle w:val="19"/>
        <w:keepNext w:val="0"/>
        <w:keepLines w:val="0"/>
        <w:pageBreakBefore w:val="0"/>
        <w:widowControl w:val="0"/>
        <w:shd w:val="clear"/>
        <w:kinsoku/>
        <w:wordWrap/>
        <w:overflowPunct/>
        <w:topLinePunct w:val="0"/>
        <w:autoSpaceDE/>
        <w:autoSpaceDN/>
        <w:bidi w:val="0"/>
        <w:adjustRightInd/>
        <w:snapToGrid/>
        <w:spacing w:line="52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22324175">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14:paraId="3627BFBF">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217335FC">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14:paraId="08444F15">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highlight w:val="none"/>
          <w:lang w:eastAsia="zh-Hans"/>
        </w:rPr>
        <w:t>；</w:t>
      </w:r>
      <w:r>
        <w:rPr>
          <w:rFonts w:hint="eastAsia" w:ascii="仿宋_GB2312" w:hAnsi="仿宋_GB2312" w:eastAsia="仿宋_GB2312" w:cs="仿宋_GB2312"/>
          <w:sz w:val="32"/>
          <w:szCs w:val="32"/>
          <w:highlight w:val="none"/>
          <w:lang w:val="en-US" w:eastAsia="zh-CN"/>
        </w:rPr>
        <w:t>根据验收依据编制工作计划和经费预算，经过与部门项目分管领导沟通、筛选确定经费预算计划，确定最终预算方案。项目的审批文件、材料符合相关要求，项目事前经过必要的专家论证、风险评估、集体决策，</w:t>
      </w:r>
      <w:r>
        <w:rPr>
          <w:rFonts w:hint="eastAsia" w:ascii="仿宋_GB2312" w:hAnsi="仿宋_GB2312" w:eastAsia="仿宋_GB2312" w:cs="仿宋_GB2312"/>
          <w:sz w:val="32"/>
          <w:szCs w:val="32"/>
          <w:lang w:val="en-US" w:eastAsia="zh-CN"/>
        </w:rPr>
        <w:t>保障了程序的规范性。</w:t>
      </w:r>
    </w:p>
    <w:p w14:paraId="5D230370">
      <w:pPr>
        <w:pStyle w:val="19"/>
        <w:keepNext w:val="0"/>
        <w:keepLines w:val="0"/>
        <w:pageBreakBefore w:val="0"/>
        <w:widowControl w:val="0"/>
        <w:shd w:val="clear"/>
        <w:kinsoku/>
        <w:wordWrap/>
        <w:overflowPunct/>
        <w:topLinePunct w:val="0"/>
        <w:autoSpaceDE/>
        <w:autoSpaceDN/>
        <w:bidi w:val="0"/>
        <w:adjustRightInd/>
        <w:snapToGrid/>
        <w:spacing w:line="52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5F122397">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14:paraId="6E272538">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3EACD347">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14:paraId="6CF0FD4C">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w:t>
      </w:r>
      <w:r>
        <w:rPr>
          <w:rFonts w:hint="eastAsia" w:ascii="仿宋_GB2312" w:hAnsi="仿宋_GB2312" w:eastAsia="仿宋_GB2312" w:cs="仿宋_GB2312"/>
          <w:sz w:val="32"/>
          <w:szCs w:val="32"/>
          <w:highlight w:val="none"/>
          <w:lang w:val="en-US" w:eastAsia="zh-CN"/>
        </w:rPr>
        <w:t>定的绩效指标清晰、细化、可衡量。</w:t>
      </w:r>
    </w:p>
    <w:p w14:paraId="08BC6680">
      <w:pPr>
        <w:pStyle w:val="19"/>
        <w:keepNext w:val="0"/>
        <w:keepLines w:val="0"/>
        <w:pageBreakBefore w:val="0"/>
        <w:widowControl w:val="0"/>
        <w:shd w:val="clear"/>
        <w:kinsoku/>
        <w:wordWrap/>
        <w:overflowPunct/>
        <w:topLinePunct w:val="0"/>
        <w:autoSpaceDE/>
        <w:autoSpaceDN/>
        <w:bidi w:val="0"/>
        <w:adjustRightInd/>
        <w:snapToGrid/>
        <w:spacing w:line="52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14:paraId="2A30BC68">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（1）预算编制科学性</w:t>
      </w:r>
    </w:p>
    <w:p w14:paraId="352E90C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493BDB28">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在预算编制过程中，</w:t>
      </w:r>
      <w:r>
        <w:rPr>
          <w:rFonts w:hint="eastAsia" w:ascii="仿宋_GB2312" w:hAnsi="仿宋_GB2312" w:eastAsia="仿宋_GB2312" w:cs="仿宋_GB2312"/>
          <w:sz w:val="32"/>
          <w:szCs w:val="32"/>
          <w:highlight w:val="none"/>
          <w:lang w:val="en-US" w:eastAsia="zh-CN"/>
        </w:rPr>
        <w:t>还</w:t>
      </w:r>
      <w:r>
        <w:rPr>
          <w:rFonts w:hint="eastAsia" w:ascii="仿宋_GB2312" w:hAnsi="仿宋_GB2312" w:eastAsia="仿宋_GB2312" w:cs="仿宋_GB2312"/>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2692017E">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（2）资金分配合理性</w:t>
      </w:r>
    </w:p>
    <w:p w14:paraId="35E45BC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1C25139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39D44C6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306C25BC">
      <w:pPr>
        <w:pStyle w:val="10"/>
        <w:pageBreakBefore w:val="0"/>
        <w:numPr>
          <w:ilvl w:val="0"/>
          <w:numId w:val="4"/>
        </w:numPr>
        <w:kinsoku/>
        <w:wordWrap/>
        <w:overflowPunct/>
        <w:topLinePunct w:val="0"/>
        <w:autoSpaceDE/>
        <w:autoSpaceDN/>
        <w:bidi w:val="0"/>
        <w:adjustRightInd/>
        <w:snapToGrid/>
        <w:spacing w:before="0" w:after="0" w:line="520" w:lineRule="exact"/>
        <w:ind w:firstLine="643" w:firstLineChars="200"/>
        <w:jc w:val="both"/>
        <w:textAlignment w:val="auto"/>
        <w:rPr>
          <w:rFonts w:hint="default" w:ascii="Times New Roman" w:hAnsi="Times New Roman" w:eastAsia="楷体" w:cs="Times New Roman"/>
          <w:sz w:val="32"/>
          <w:szCs w:val="32"/>
        </w:rPr>
      </w:pPr>
      <w:r>
        <w:rPr>
          <w:rFonts w:hint="default" w:ascii="Times New Roman" w:hAnsi="Times New Roman" w:eastAsia="楷体" w:cs="Times New Roman"/>
          <w:sz w:val="32"/>
          <w:szCs w:val="32"/>
        </w:rPr>
        <w:t>项目过程情况</w:t>
      </w:r>
    </w:p>
    <w:p w14:paraId="4A3B23A5">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，实际得分19.99分，得分率为99.99%。</w:t>
      </w:r>
    </w:p>
    <w:p w14:paraId="2CE6DD9D">
      <w:pPr>
        <w:pStyle w:val="19"/>
        <w:keepNext w:val="0"/>
        <w:keepLines w:val="0"/>
        <w:pageBreakBefore w:val="0"/>
        <w:widowControl w:val="0"/>
        <w:shd w:val="clear"/>
        <w:kinsoku/>
        <w:wordWrap/>
        <w:overflowPunct/>
        <w:topLinePunct w:val="0"/>
        <w:autoSpaceDE/>
        <w:autoSpaceDN/>
        <w:bidi w:val="0"/>
        <w:adjustRightInd/>
        <w:snapToGrid/>
        <w:spacing w:line="52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75C058CA">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（1）资金到位率</w:t>
      </w:r>
    </w:p>
    <w:p w14:paraId="413E767D">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本项目总投资45万元，财政资金及时足额到位，到位率100%，预算资金按计划进度执行。</w:t>
      </w:r>
    </w:p>
    <w:p w14:paraId="7BF6C5D3">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14:paraId="57D888E8">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预算编制较为详细，项目资金支出总体能够按照预算执行，预算资金支出44.95万元，预算执行率为99.89%。</w:t>
      </w:r>
    </w:p>
    <w:p w14:paraId="2667D657">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（3）资金使用合规性</w:t>
      </w:r>
    </w:p>
    <w:p w14:paraId="483B3B9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本项目的资金使用严格遵循了国家相关法律法规与财务制度</w:t>
      </w:r>
      <w:r>
        <w:rPr>
          <w:rFonts w:hint="eastAsia" w:ascii="仿宋_GB2312" w:hAnsi="仿宋_GB2312" w:eastAsia="仿宋_GB2312" w:cs="仿宋_GB2312"/>
          <w:sz w:val="32"/>
          <w:szCs w:val="32"/>
          <w:highlight w:val="none"/>
          <w:lang w:val="en-US" w:eastAsia="zh-CN"/>
        </w:rPr>
        <w:t>及</w:t>
      </w:r>
      <w:r>
        <w:rPr>
          <w:rFonts w:hint="eastAsia" w:ascii="仿宋_GB2312" w:hAnsi="仿宋_GB2312" w:eastAsia="仿宋_GB2312" w:cs="仿宋_GB2312"/>
          <w:sz w:val="32"/>
          <w:szCs w:val="32"/>
          <w:highlight w:val="none"/>
          <w:lang w:eastAsia="zh-CN"/>
        </w:rPr>
        <w:t>昌州财农[2023]58号</w:t>
      </w:r>
      <w:r>
        <w:rPr>
          <w:rFonts w:hint="eastAsia" w:ascii="仿宋_GB2312" w:hAnsi="仿宋_GB2312" w:eastAsia="仿宋_GB2312" w:cs="仿宋_GB2312"/>
          <w:sz w:val="32"/>
          <w:szCs w:val="32"/>
          <w:highlight w:val="none"/>
          <w:lang w:val="en-US" w:eastAsia="zh-CN"/>
        </w:rPr>
        <w:t>文件要求</w:t>
      </w:r>
      <w:r>
        <w:rPr>
          <w:rFonts w:hint="eastAsia" w:ascii="仿宋_GB2312" w:hAnsi="仿宋_GB2312" w:eastAsia="仿宋_GB2312" w:cs="仿宋_GB2312"/>
          <w:sz w:val="32"/>
          <w:szCs w:val="32"/>
          <w:highlight w:val="none"/>
          <w:lang w:eastAsia="zh-CN"/>
        </w:rPr>
        <w:t>，确保了资金的合规性与安全性。在资金使用过程中，我们建立了完善的财务管理体系，对资金的流动进行了全程监控与记录。</w:t>
      </w:r>
    </w:p>
    <w:p w14:paraId="10BE763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4CB6416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5D4BC0E7">
      <w:pPr>
        <w:pStyle w:val="19"/>
        <w:keepNext w:val="0"/>
        <w:keepLines w:val="0"/>
        <w:pageBreakBefore w:val="0"/>
        <w:widowControl w:val="0"/>
        <w:shd w:val="clear"/>
        <w:kinsoku/>
        <w:wordWrap/>
        <w:overflowPunct/>
        <w:topLinePunct w:val="0"/>
        <w:autoSpaceDE/>
        <w:autoSpaceDN/>
        <w:bidi w:val="0"/>
        <w:adjustRightInd/>
        <w:snapToGrid/>
        <w:spacing w:line="52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567155DC">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（1）管理制度健全性</w:t>
      </w:r>
    </w:p>
    <w:p w14:paraId="03642F0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7EDB74C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在制度设计上，我们注重了制度的科学性与可操作性，确保制度能够切实指导项目的执行与管理。</w:t>
      </w:r>
    </w:p>
    <w:p w14:paraId="1B8F265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5183A5E5">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62E6D3DD">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（2）制度执行有效性</w:t>
      </w:r>
    </w:p>
    <w:p w14:paraId="73CFFAB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本项目在执行过程中，管理制度得到了全面、有效的落实，为确保项目的顺利实施与目标实现提供了坚实的保障。项目</w:t>
      </w:r>
      <w:r>
        <w:rPr>
          <w:rFonts w:hint="eastAsia" w:ascii="仿宋_GB2312" w:hAnsi="仿宋_GB2312" w:eastAsia="仿宋_GB2312" w:cs="仿宋_GB2312"/>
          <w:sz w:val="32"/>
          <w:szCs w:val="32"/>
          <w:highlight w:val="none"/>
          <w:lang w:val="en-US" w:eastAsia="zh-CN"/>
        </w:rPr>
        <w:t>单位</w:t>
      </w:r>
      <w:r>
        <w:rPr>
          <w:rFonts w:hint="eastAsia" w:ascii="仿宋_GB2312" w:hAnsi="仿宋_GB2312" w:eastAsia="仿宋_GB2312" w:cs="仿宋_GB2312"/>
          <w:sz w:val="32"/>
          <w:szCs w:val="32"/>
          <w:highlight w:val="none"/>
          <w:lang w:eastAsia="zh-CN"/>
        </w:rPr>
        <w:t>重视制度执行的重要性，通过明确责任分工、制定详细执行计划、加强监督考核等措施，确保了各项管理制度能够得到有效执行。</w:t>
      </w:r>
    </w:p>
    <w:p w14:paraId="6307A7D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0203D88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综上所述，本项目的管理制度在执行过程中表现出了高度的有效性，既确保了项目的顺利进行，又实现了项目目标的有效达成。</w:t>
      </w:r>
    </w:p>
    <w:p w14:paraId="3FCA42A5">
      <w:pPr>
        <w:pStyle w:val="12"/>
        <w:pageBreakBefore w:val="0"/>
        <w:numPr>
          <w:ilvl w:val="0"/>
          <w:numId w:val="4"/>
        </w:numPr>
        <w:kinsoku/>
        <w:wordWrap/>
        <w:overflowPunct/>
        <w:topLinePunct w:val="0"/>
        <w:autoSpaceDE/>
        <w:autoSpaceDN/>
        <w:bidi w:val="0"/>
        <w:adjustRightInd/>
        <w:snapToGrid/>
        <w:spacing w:line="520" w:lineRule="exact"/>
        <w:ind w:firstLine="643"/>
        <w:textAlignment w:val="auto"/>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14:paraId="34C23080">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项目产出类指标包括产出数量、产出质</w:t>
      </w:r>
      <w:r>
        <w:rPr>
          <w:rFonts w:hint="eastAsia" w:ascii="仿宋_GB2312" w:hAnsi="仿宋_GB2312" w:eastAsia="仿宋_GB2312" w:cs="仿宋_GB2312"/>
          <w:sz w:val="32"/>
          <w:szCs w:val="32"/>
          <w:lang w:val="en-US" w:eastAsia="zh-CN"/>
        </w:rPr>
        <w:t>量、产出时效、产出成本四方面的内容，</w:t>
      </w:r>
      <w:r>
        <w:rPr>
          <w:rFonts w:hint="eastAsia" w:ascii="仿宋_GB2312" w:hAnsi="仿宋_GB2312" w:eastAsia="仿宋_GB2312" w:cs="仿宋_GB2312"/>
          <w:sz w:val="32"/>
          <w:szCs w:val="32"/>
          <w:highlight w:val="none"/>
          <w:lang w:val="en-US" w:eastAsia="zh-CN"/>
        </w:rPr>
        <w:t>由5个</w:t>
      </w:r>
      <w:r>
        <w:rPr>
          <w:rFonts w:hint="eastAsia" w:ascii="仿宋_GB2312" w:hAnsi="仿宋_GB2312" w:eastAsia="仿宋_GB2312" w:cs="仿宋_GB2312"/>
          <w:sz w:val="32"/>
          <w:szCs w:val="32"/>
          <w:lang w:val="en-US" w:eastAsia="zh-CN"/>
        </w:rPr>
        <w:t>三级指标构成</w:t>
      </w:r>
      <w:r>
        <w:rPr>
          <w:rFonts w:hint="eastAsia" w:ascii="仿宋_GB2312" w:hAnsi="仿宋_GB2312" w:eastAsia="仿宋_GB2312" w:cs="仿宋_GB2312"/>
          <w:sz w:val="32"/>
          <w:szCs w:val="32"/>
          <w:highlight w:val="none"/>
          <w:lang w:val="en-US" w:eastAsia="zh-CN"/>
        </w:rPr>
        <w:t>，权重分为40分，实际得分40分，得分率为100%。具体产出指标完成情</w:t>
      </w:r>
      <w:r>
        <w:rPr>
          <w:rFonts w:hint="eastAsia" w:ascii="仿宋_GB2312" w:hAnsi="仿宋_GB2312" w:eastAsia="仿宋_GB2312" w:cs="仿宋_GB2312"/>
          <w:sz w:val="32"/>
          <w:szCs w:val="32"/>
          <w:lang w:val="en-US" w:eastAsia="zh-CN"/>
        </w:rPr>
        <w:t>况如下：</w:t>
      </w:r>
    </w:p>
    <w:p w14:paraId="0B16E506">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14:paraId="3208BB9F">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指标1：项目竣工验收合格率：&gt;=160盏，实际完成值：</w:t>
      </w:r>
      <w:r>
        <w:rPr>
          <w:rFonts w:hint="eastAsia" w:ascii="仿宋_GB2312" w:hAnsi="仿宋_GB2312" w:eastAsia="仿宋_GB2312" w:cs="仿宋_GB2312"/>
          <w:sz w:val="32"/>
          <w:szCs w:val="32"/>
          <w:highlight w:val="none"/>
          <w:lang w:val="en-US" w:eastAsia="zh-CN"/>
        </w:rPr>
        <w:t>200</w:t>
      </w:r>
      <w:r>
        <w:rPr>
          <w:rFonts w:hint="eastAsia" w:ascii="仿宋_GB2312" w:hAnsi="仿宋_GB2312" w:eastAsia="仿宋_GB2312" w:cs="仿宋_GB2312"/>
          <w:sz w:val="32"/>
          <w:szCs w:val="32"/>
          <w:highlight w:val="none"/>
        </w:rPr>
        <w:t>盏，指标完成率</w:t>
      </w:r>
      <w:r>
        <w:rPr>
          <w:rFonts w:hint="eastAsia" w:ascii="仿宋_GB2312" w:hAnsi="仿宋_GB2312" w:eastAsia="仿宋_GB2312" w:cs="仿宋_GB2312"/>
          <w:sz w:val="32"/>
          <w:szCs w:val="32"/>
          <w:highlight w:val="none"/>
          <w:lang w:val="en-US" w:eastAsia="zh-CN"/>
        </w:rPr>
        <w:t>125</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，偏差原因：我单位在实际执行过程中，经与供货方友好洽谈，在预算资金范围内将供货量增加至200盏。</w:t>
      </w:r>
    </w:p>
    <w:p w14:paraId="6D581B18">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14:paraId="6DFD0349">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指标1：安装路灯数量：=100%，实际完成值：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33EDC748">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14:paraId="5A499809">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指标1：项目按计划开工时间：=100%，实际完成值：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68D4CFD8">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：项目按计划完工时间：=100%，实际完成值：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5ACD8A7B">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4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④</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成本指标：</w:t>
      </w:r>
    </w:p>
    <w:p w14:paraId="5CD95D5A">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：安装路灯标准：＜=2812.5元/盏，实际完成值：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2A878AE9">
      <w:pPr>
        <w:pStyle w:val="12"/>
        <w:pageBreakBefore w:val="0"/>
        <w:numPr>
          <w:ilvl w:val="0"/>
          <w:numId w:val="4"/>
        </w:numPr>
        <w:kinsoku/>
        <w:wordWrap/>
        <w:overflowPunct/>
        <w:topLinePunct w:val="0"/>
        <w:autoSpaceDE/>
        <w:autoSpaceDN/>
        <w:bidi w:val="0"/>
        <w:adjustRightInd/>
        <w:snapToGrid/>
        <w:spacing w:line="520" w:lineRule="exact"/>
        <w:ind w:firstLine="643"/>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580EBA3D">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项目效益类指标包括项目</w:t>
      </w:r>
      <w:r>
        <w:rPr>
          <w:rFonts w:hint="eastAsia" w:ascii="仿宋_GB2312" w:hAnsi="仿宋_GB2312" w:eastAsia="仿宋_GB2312" w:cs="仿宋_GB2312"/>
          <w:sz w:val="32"/>
          <w:szCs w:val="32"/>
          <w:highlight w:val="none"/>
          <w:lang w:val="en-US" w:eastAsia="zh-CN"/>
        </w:rPr>
        <w:t>实施效益和满意度两方面的内容，由2个三级指标构成，权重分为20分，实际得分20分，得分率为100%。具体效益指标及满意度指标</w:t>
      </w:r>
      <w:r>
        <w:rPr>
          <w:rFonts w:hint="eastAsia" w:ascii="仿宋_GB2312" w:hAnsi="仿宋_GB2312" w:eastAsia="仿宋_GB2312" w:cs="仿宋_GB2312"/>
          <w:sz w:val="32"/>
          <w:szCs w:val="32"/>
          <w:lang w:val="en-US" w:eastAsia="zh-CN"/>
        </w:rPr>
        <w:t>完成情况如下：</w:t>
      </w:r>
    </w:p>
    <w:p w14:paraId="058DBD73">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color w:val="FF0000"/>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14:paraId="0233947E">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社会效益指标：</w:t>
      </w:r>
    </w:p>
    <w:p w14:paraId="1F422D5C">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w:t>
      </w:r>
      <w:r>
        <w:rPr>
          <w:rFonts w:hint="eastAsia" w:ascii="仿宋_GB2312" w:hAnsi="仿宋_GB2312" w:eastAsia="仿宋_GB2312" w:cs="仿宋_GB2312"/>
          <w:sz w:val="32"/>
          <w:szCs w:val="32"/>
          <w:highlight w:val="none"/>
        </w:rPr>
        <w:t>标1：安装路灯受益户数：&gt;=236户，实际完成值：</w:t>
      </w:r>
      <w:r>
        <w:rPr>
          <w:rFonts w:hint="eastAsia" w:ascii="仿宋_GB2312" w:hAnsi="仿宋_GB2312" w:eastAsia="仿宋_GB2312" w:cs="仿宋_GB2312"/>
          <w:sz w:val="32"/>
          <w:szCs w:val="32"/>
          <w:highlight w:val="none"/>
          <w:lang w:val="en-US" w:eastAsia="zh-CN"/>
        </w:rPr>
        <w:t>236户</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76C27988">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14:paraId="76796C3F">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指标1：群众满意度：&gt;=90%，实际完成值：</w:t>
      </w:r>
      <w:r>
        <w:rPr>
          <w:rFonts w:hint="eastAsia" w:ascii="仿宋_GB2312" w:hAnsi="仿宋_GB2312" w:eastAsia="仿宋_GB2312" w:cs="仿宋_GB2312"/>
          <w:sz w:val="32"/>
          <w:szCs w:val="32"/>
          <w:highlight w:val="none"/>
          <w:lang w:val="en-US" w:eastAsia="zh-CN"/>
        </w:rPr>
        <w:t>90%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65F8F735">
      <w:pPr>
        <w:pageBreakBefore w:val="0"/>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14:paraId="78060909">
      <w:pPr>
        <w:pStyle w:val="19"/>
        <w:pageBreakBefore w:val="0"/>
        <w:kinsoku/>
        <w:wordWrap/>
        <w:overflowPunct/>
        <w:topLinePunct w:val="0"/>
        <w:autoSpaceDE/>
        <w:autoSpaceDN/>
        <w:bidi w:val="0"/>
        <w:adjustRightInd/>
        <w:snapToGrid/>
        <w:spacing w:line="520" w:lineRule="exact"/>
        <w:ind w:firstLine="64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昌州财农[2023]58号碧流河镇西戈壁村四五六组村容村貌改造提升</w:t>
      </w:r>
      <w:r>
        <w:rPr>
          <w:rFonts w:hint="eastAsia" w:ascii="仿宋_GB2312" w:hAnsi="仿宋_GB2312" w:eastAsia="仿宋_GB2312" w:cs="仿宋_GB2312"/>
          <w:sz w:val="32"/>
          <w:szCs w:val="32"/>
          <w:highlight w:val="none"/>
        </w:rPr>
        <w:t>项目年初预算</w:t>
      </w:r>
      <w:r>
        <w:rPr>
          <w:rFonts w:hint="eastAsia" w:ascii="仿宋_GB2312" w:hAnsi="仿宋_GB2312" w:eastAsia="仿宋_GB2312" w:cs="仿宋_GB2312"/>
          <w:sz w:val="32"/>
          <w:szCs w:val="32"/>
          <w:highlight w:val="none"/>
          <w:lang w:val="en-US" w:eastAsia="zh-CN"/>
        </w:rPr>
        <w:t>45</w:t>
      </w:r>
      <w:r>
        <w:rPr>
          <w:rFonts w:hint="eastAsia" w:ascii="仿宋_GB2312" w:hAnsi="仿宋_GB2312" w:eastAsia="仿宋_GB2312" w:cs="仿宋_GB2312"/>
          <w:sz w:val="32"/>
          <w:szCs w:val="32"/>
          <w:highlight w:val="none"/>
        </w:rPr>
        <w:t>万元，全年预算</w:t>
      </w:r>
      <w:r>
        <w:rPr>
          <w:rFonts w:hint="eastAsia" w:ascii="仿宋_GB2312" w:hAnsi="仿宋_GB2312" w:eastAsia="仿宋_GB2312" w:cs="仿宋_GB2312"/>
          <w:sz w:val="32"/>
          <w:szCs w:val="32"/>
          <w:highlight w:val="none"/>
          <w:lang w:val="en-US" w:eastAsia="zh-CN"/>
        </w:rPr>
        <w:t>45</w:t>
      </w:r>
      <w:r>
        <w:rPr>
          <w:rFonts w:hint="eastAsia" w:ascii="仿宋_GB2312" w:hAnsi="仿宋_GB2312" w:eastAsia="仿宋_GB2312" w:cs="仿宋_GB2312"/>
          <w:sz w:val="32"/>
          <w:szCs w:val="32"/>
          <w:highlight w:val="none"/>
        </w:rPr>
        <w:t>万元，实际支出</w:t>
      </w:r>
      <w:r>
        <w:rPr>
          <w:rFonts w:hint="eastAsia" w:ascii="仿宋_GB2312" w:hAnsi="仿宋_GB2312" w:eastAsia="仿宋_GB2312" w:cs="仿宋_GB2312"/>
          <w:sz w:val="32"/>
          <w:szCs w:val="32"/>
          <w:highlight w:val="none"/>
          <w:lang w:val="en-US" w:eastAsia="zh-CN"/>
        </w:rPr>
        <w:t>44.95</w:t>
      </w:r>
      <w:r>
        <w:rPr>
          <w:rFonts w:hint="eastAsia" w:ascii="仿宋_GB2312" w:hAnsi="仿宋_GB2312" w:eastAsia="仿宋_GB2312" w:cs="仿宋_GB2312"/>
          <w:sz w:val="32"/>
          <w:szCs w:val="32"/>
          <w:highlight w:val="none"/>
        </w:rPr>
        <w:t>万元，预算执行率为</w:t>
      </w:r>
      <w:r>
        <w:rPr>
          <w:rFonts w:hint="eastAsia" w:ascii="仿宋_GB2312" w:hAnsi="仿宋_GB2312" w:eastAsia="仿宋_GB2312" w:cs="仿宋_GB2312"/>
          <w:sz w:val="32"/>
          <w:szCs w:val="32"/>
          <w:highlight w:val="none"/>
          <w:lang w:val="en-US" w:eastAsia="zh-CN"/>
        </w:rPr>
        <w:t>99.89</w:t>
      </w:r>
      <w:r>
        <w:rPr>
          <w:rFonts w:hint="eastAsia" w:ascii="仿宋_GB2312" w:hAnsi="仿宋_GB2312" w:eastAsia="仿宋_GB2312" w:cs="仿宋_GB2312"/>
          <w:sz w:val="32"/>
          <w:szCs w:val="32"/>
          <w:highlight w:val="none"/>
        </w:rPr>
        <w:t>%，项目绩效指标总体完成率为</w:t>
      </w:r>
      <w:r>
        <w:rPr>
          <w:rFonts w:hint="eastAsia" w:ascii="仿宋_GB2312" w:hAnsi="仿宋_GB2312" w:eastAsia="仿宋_GB2312" w:cs="仿宋_GB2312"/>
          <w:sz w:val="32"/>
          <w:szCs w:val="32"/>
          <w:highlight w:val="none"/>
          <w:lang w:val="en-US" w:eastAsia="zh-CN"/>
        </w:rPr>
        <w:t>103.57</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Hans"/>
        </w:rPr>
        <w:t>总体</w:t>
      </w:r>
      <w:r>
        <w:rPr>
          <w:rFonts w:hint="eastAsia" w:ascii="仿宋_GB2312" w:hAnsi="仿宋_GB2312" w:eastAsia="仿宋_GB2312" w:cs="仿宋_GB2312"/>
          <w:sz w:val="32"/>
          <w:szCs w:val="32"/>
          <w:highlight w:val="none"/>
        </w:rPr>
        <w:t>偏差率为</w:t>
      </w:r>
      <w:r>
        <w:rPr>
          <w:rFonts w:hint="eastAsia" w:ascii="仿宋_GB2312" w:hAnsi="仿宋_GB2312" w:eastAsia="仿宋_GB2312" w:cs="仿宋_GB2312"/>
          <w:sz w:val="32"/>
          <w:szCs w:val="32"/>
          <w:highlight w:val="none"/>
          <w:lang w:val="en-US" w:eastAsia="zh-CN"/>
        </w:rPr>
        <w:t>3.68</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eastAsia="zh-Hans"/>
        </w:rPr>
        <w:t>偏差</w:t>
      </w:r>
      <w:r>
        <w:rPr>
          <w:rFonts w:hint="eastAsia" w:ascii="仿宋_GB2312" w:hAnsi="仿宋_GB2312" w:eastAsia="仿宋_GB2312" w:cs="仿宋_GB2312"/>
          <w:sz w:val="32"/>
          <w:szCs w:val="32"/>
          <w:highlight w:val="none"/>
        </w:rPr>
        <w:t>原因</w:t>
      </w:r>
      <w:r>
        <w:rPr>
          <w:rFonts w:hint="eastAsia" w:ascii="仿宋_GB2312" w:hAnsi="仿宋_GB2312" w:eastAsia="仿宋_GB2312" w:cs="仿宋_GB2312"/>
          <w:sz w:val="32"/>
          <w:szCs w:val="32"/>
          <w:highlight w:val="none"/>
          <w:lang w:eastAsia="zh-Hans"/>
        </w:rPr>
        <w:t>：我单位在实际执行过程中，经与供货方友好洽谈，在预算资金范围内将供货量增加至200盏。改进</w:t>
      </w:r>
      <w:r>
        <w:rPr>
          <w:rFonts w:hint="eastAsia" w:ascii="仿宋_GB2312" w:hAnsi="仿宋_GB2312" w:eastAsia="仿宋_GB2312" w:cs="仿宋_GB2312"/>
          <w:sz w:val="32"/>
          <w:szCs w:val="32"/>
          <w:highlight w:val="none"/>
        </w:rPr>
        <w:t>措施</w:t>
      </w:r>
      <w:r>
        <w:rPr>
          <w:rFonts w:hint="eastAsia" w:ascii="仿宋_GB2312" w:hAnsi="仿宋_GB2312" w:eastAsia="仿宋_GB2312" w:cs="仿宋_GB2312"/>
          <w:sz w:val="32"/>
          <w:szCs w:val="32"/>
          <w:highlight w:val="none"/>
          <w:lang w:eastAsia="zh-Hans"/>
        </w:rPr>
        <w:t>加强预算支出的管理，要严格预算刚性约束，减少中间环节滞留、挤占、挪用等问题发生，加强资金监管力度。</w:t>
      </w:r>
    </w:p>
    <w:p w14:paraId="017ACDAC">
      <w:pPr>
        <w:pageBreakBefore w:val="0"/>
        <w:kinsoku/>
        <w:wordWrap/>
        <w:overflowPunct/>
        <w:topLinePunct w:val="0"/>
        <w:autoSpaceDE/>
        <w:autoSpaceDN/>
        <w:bidi w:val="0"/>
        <w:adjustRightInd/>
        <w:snapToGrid/>
        <w:spacing w:line="520" w:lineRule="exact"/>
        <w:ind w:firstLine="640" w:firstLineChars="200"/>
        <w:textAlignment w:val="auto"/>
        <w:rPr>
          <w:rStyle w:val="18"/>
          <w:rFonts w:hint="default" w:ascii="Times New Roman" w:hAnsi="Times New Roman" w:cs="Times New Roman"/>
          <w:color w:val="auto"/>
          <w:sz w:val="32"/>
          <w:szCs w:val="32"/>
        </w:rPr>
      </w:pPr>
      <w:r>
        <w:rPr>
          <w:rFonts w:hint="eastAsia" w:eastAsia="黑体" w:cs="Times New Roman"/>
          <w:sz w:val="32"/>
          <w:szCs w:val="32"/>
          <w:highlight w:val="none"/>
          <w:lang w:val="en-US" w:eastAsia="zh-CN"/>
        </w:rPr>
        <w:t>五、</w:t>
      </w:r>
      <w:r>
        <w:rPr>
          <w:rFonts w:hint="default" w:ascii="Times New Roman" w:hAnsi="Times New Roman" w:eastAsia="黑体" w:cs="Times New Roman"/>
          <w:sz w:val="32"/>
          <w:szCs w:val="32"/>
          <w:highlight w:val="none"/>
        </w:rPr>
        <w:t>主要经验及做法、存在的问题</w:t>
      </w:r>
      <w:r>
        <w:rPr>
          <w:rFonts w:hint="default" w:ascii="Times New Roman" w:hAnsi="Times New Roman" w:eastAsia="黑体" w:cs="Times New Roman"/>
          <w:sz w:val="32"/>
          <w:szCs w:val="32"/>
        </w:rPr>
        <w:t>及原因分析</w:t>
      </w:r>
    </w:p>
    <w:p w14:paraId="5B5A6433">
      <w:pPr>
        <w:pageBreakBefore w:val="0"/>
        <w:kinsoku/>
        <w:wordWrap/>
        <w:overflowPunct/>
        <w:topLinePunct w:val="0"/>
        <w:autoSpaceDE/>
        <w:autoSpaceDN/>
        <w:bidi w:val="0"/>
        <w:adjustRightInd/>
        <w:snapToGrid/>
        <w:spacing w:line="520" w:lineRule="exact"/>
        <w:ind w:firstLine="627" w:firstLineChars="200"/>
        <w:textAlignment w:val="auto"/>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5542A86C">
      <w:pPr>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52209881">
      <w:pPr>
        <w:pStyle w:val="10"/>
        <w:pageBreakBefore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仿宋_GB2312" w:hAnsi="仿宋_GB2312" w:eastAsia="仿宋_GB2312" w:cs="仿宋_GB2312"/>
          <w:b w:val="0"/>
          <w:bCs w:val="0"/>
          <w:kern w:val="2"/>
          <w:sz w:val="32"/>
          <w:szCs w:val="32"/>
        </w:rPr>
      </w:pPr>
      <w:r>
        <w:rPr>
          <w:rFonts w:hint="eastAsia" w:ascii="仿宋_GB2312" w:hAnsi="仿宋_GB2312" w:eastAsia="仿宋_GB2312" w:cs="仿宋_GB2312"/>
          <w:b w:val="0"/>
          <w:bCs w:val="0"/>
          <w:kern w:val="2"/>
          <w:sz w:val="32"/>
          <w:szCs w:val="32"/>
        </w:rPr>
        <w:t>严格坚持先做事、后验收、再拨付的原则，</w:t>
      </w:r>
      <w:r>
        <w:rPr>
          <w:rFonts w:hint="eastAsia" w:ascii="仿宋_GB2312" w:hAnsi="仿宋_GB2312" w:eastAsia="仿宋_GB2312" w:cs="仿宋_GB2312"/>
          <w:b w:val="0"/>
          <w:bCs w:val="0"/>
          <w:kern w:val="2"/>
          <w:sz w:val="32"/>
          <w:szCs w:val="32"/>
          <w:lang w:eastAsia="zh-CN"/>
        </w:rPr>
        <w:t>杜绝</w:t>
      </w:r>
      <w:r>
        <w:rPr>
          <w:rFonts w:hint="eastAsia" w:ascii="仿宋_GB2312" w:hAnsi="仿宋_GB2312" w:eastAsia="仿宋_GB2312" w:cs="仿宋_GB2312"/>
          <w:b w:val="0"/>
          <w:bCs w:val="0"/>
          <w:kern w:val="2"/>
          <w:sz w:val="32"/>
          <w:szCs w:val="3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5C5D6D90">
      <w:pPr>
        <w:keepNext/>
        <w:keepLines/>
        <w:pageBreakBefore w:val="0"/>
        <w:numPr>
          <w:ilvl w:val="0"/>
          <w:numId w:val="5"/>
        </w:numPr>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206934B8">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7F7E3F11">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2.因轮岗、调动等因素使我单位绩效工作人员流动频繁，造成工作衔接不到位的情况。</w:t>
      </w:r>
    </w:p>
    <w:p w14:paraId="784A3078">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3.项目绩效考核依据需要更加充分，量化指标需要更加明细，要充分反映本项目开展的过程及成效。</w:t>
      </w:r>
    </w:p>
    <w:p w14:paraId="1BB678C4">
      <w:pPr>
        <w:pageBreakBefore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14:paraId="66544556">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14:paraId="45378C9D">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14:paraId="6FC3CE9C">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1B449A9C">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2"/>
          <w:szCs w:val="32"/>
        </w:rPr>
        <w:t>。</w:t>
      </w:r>
    </w:p>
    <w:p w14:paraId="33C260A9">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58DA63DC">
      <w:pPr>
        <w:pageBreakBefore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61974B41">
      <w:pPr>
        <w:pStyle w:val="13"/>
        <w:pageBreakBefore w:val="0"/>
        <w:kinsoku/>
        <w:wordWrap/>
        <w:overflowPunct/>
        <w:topLinePunct w:val="0"/>
        <w:autoSpaceDE/>
        <w:autoSpaceDN/>
        <w:bidi w:val="0"/>
        <w:adjustRightInd/>
        <w:snapToGrid/>
        <w:spacing w:after="0" w:line="520" w:lineRule="exact"/>
        <w:ind w:left="0" w:leftChars="0" w:firstLine="640"/>
        <w:textAlignment w:val="auto"/>
        <w:rPr>
          <w:rFonts w:hint="eastAsia" w:ascii="仿宋_GB2312" w:hAnsi="仿宋_GB2312" w:eastAsia="仿宋_GB2312" w:cs="仿宋_GB2312"/>
          <w:sz w:val="32"/>
          <w:szCs w:val="32"/>
          <w:lang w:eastAsia="zh-Hans"/>
        </w:rPr>
      </w:pPr>
      <w:r>
        <w:rPr>
          <w:rFonts w:hint="eastAsia" w:ascii="仿宋_GB2312" w:hAnsi="仿宋_GB2312" w:eastAsia="仿宋_GB2312" w:cs="仿宋_GB2312"/>
          <w:sz w:val="32"/>
          <w:szCs w:val="32"/>
          <w:lang w:eastAsia="zh-Hans"/>
        </w:rPr>
        <w:t>本项目无其他需说明的问题。</w:t>
      </w:r>
    </w:p>
    <w:p w14:paraId="0BD395EF">
      <w:pPr>
        <w:pStyle w:val="13"/>
        <w:pageBreakBefore w:val="0"/>
        <w:kinsoku/>
        <w:wordWrap/>
        <w:overflowPunct/>
        <w:topLinePunct w:val="0"/>
        <w:autoSpaceDE/>
        <w:autoSpaceDN/>
        <w:bidi w:val="0"/>
        <w:adjustRightInd/>
        <w:snapToGrid/>
        <w:spacing w:after="0" w:line="520" w:lineRule="exact"/>
        <w:ind w:left="0" w:leftChars="0" w:firstLine="0" w:firstLineChars="0"/>
        <w:textAlignment w:val="auto"/>
        <w:rPr>
          <w:rFonts w:hint="eastAsia" w:ascii="Times New Roman" w:hAnsi="Times New Roman" w:eastAsia="仿宋_GB2312" w:cs="Times New Roman"/>
          <w:sz w:val="32"/>
          <w:szCs w:val="32"/>
          <w:lang w:eastAsia="zh-CN"/>
        </w:rPr>
      </w:pPr>
    </w:p>
    <w:p w14:paraId="217DFBFF">
      <w:pPr>
        <w:pStyle w:val="13"/>
        <w:spacing w:after="0" w:line="560" w:lineRule="exact"/>
        <w:ind w:left="0" w:leftChars="0" w:firstLine="643" w:firstLineChars="200"/>
        <w:rPr>
          <w:rFonts w:hint="eastAsia" w:ascii="Times New Roman" w:hAnsi="Times New Roman" w:eastAsia="仿宋_GB2312" w:cs="Times New Roman"/>
          <w:b/>
          <w:bCs/>
          <w:color w:val="FF0000"/>
          <w:sz w:val="32"/>
          <w:szCs w:val="32"/>
          <w:lang w:eastAsia="zh-CN"/>
        </w:rPr>
      </w:pPr>
    </w:p>
    <w:p w14:paraId="6F3E2ED6">
      <w:pPr>
        <w:pStyle w:val="13"/>
        <w:spacing w:after="0" w:line="560" w:lineRule="exact"/>
        <w:ind w:left="0" w:leftChars="0" w:firstLine="640"/>
        <w:rPr>
          <w:rFonts w:hint="default" w:ascii="Times New Roman" w:hAnsi="Times New Roman" w:eastAsia="仿宋_GB2312" w:cs="Times New Roman"/>
          <w:sz w:val="32"/>
          <w:szCs w:val="32"/>
        </w:rPr>
      </w:pPr>
    </w:p>
    <w:p w14:paraId="602C10A7">
      <w:pPr>
        <w:pStyle w:val="13"/>
        <w:spacing w:after="0" w:line="560" w:lineRule="exact"/>
        <w:ind w:left="0" w:leftChars="0" w:firstLine="640"/>
        <w:rPr>
          <w:rFonts w:hint="default" w:ascii="Times New Roman" w:hAnsi="Times New Roman" w:eastAsia="仿宋_GB2312" w:cs="Times New Roman"/>
          <w:sz w:val="32"/>
          <w:szCs w:val="32"/>
        </w:rPr>
      </w:pPr>
    </w:p>
    <w:p w14:paraId="11BA06C8">
      <w:pPr>
        <w:pStyle w:val="13"/>
        <w:spacing w:after="0" w:line="560" w:lineRule="exact"/>
        <w:ind w:left="0" w:leftChars="0" w:firstLine="0" w:firstLineChars="0"/>
        <w:rPr>
          <w:rFonts w:hint="default" w:ascii="Times New Roman" w:hAnsi="Times New Roman" w:eastAsia="仿宋_GB2312" w:cs="Times New Roman"/>
          <w:sz w:val="32"/>
          <w:szCs w:val="32"/>
        </w:rPr>
      </w:pPr>
    </w:p>
    <w:p w14:paraId="70580D31">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2098" w:right="1474" w:bottom="1984" w:left="1587" w:header="851" w:footer="992" w:gutter="0"/>
          <w:pgNumType w:start="1"/>
          <w:cols w:space="425" w:num="1"/>
          <w:docGrid w:type="lines" w:linePitch="312" w:charSpace="0"/>
        </w:sectPr>
      </w:pPr>
    </w:p>
    <w:p w14:paraId="0A8231D5">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31A4B1A2">
      <w:pPr>
        <w:pStyle w:val="19"/>
        <w:ind w:firstLine="562"/>
        <w:jc w:val="center"/>
        <w:rPr>
          <w:rFonts w:hint="eastAsia" w:ascii="仿宋_GB2312" w:hAnsi="仿宋_GB2312" w:eastAsia="仿宋_GB2312" w:cs="仿宋_GB2312"/>
          <w:sz w:val="28"/>
          <w:szCs w:val="40"/>
          <w:highlight w:val="none"/>
        </w:rPr>
      </w:pPr>
      <w:bookmarkStart w:id="1" w:name="_Toc30064_WPSOffice_Level1"/>
      <w:bookmarkStart w:id="2" w:name="_Toc26499_WPSOffice_Level2"/>
      <w:r>
        <w:rPr>
          <w:rFonts w:hint="eastAsia" w:ascii="仿宋_GB2312" w:hAnsi="仿宋_GB2312" w:eastAsia="仿宋_GB2312" w:cs="仿宋_GB2312"/>
          <w:b/>
          <w:bCs/>
          <w:sz w:val="28"/>
          <w:szCs w:val="40"/>
          <w:highlight w:val="none"/>
          <w:lang w:val="en-US" w:eastAsia="zh-CN"/>
        </w:rPr>
        <w:t>昌州财农[2023]58号碧流河镇西戈壁村四五六组村容村貌改造提升项目</w:t>
      </w:r>
      <w:r>
        <w:rPr>
          <w:rFonts w:hint="eastAsia" w:ascii="仿宋_GB2312" w:hAnsi="仿宋_GB2312" w:eastAsia="仿宋_GB2312" w:cs="仿宋_GB2312"/>
          <w:b/>
          <w:bCs/>
          <w:sz w:val="28"/>
          <w:szCs w:val="40"/>
          <w:highlight w:val="none"/>
        </w:rPr>
        <w:t>绩效评价指标体系及综合评分表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693798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5A0DCC0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000" w:type="dxa"/>
            <w:shd w:val="clear" w:color="auto" w:fill="FFFFFF"/>
            <w:vAlign w:val="center"/>
          </w:tcPr>
          <w:p w14:paraId="0FC083B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14:paraId="3749B62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5" w:type="dxa"/>
            <w:shd w:val="clear" w:color="auto" w:fill="FFFFFF"/>
            <w:vAlign w:val="center"/>
          </w:tcPr>
          <w:p w14:paraId="1B4A27F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16" w:type="dxa"/>
            <w:shd w:val="clear" w:color="auto" w:fill="FFFFFF"/>
            <w:vAlign w:val="center"/>
          </w:tcPr>
          <w:p w14:paraId="6ECB0EC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304" w:type="dxa"/>
            <w:gridSpan w:val="2"/>
            <w:shd w:val="clear" w:color="auto" w:fill="FFFFFF"/>
            <w:vAlign w:val="center"/>
          </w:tcPr>
          <w:p w14:paraId="53F8F9F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5" w:type="dxa"/>
            <w:shd w:val="clear" w:color="auto" w:fill="FFFFFF"/>
            <w:vAlign w:val="center"/>
          </w:tcPr>
          <w:p w14:paraId="3E6134B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14:paraId="38161A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675B1AB8">
            <w:pPr>
              <w:widowControl/>
              <w:spacing w:line="0" w:lineRule="atLeast"/>
              <w:jc w:val="center"/>
              <w:rPr>
                <w:rFonts w:hint="default" w:ascii="Times New Roman" w:hAnsi="Times New Roman" w:eastAsia="仿宋_GB2312" w:cs="Times New Roman"/>
                <w:color w:val="000000"/>
                <w:kern w:val="0"/>
                <w:sz w:val="18"/>
                <w:szCs w:val="18"/>
                <w:highlight w:val="none"/>
              </w:rPr>
            </w:pPr>
          </w:p>
          <w:p w14:paraId="5BC6D94E">
            <w:pPr>
              <w:widowControl/>
              <w:spacing w:line="0" w:lineRule="atLeast"/>
              <w:jc w:val="center"/>
              <w:rPr>
                <w:rFonts w:hint="default" w:ascii="Times New Roman" w:hAnsi="Times New Roman" w:eastAsia="仿宋_GB2312" w:cs="Times New Roman"/>
                <w:color w:val="000000"/>
                <w:kern w:val="0"/>
                <w:sz w:val="18"/>
                <w:szCs w:val="18"/>
                <w:highlight w:val="none"/>
              </w:rPr>
            </w:pPr>
          </w:p>
          <w:p w14:paraId="7B5ACBEE">
            <w:pPr>
              <w:widowControl/>
              <w:spacing w:line="0" w:lineRule="atLeast"/>
              <w:jc w:val="center"/>
              <w:rPr>
                <w:rFonts w:hint="default" w:ascii="Times New Roman" w:hAnsi="Times New Roman" w:eastAsia="仿宋_GB2312" w:cs="Times New Roman"/>
                <w:color w:val="000000"/>
                <w:kern w:val="0"/>
                <w:sz w:val="18"/>
                <w:szCs w:val="18"/>
                <w:highlight w:val="none"/>
              </w:rPr>
            </w:pPr>
          </w:p>
          <w:p w14:paraId="204ED366">
            <w:pPr>
              <w:widowControl/>
              <w:spacing w:line="0" w:lineRule="atLeast"/>
              <w:jc w:val="center"/>
              <w:rPr>
                <w:rFonts w:hint="default" w:ascii="Times New Roman" w:hAnsi="Times New Roman" w:eastAsia="仿宋_GB2312" w:cs="Times New Roman"/>
                <w:color w:val="000000"/>
                <w:kern w:val="0"/>
                <w:sz w:val="18"/>
                <w:szCs w:val="18"/>
                <w:highlight w:val="none"/>
              </w:rPr>
            </w:pPr>
          </w:p>
          <w:p w14:paraId="706845C1">
            <w:pPr>
              <w:widowControl/>
              <w:spacing w:line="0" w:lineRule="atLeast"/>
              <w:jc w:val="center"/>
              <w:rPr>
                <w:rFonts w:hint="default" w:ascii="Times New Roman" w:hAnsi="Times New Roman" w:eastAsia="仿宋_GB2312" w:cs="Times New Roman"/>
                <w:color w:val="000000"/>
                <w:kern w:val="0"/>
                <w:sz w:val="18"/>
                <w:szCs w:val="18"/>
                <w:highlight w:val="none"/>
              </w:rPr>
            </w:pPr>
          </w:p>
          <w:p w14:paraId="459A6A92">
            <w:pPr>
              <w:widowControl/>
              <w:spacing w:line="0" w:lineRule="atLeast"/>
              <w:jc w:val="center"/>
              <w:rPr>
                <w:rFonts w:hint="default" w:ascii="Times New Roman" w:hAnsi="Times New Roman" w:eastAsia="仿宋_GB2312" w:cs="Times New Roman"/>
                <w:color w:val="000000"/>
                <w:kern w:val="0"/>
                <w:sz w:val="18"/>
                <w:szCs w:val="18"/>
                <w:highlight w:val="none"/>
              </w:rPr>
            </w:pPr>
          </w:p>
          <w:p w14:paraId="73B5C27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14:paraId="2896D7C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14:paraId="233A489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14:paraId="3C37B8B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5" w:type="dxa"/>
            <w:shd w:val="clear" w:color="auto" w:fill="FFFFFF"/>
            <w:vAlign w:val="center"/>
          </w:tcPr>
          <w:p w14:paraId="4AB6A72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14:paraId="7FF70745">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4" w:type="dxa"/>
            <w:gridSpan w:val="2"/>
            <w:shd w:val="clear" w:color="auto" w:fill="FFFFFF"/>
            <w:vAlign w:val="center"/>
          </w:tcPr>
          <w:p w14:paraId="62A9415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14:paraId="1505ECEF">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6693D6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01B936CD">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40C5C57B">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37F2872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14:paraId="67D368D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5" w:type="dxa"/>
            <w:shd w:val="clear" w:color="auto" w:fill="FFFFFF"/>
            <w:vAlign w:val="center"/>
          </w:tcPr>
          <w:p w14:paraId="557E80B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14:paraId="1843355F">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14:paraId="676FEC8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14:paraId="0AC56C04">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77C991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2BF27CFF">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56640EC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14:paraId="0A93C2B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14:paraId="1E351F7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000000" w:fill="FFFFFF"/>
            <w:vAlign w:val="center"/>
          </w:tcPr>
          <w:p w14:paraId="7C8027A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14:paraId="27B826A5">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5E6421C4">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4" w:type="dxa"/>
            <w:gridSpan w:val="2"/>
            <w:shd w:val="clear" w:color="000000" w:fill="FFFFFF"/>
            <w:vAlign w:val="center"/>
          </w:tcPr>
          <w:p w14:paraId="5ED2834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14:paraId="6B8213B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04944A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01F28403">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6CEC628F">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488608C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19A5CCF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5" w:type="dxa"/>
            <w:shd w:val="clear" w:color="000000" w:fill="FFFFFF"/>
            <w:vAlign w:val="center"/>
          </w:tcPr>
          <w:p w14:paraId="05EE546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14:paraId="2607B8D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4" w:type="dxa"/>
            <w:gridSpan w:val="2"/>
            <w:shd w:val="clear" w:color="000000" w:fill="FFFFFF"/>
            <w:vAlign w:val="center"/>
          </w:tcPr>
          <w:p w14:paraId="50155A9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14:paraId="5E6CC4B3">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3</w:t>
            </w:r>
          </w:p>
        </w:tc>
      </w:tr>
      <w:tr w14:paraId="7EFD49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086703CA">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72945E8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14:paraId="12AE691F">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5E3CEAE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762A2DD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5" w:type="dxa"/>
            <w:shd w:val="clear" w:color="auto" w:fill="FFFFFF"/>
            <w:vAlign w:val="center"/>
          </w:tcPr>
          <w:p w14:paraId="63FC309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21A38E7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4" w:type="dxa"/>
            <w:gridSpan w:val="2"/>
            <w:shd w:val="clear" w:color="auto" w:fill="FFFFFF"/>
            <w:vAlign w:val="center"/>
          </w:tcPr>
          <w:p w14:paraId="07A4B01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14:paraId="1BD1D2E9">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77935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738DEA2C">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5EDAAC59">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6616343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390F570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auto" w:fill="FFFFFF"/>
            <w:vAlign w:val="center"/>
          </w:tcPr>
          <w:p w14:paraId="4557FEB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331EF4B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4" w:type="dxa"/>
            <w:gridSpan w:val="2"/>
            <w:shd w:val="clear" w:color="auto" w:fill="FFFFFF"/>
            <w:vAlign w:val="center"/>
          </w:tcPr>
          <w:p w14:paraId="4EE21CF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14:paraId="7706BDE4">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E922E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50F5A017">
            <w:pPr>
              <w:spacing w:line="0" w:lineRule="atLeast"/>
              <w:jc w:val="center"/>
              <w:rPr>
                <w:rFonts w:hint="default" w:ascii="Times New Roman" w:hAnsi="Times New Roman" w:eastAsia="仿宋_GB2312" w:cs="Times New Roman"/>
                <w:color w:val="000000"/>
                <w:kern w:val="0"/>
                <w:sz w:val="18"/>
                <w:szCs w:val="18"/>
                <w:highlight w:val="none"/>
              </w:rPr>
            </w:pPr>
          </w:p>
          <w:p w14:paraId="08CA324C">
            <w:pPr>
              <w:spacing w:line="0" w:lineRule="atLeast"/>
              <w:jc w:val="center"/>
              <w:rPr>
                <w:rFonts w:hint="default" w:ascii="Times New Roman" w:hAnsi="Times New Roman" w:eastAsia="仿宋_GB2312" w:cs="Times New Roman"/>
                <w:color w:val="000000"/>
                <w:kern w:val="0"/>
                <w:sz w:val="18"/>
                <w:szCs w:val="18"/>
                <w:highlight w:val="none"/>
              </w:rPr>
            </w:pPr>
          </w:p>
          <w:p w14:paraId="789933B4">
            <w:pPr>
              <w:spacing w:line="0" w:lineRule="atLeast"/>
              <w:jc w:val="center"/>
              <w:rPr>
                <w:rFonts w:hint="default" w:ascii="Times New Roman" w:hAnsi="Times New Roman" w:eastAsia="仿宋_GB2312" w:cs="Times New Roman"/>
                <w:color w:val="000000"/>
                <w:kern w:val="0"/>
                <w:sz w:val="18"/>
                <w:szCs w:val="18"/>
                <w:highlight w:val="none"/>
              </w:rPr>
            </w:pPr>
          </w:p>
          <w:p w14:paraId="38B68C80">
            <w:pPr>
              <w:spacing w:line="0" w:lineRule="atLeast"/>
              <w:jc w:val="center"/>
              <w:rPr>
                <w:rFonts w:hint="default" w:ascii="Times New Roman" w:hAnsi="Times New Roman" w:eastAsia="仿宋_GB2312" w:cs="Times New Roman"/>
                <w:color w:val="000000"/>
                <w:kern w:val="0"/>
                <w:sz w:val="18"/>
                <w:szCs w:val="18"/>
                <w:highlight w:val="none"/>
              </w:rPr>
            </w:pPr>
          </w:p>
          <w:p w14:paraId="615B9468">
            <w:pPr>
              <w:spacing w:line="0" w:lineRule="atLeast"/>
              <w:jc w:val="center"/>
              <w:rPr>
                <w:rFonts w:hint="default" w:ascii="Times New Roman" w:hAnsi="Times New Roman" w:eastAsia="仿宋_GB2312" w:cs="Times New Roman"/>
                <w:color w:val="000000"/>
                <w:kern w:val="0"/>
                <w:sz w:val="18"/>
                <w:szCs w:val="18"/>
                <w:highlight w:val="none"/>
              </w:rPr>
            </w:pPr>
          </w:p>
          <w:p w14:paraId="59B5A000">
            <w:pPr>
              <w:spacing w:line="0" w:lineRule="atLeast"/>
              <w:jc w:val="center"/>
              <w:rPr>
                <w:rFonts w:hint="default" w:ascii="Times New Roman" w:hAnsi="Times New Roman" w:eastAsia="仿宋_GB2312" w:cs="Times New Roman"/>
                <w:color w:val="000000"/>
                <w:kern w:val="0"/>
                <w:sz w:val="18"/>
                <w:szCs w:val="18"/>
                <w:highlight w:val="none"/>
              </w:rPr>
            </w:pPr>
          </w:p>
          <w:p w14:paraId="1C3B6046">
            <w:pPr>
              <w:spacing w:line="0" w:lineRule="atLeast"/>
              <w:jc w:val="center"/>
              <w:rPr>
                <w:rFonts w:hint="default" w:ascii="Times New Roman" w:hAnsi="Times New Roman" w:eastAsia="仿宋_GB2312" w:cs="Times New Roman"/>
                <w:color w:val="000000"/>
                <w:kern w:val="0"/>
                <w:sz w:val="18"/>
                <w:szCs w:val="18"/>
                <w:highlight w:val="none"/>
              </w:rPr>
            </w:pPr>
          </w:p>
          <w:p w14:paraId="3C963F9E">
            <w:pPr>
              <w:spacing w:line="0" w:lineRule="atLeast"/>
              <w:jc w:val="center"/>
              <w:rPr>
                <w:rFonts w:hint="default" w:ascii="Times New Roman" w:hAnsi="Times New Roman" w:eastAsia="仿宋_GB2312" w:cs="Times New Roman"/>
                <w:color w:val="000000"/>
                <w:kern w:val="0"/>
                <w:sz w:val="18"/>
                <w:szCs w:val="18"/>
                <w:highlight w:val="none"/>
              </w:rPr>
            </w:pPr>
          </w:p>
          <w:p w14:paraId="240E2F83">
            <w:pPr>
              <w:spacing w:line="0" w:lineRule="atLeast"/>
              <w:jc w:val="center"/>
              <w:rPr>
                <w:rFonts w:hint="default" w:ascii="Times New Roman" w:hAnsi="Times New Roman" w:eastAsia="仿宋_GB2312" w:cs="Times New Roman"/>
                <w:color w:val="000000"/>
                <w:kern w:val="0"/>
                <w:sz w:val="18"/>
                <w:szCs w:val="18"/>
                <w:highlight w:val="none"/>
              </w:rPr>
            </w:pPr>
          </w:p>
          <w:p w14:paraId="34260584">
            <w:pPr>
              <w:spacing w:line="0" w:lineRule="atLeast"/>
              <w:jc w:val="center"/>
              <w:rPr>
                <w:rFonts w:hint="default" w:ascii="Times New Roman" w:hAnsi="Times New Roman" w:eastAsia="仿宋_GB2312" w:cs="Times New Roman"/>
                <w:color w:val="000000"/>
                <w:kern w:val="0"/>
                <w:sz w:val="18"/>
                <w:szCs w:val="18"/>
                <w:highlight w:val="none"/>
              </w:rPr>
            </w:pPr>
          </w:p>
          <w:p w14:paraId="6493E0B9">
            <w:pPr>
              <w:spacing w:line="0" w:lineRule="atLeast"/>
              <w:jc w:val="center"/>
              <w:rPr>
                <w:rFonts w:hint="default" w:ascii="Times New Roman" w:hAnsi="Times New Roman" w:eastAsia="仿宋_GB2312" w:cs="Times New Roman"/>
                <w:color w:val="000000"/>
                <w:kern w:val="0"/>
                <w:sz w:val="18"/>
                <w:szCs w:val="18"/>
                <w:highlight w:val="none"/>
              </w:rPr>
            </w:pPr>
          </w:p>
          <w:p w14:paraId="569AAC83">
            <w:pPr>
              <w:spacing w:line="0" w:lineRule="atLeast"/>
              <w:jc w:val="center"/>
              <w:rPr>
                <w:rFonts w:hint="default" w:ascii="Times New Roman" w:hAnsi="Times New Roman" w:eastAsia="仿宋_GB2312" w:cs="Times New Roman"/>
                <w:color w:val="000000"/>
                <w:kern w:val="0"/>
                <w:sz w:val="18"/>
                <w:szCs w:val="18"/>
                <w:highlight w:val="none"/>
              </w:rPr>
            </w:pPr>
          </w:p>
          <w:p w14:paraId="30E0FE3F">
            <w:pPr>
              <w:spacing w:line="0" w:lineRule="atLeast"/>
              <w:jc w:val="center"/>
              <w:rPr>
                <w:rFonts w:hint="default" w:ascii="Times New Roman" w:hAnsi="Times New Roman" w:eastAsia="仿宋_GB2312" w:cs="Times New Roman"/>
                <w:color w:val="000000"/>
                <w:kern w:val="0"/>
                <w:sz w:val="18"/>
                <w:szCs w:val="18"/>
                <w:highlight w:val="none"/>
              </w:rPr>
            </w:pPr>
          </w:p>
          <w:p w14:paraId="0FC2CD92">
            <w:pPr>
              <w:spacing w:line="0" w:lineRule="atLeast"/>
              <w:jc w:val="center"/>
              <w:rPr>
                <w:rFonts w:hint="default" w:ascii="Times New Roman" w:hAnsi="Times New Roman" w:eastAsia="仿宋_GB2312" w:cs="Times New Roman"/>
                <w:color w:val="000000"/>
                <w:kern w:val="0"/>
                <w:sz w:val="18"/>
                <w:szCs w:val="18"/>
                <w:highlight w:val="none"/>
              </w:rPr>
            </w:pPr>
          </w:p>
          <w:p w14:paraId="4CD8C3BF">
            <w:pPr>
              <w:spacing w:line="0" w:lineRule="atLeast"/>
              <w:jc w:val="center"/>
              <w:rPr>
                <w:rFonts w:hint="default" w:ascii="Times New Roman" w:hAnsi="Times New Roman" w:eastAsia="仿宋_GB2312" w:cs="Times New Roman"/>
                <w:color w:val="000000"/>
                <w:kern w:val="0"/>
                <w:sz w:val="18"/>
                <w:szCs w:val="18"/>
                <w:highlight w:val="none"/>
              </w:rPr>
            </w:pPr>
          </w:p>
          <w:p w14:paraId="3F179D7D">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14:paraId="19D4D05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14:paraId="0D12706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6A6C294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5" w:type="dxa"/>
            <w:shd w:val="clear" w:color="000000" w:fill="FFFFFF"/>
            <w:vAlign w:val="center"/>
          </w:tcPr>
          <w:p w14:paraId="253E97B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14:paraId="4AC1526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70FB5C6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31B7E55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4" w:type="dxa"/>
            <w:gridSpan w:val="2"/>
            <w:shd w:val="clear" w:color="000000" w:fill="FFFFFF"/>
            <w:vAlign w:val="center"/>
          </w:tcPr>
          <w:p w14:paraId="29A9531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4E79933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98930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67407321">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1A9654C7">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28B3B59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5" w:type="dxa"/>
            <w:shd w:val="clear" w:color="auto" w:fill="FFFFFF"/>
            <w:vAlign w:val="center"/>
          </w:tcPr>
          <w:p w14:paraId="65AD34F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14:paraId="368B8A3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4" w:type="dxa"/>
            <w:gridSpan w:val="2"/>
            <w:shd w:val="clear" w:color="auto" w:fill="FFFFFF"/>
            <w:vAlign w:val="center"/>
          </w:tcPr>
          <w:p w14:paraId="0DEF941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14:paraId="52DCCF8F">
            <w:pPr>
              <w:widowControl/>
              <w:spacing w:line="0" w:lineRule="atLeast"/>
              <w:jc w:val="center"/>
              <w:rPr>
                <w:rFonts w:hint="default" w:ascii="Times New Roman" w:hAnsi="Times New Roman" w:eastAsia="宋体"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3.99</w:t>
            </w:r>
          </w:p>
        </w:tc>
      </w:tr>
      <w:tr w14:paraId="767CAE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72FFA0EE">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6AEA5C4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3D29639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1563875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5" w:type="dxa"/>
            <w:shd w:val="clear" w:color="000000" w:fill="FFFFFF"/>
            <w:vAlign w:val="center"/>
          </w:tcPr>
          <w:p w14:paraId="40DD76C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14:paraId="0D77665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4" w:type="dxa"/>
            <w:gridSpan w:val="2"/>
            <w:shd w:val="clear" w:color="000000" w:fill="FFFFFF"/>
            <w:vAlign w:val="center"/>
          </w:tcPr>
          <w:p w14:paraId="69E56AC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78028421">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BCA52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664FE77A">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0ECAFCA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14:paraId="4E790C44">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48D24C1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686A734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5" w:type="dxa"/>
            <w:shd w:val="clear" w:color="000000" w:fill="FFFFFF"/>
            <w:vAlign w:val="center"/>
          </w:tcPr>
          <w:p w14:paraId="5C263B7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14:paraId="2D70832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4" w:type="dxa"/>
            <w:gridSpan w:val="2"/>
            <w:shd w:val="clear" w:color="000000" w:fill="FFFFFF"/>
            <w:vAlign w:val="center"/>
          </w:tcPr>
          <w:p w14:paraId="51401DA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05071F2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39141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64D31F2D">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0A8C4CA2">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227C338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0418EC2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5" w:type="dxa"/>
            <w:shd w:val="clear" w:color="000000" w:fill="FFFFFF"/>
            <w:vAlign w:val="center"/>
          </w:tcPr>
          <w:p w14:paraId="07A2E2E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14:paraId="19CF46F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4" w:type="dxa"/>
            <w:gridSpan w:val="2"/>
            <w:shd w:val="clear" w:color="000000" w:fill="FFFFFF"/>
            <w:vAlign w:val="center"/>
          </w:tcPr>
          <w:p w14:paraId="244AC65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52659601">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DC63F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2F99BBA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14:paraId="4DE5406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14:paraId="5215FEC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5" w:type="dxa"/>
            <w:shd w:val="clear" w:color="000000" w:fill="FFFFFF"/>
            <w:vAlign w:val="center"/>
          </w:tcPr>
          <w:p w14:paraId="2709EA1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14:paraId="00C6676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14:paraId="5FEAE36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1A9965A0">
            <w:pPr>
              <w:widowControl/>
              <w:spacing w:line="0" w:lineRule="atLeast"/>
              <w:jc w:val="center"/>
              <w:rPr>
                <w:rFonts w:hint="default"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1528AD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54D543FA">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3B8592C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14:paraId="2C67ED2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5" w:type="dxa"/>
            <w:shd w:val="clear" w:color="000000" w:fill="FFFFFF"/>
            <w:vAlign w:val="center"/>
          </w:tcPr>
          <w:p w14:paraId="25F523F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14:paraId="0343BFD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7DD4961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153DC114">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c>
          <w:tcPr>
            <w:tcW w:w="1365" w:type="dxa"/>
            <w:shd w:val="clear" w:color="000000" w:fill="FFFFFF"/>
            <w:vAlign w:val="center"/>
          </w:tcPr>
          <w:p w14:paraId="79A1A529">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70405B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1A77A9A7">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395719FC">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14:paraId="2FC2E9C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5" w:type="dxa"/>
            <w:shd w:val="clear" w:color="000000" w:fill="FFFFFF"/>
            <w:vAlign w:val="center"/>
          </w:tcPr>
          <w:p w14:paraId="462FA9E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14:paraId="4645926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14:paraId="0921079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75D6C55B">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02176B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3FC7DB05">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39DDA7A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0C0A515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14:paraId="3D8E479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14:paraId="4681ADC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14:paraId="3A27FA29">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c>
          <w:tcPr>
            <w:tcW w:w="1365" w:type="dxa"/>
            <w:shd w:val="clear" w:color="000000" w:fill="FFFFFF"/>
            <w:vAlign w:val="center"/>
          </w:tcPr>
          <w:p w14:paraId="455A6ADF">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619D73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0343A2E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14:paraId="093DC61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14:paraId="04AE35F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14:paraId="2C936868">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14:paraId="2284324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14:paraId="7172D34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auto" w:fill="FFFFFF"/>
            <w:vAlign w:val="center"/>
          </w:tcPr>
          <w:p w14:paraId="31DC0DD9">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35FEB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155798CE">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2A5B959B">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222B231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14:paraId="15895E6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14:paraId="1A5C5A6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14:paraId="5DB3521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6A36C6AB">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6A8EFD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3F64A4E5">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14:paraId="6D9DEA7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365" w:type="dxa"/>
            <w:shd w:val="clear" w:color="000000" w:fill="FFFFFF"/>
            <w:vAlign w:val="center"/>
          </w:tcPr>
          <w:p w14:paraId="449FD151">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99.99</w:t>
            </w:r>
          </w:p>
        </w:tc>
      </w:tr>
    </w:tbl>
    <w:p w14:paraId="6560E624">
      <w:pPr>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14:paraId="1536430C">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14:paraId="7BCF5FE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14:paraId="32CF694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Style w:val="14"/>
        <w:tblpPr w:leftFromText="180" w:rightFromText="180" w:vertAnchor="text" w:horzAnchor="page" w:tblpX="1373" w:tblpY="306"/>
        <w:tblOverlap w:val="never"/>
        <w:tblW w:w="1430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032"/>
        <w:gridCol w:w="1140"/>
        <w:gridCol w:w="1164"/>
        <w:gridCol w:w="924"/>
        <w:gridCol w:w="837"/>
        <w:gridCol w:w="882"/>
        <w:gridCol w:w="777"/>
        <w:gridCol w:w="1032"/>
        <w:gridCol w:w="830"/>
        <w:gridCol w:w="748"/>
        <w:gridCol w:w="1422"/>
      </w:tblGrid>
      <w:tr w14:paraId="2761E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1"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5F48D2">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项目名称</w:t>
            </w:r>
          </w:p>
        </w:tc>
        <w:tc>
          <w:tcPr>
            <w:tcW w:w="1210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8391F77">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sz w:val="18"/>
                <w:szCs w:val="18"/>
                <w:u w:val="none"/>
              </w:rPr>
              <w:t>昌州财农[2023]58号碧流河镇西戈壁村四五六组村容村貌改造提升项目</w:t>
            </w:r>
          </w:p>
        </w:tc>
      </w:tr>
      <w:tr w14:paraId="46EEF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2E081D">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主管部门</w:t>
            </w:r>
          </w:p>
        </w:tc>
        <w:tc>
          <w:tcPr>
            <w:tcW w:w="55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C3232B2">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sz w:val="18"/>
                <w:szCs w:val="18"/>
                <w:u w:val="none"/>
              </w:rPr>
              <w:t>奇台县碧流河镇人民政府</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E30EEF">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实施单位</w:t>
            </w:r>
          </w:p>
        </w:tc>
        <w:tc>
          <w:tcPr>
            <w:tcW w:w="48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45A1A66">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sz w:val="18"/>
                <w:szCs w:val="18"/>
                <w:u w:val="none"/>
              </w:rPr>
              <w:t>奇台县碧流河镇人民政府</w:t>
            </w:r>
          </w:p>
        </w:tc>
      </w:tr>
      <w:tr w14:paraId="4B72C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7B9D71">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项目资金</w:t>
            </w:r>
            <w:r>
              <w:rPr>
                <w:rFonts w:hint="default" w:ascii="Times New Roman" w:hAnsi="Times New Roman" w:eastAsia="仿宋_GB2312" w:cs="Times New Roman"/>
                <w:i w:val="0"/>
                <w:iCs w:val="0"/>
                <w:color w:val="000000"/>
                <w:kern w:val="0"/>
                <w:sz w:val="18"/>
                <w:szCs w:val="18"/>
                <w:u w:val="none"/>
                <w:lang w:val="en-US" w:eastAsia="zh-CN" w:bidi="ar"/>
              </w:rPr>
              <w:br w:type="textWrapping"/>
            </w:r>
            <w:r>
              <w:rPr>
                <w:rFonts w:hint="default" w:ascii="Times New Roman" w:hAnsi="Times New Roman" w:eastAsia="仿宋_GB2312" w:cs="Times New Roman"/>
                <w:i w:val="0"/>
                <w:iCs w:val="0"/>
                <w:color w:val="000000"/>
                <w:kern w:val="0"/>
                <w:sz w:val="18"/>
                <w:szCs w:val="18"/>
                <w:u w:val="none"/>
                <w:lang w:val="en-US" w:eastAsia="zh-CN" w:bidi="ar"/>
              </w:rPr>
              <w:t>（万元）</w:t>
            </w: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9613C2">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资金来源</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47144">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年初预算数</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B8ECC4">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全年预算数</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CD2015">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全年执行数</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39DEB4">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分值权重</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D3D6C7">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执行率</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1C12D">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得分</w:t>
            </w:r>
          </w:p>
        </w:tc>
      </w:tr>
      <w:tr w14:paraId="02EE4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9"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D102D">
            <w:pPr>
              <w:jc w:val="center"/>
              <w:rPr>
                <w:rFonts w:hint="default" w:ascii="Times New Roman" w:hAnsi="Times New Roman" w:eastAsia="仿宋_GB2312" w:cs="Times New Roman"/>
                <w:i w:val="0"/>
                <w:iCs w:val="0"/>
                <w:color w:val="000000"/>
                <w:sz w:val="18"/>
                <w:szCs w:val="18"/>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CAE5B0">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年度资金总额</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63E6F">
            <w:pPr>
              <w:jc w:val="center"/>
              <w:rPr>
                <w:rFonts w:hint="default" w:ascii="Times New Roman" w:hAnsi="Times New Roman" w:eastAsia="仿宋_GB2312" w:cs="Times New Roman"/>
                <w:i w:val="0"/>
                <w:iCs w:val="0"/>
                <w:color w:val="000000"/>
                <w:sz w:val="18"/>
                <w:szCs w:val="18"/>
                <w:u w:val="none"/>
                <w:lang w:val="en-US" w:eastAsia="zh-CN"/>
              </w:rPr>
            </w:pPr>
            <w:r>
              <w:rPr>
                <w:rFonts w:hint="default" w:ascii="Times New Roman" w:hAnsi="Times New Roman" w:eastAsia="仿宋_GB2312" w:cs="Times New Roman"/>
                <w:i w:val="0"/>
                <w:iCs w:val="0"/>
                <w:color w:val="000000"/>
                <w:sz w:val="18"/>
                <w:szCs w:val="18"/>
                <w:u w:val="none"/>
                <w:lang w:val="en-US" w:eastAsia="zh-CN"/>
              </w:rPr>
              <w:t>45</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2F69C3">
            <w:pPr>
              <w:jc w:val="center"/>
              <w:rPr>
                <w:rFonts w:hint="default" w:ascii="Times New Roman" w:hAnsi="Times New Roman" w:eastAsia="仿宋_GB2312" w:cs="Times New Roman"/>
                <w:i w:val="0"/>
                <w:iCs w:val="0"/>
                <w:color w:val="000000"/>
                <w:sz w:val="18"/>
                <w:szCs w:val="18"/>
                <w:u w:val="none"/>
                <w:lang w:val="en-US" w:eastAsia="zh-CN"/>
              </w:rPr>
            </w:pPr>
            <w:r>
              <w:rPr>
                <w:rFonts w:hint="default" w:ascii="Times New Roman" w:hAnsi="Times New Roman" w:eastAsia="仿宋_GB2312" w:cs="Times New Roman"/>
                <w:i w:val="0"/>
                <w:iCs w:val="0"/>
                <w:color w:val="000000"/>
                <w:sz w:val="18"/>
                <w:szCs w:val="18"/>
                <w:u w:val="none"/>
                <w:lang w:val="en-US" w:eastAsia="zh-CN"/>
              </w:rPr>
              <w:t>45</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3FAAB5">
            <w:pPr>
              <w:jc w:val="center"/>
              <w:rPr>
                <w:rFonts w:hint="default" w:ascii="Times New Roman" w:hAnsi="Times New Roman" w:eastAsia="仿宋_GB2312" w:cs="Times New Roman"/>
                <w:i w:val="0"/>
                <w:iCs w:val="0"/>
                <w:color w:val="000000"/>
                <w:sz w:val="18"/>
                <w:szCs w:val="18"/>
                <w:u w:val="none"/>
                <w:lang w:val="en-US" w:eastAsia="zh-CN"/>
              </w:rPr>
            </w:pPr>
            <w:r>
              <w:rPr>
                <w:rFonts w:hint="default" w:ascii="Times New Roman" w:hAnsi="Times New Roman" w:eastAsia="仿宋_GB2312" w:cs="Times New Roman"/>
                <w:i w:val="0"/>
                <w:iCs w:val="0"/>
                <w:color w:val="000000"/>
                <w:sz w:val="18"/>
                <w:szCs w:val="18"/>
                <w:u w:val="none"/>
                <w:lang w:val="en-US" w:eastAsia="zh-CN"/>
              </w:rPr>
              <w:t>44.95</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EFDF18">
            <w:pPr>
              <w:jc w:val="center"/>
              <w:rPr>
                <w:rFonts w:hint="default" w:ascii="Times New Roman" w:hAnsi="Times New Roman" w:eastAsia="仿宋_GB2312" w:cs="Times New Roman"/>
                <w:i w:val="0"/>
                <w:iCs w:val="0"/>
                <w:color w:val="000000"/>
                <w:sz w:val="18"/>
                <w:szCs w:val="18"/>
                <w:u w:val="none"/>
                <w:lang w:val="en-US" w:eastAsia="zh-CN"/>
              </w:rPr>
            </w:pPr>
            <w:r>
              <w:rPr>
                <w:rFonts w:hint="default" w:ascii="Times New Roman" w:hAnsi="Times New Roman" w:eastAsia="仿宋_GB2312" w:cs="Times New Roman"/>
                <w:i w:val="0"/>
                <w:iCs w:val="0"/>
                <w:color w:val="000000"/>
                <w:sz w:val="18"/>
                <w:szCs w:val="18"/>
                <w:u w:val="none"/>
                <w:lang w:val="en-US" w:eastAsia="zh-CN"/>
              </w:rPr>
              <w:t>10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E93A4D">
            <w:pPr>
              <w:jc w:val="center"/>
              <w:rPr>
                <w:rFonts w:hint="default" w:ascii="Times New Roman" w:hAnsi="Times New Roman" w:eastAsia="仿宋_GB2312" w:cs="Times New Roman"/>
                <w:i w:val="0"/>
                <w:iCs w:val="0"/>
                <w:color w:val="000000"/>
                <w:sz w:val="18"/>
                <w:szCs w:val="18"/>
                <w:u w:val="none"/>
                <w:lang w:val="en-US" w:eastAsia="zh-CN"/>
              </w:rPr>
            </w:pPr>
            <w:r>
              <w:rPr>
                <w:rFonts w:hint="default" w:ascii="Times New Roman" w:hAnsi="Times New Roman" w:eastAsia="仿宋_GB2312" w:cs="Times New Roman"/>
                <w:i w:val="0"/>
                <w:iCs w:val="0"/>
                <w:color w:val="000000"/>
                <w:sz w:val="18"/>
                <w:szCs w:val="18"/>
                <w:u w:val="none"/>
                <w:lang w:val="en-US" w:eastAsia="zh-CN"/>
              </w:rPr>
              <w:t>99.89%</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D5AFE">
            <w:pPr>
              <w:jc w:val="center"/>
              <w:rPr>
                <w:rFonts w:hint="default" w:ascii="Times New Roman" w:hAnsi="Times New Roman" w:eastAsia="仿宋_GB2312" w:cs="Times New Roman"/>
                <w:i w:val="0"/>
                <w:iCs w:val="0"/>
                <w:color w:val="000000"/>
                <w:sz w:val="18"/>
                <w:szCs w:val="18"/>
                <w:u w:val="none"/>
                <w:lang w:val="en-US" w:eastAsia="zh-CN"/>
              </w:rPr>
            </w:pPr>
            <w:r>
              <w:rPr>
                <w:rFonts w:hint="default" w:ascii="Times New Roman" w:hAnsi="Times New Roman" w:eastAsia="仿宋_GB2312" w:cs="Times New Roman"/>
                <w:i w:val="0"/>
                <w:iCs w:val="0"/>
                <w:color w:val="000000"/>
                <w:sz w:val="18"/>
                <w:szCs w:val="18"/>
                <w:u w:val="none"/>
                <w:lang w:val="en-US" w:eastAsia="zh-CN"/>
              </w:rPr>
              <w:t>10</w:t>
            </w:r>
          </w:p>
        </w:tc>
      </w:tr>
      <w:tr w14:paraId="1B2FB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E96EDB">
            <w:pPr>
              <w:jc w:val="center"/>
              <w:rPr>
                <w:rFonts w:hint="default" w:ascii="Times New Roman" w:hAnsi="Times New Roman" w:eastAsia="仿宋_GB2312" w:cs="Times New Roman"/>
                <w:i w:val="0"/>
                <w:iCs w:val="0"/>
                <w:color w:val="000000"/>
                <w:sz w:val="18"/>
                <w:szCs w:val="18"/>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78C06A">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其中：当年财政拨款</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E1A38">
            <w:pPr>
              <w:jc w:val="center"/>
              <w:rPr>
                <w:rFonts w:hint="default" w:ascii="Times New Roman" w:hAnsi="Times New Roman" w:eastAsia="仿宋_GB2312" w:cs="Times New Roman"/>
                <w:i w:val="0"/>
                <w:iCs w:val="0"/>
                <w:color w:val="000000"/>
                <w:sz w:val="18"/>
                <w:szCs w:val="18"/>
                <w:u w:val="none"/>
                <w:lang w:val="en-US" w:eastAsia="zh-CN"/>
              </w:rPr>
            </w:pPr>
            <w:r>
              <w:rPr>
                <w:rFonts w:hint="default" w:ascii="Times New Roman" w:hAnsi="Times New Roman" w:eastAsia="仿宋_GB2312" w:cs="Times New Roman"/>
                <w:i w:val="0"/>
                <w:iCs w:val="0"/>
                <w:color w:val="000000"/>
                <w:sz w:val="18"/>
                <w:szCs w:val="18"/>
                <w:u w:val="none"/>
                <w:lang w:val="en-US" w:eastAsia="zh-CN"/>
              </w:rPr>
              <w:t>45</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B8FB41">
            <w:pPr>
              <w:jc w:val="center"/>
              <w:rPr>
                <w:rFonts w:hint="default" w:ascii="Times New Roman" w:hAnsi="Times New Roman" w:eastAsia="仿宋_GB2312" w:cs="Times New Roman"/>
                <w:i w:val="0"/>
                <w:iCs w:val="0"/>
                <w:color w:val="000000"/>
                <w:sz w:val="18"/>
                <w:szCs w:val="18"/>
                <w:u w:val="none"/>
                <w:lang w:val="en-US" w:eastAsia="zh-CN"/>
              </w:rPr>
            </w:pPr>
            <w:r>
              <w:rPr>
                <w:rFonts w:hint="default" w:ascii="Times New Roman" w:hAnsi="Times New Roman" w:eastAsia="仿宋_GB2312" w:cs="Times New Roman"/>
                <w:i w:val="0"/>
                <w:iCs w:val="0"/>
                <w:color w:val="000000"/>
                <w:sz w:val="18"/>
                <w:szCs w:val="18"/>
                <w:u w:val="none"/>
                <w:lang w:val="en-US" w:eastAsia="zh-CN"/>
              </w:rPr>
              <w:t>45</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BCAA1B">
            <w:pPr>
              <w:jc w:val="center"/>
              <w:rPr>
                <w:rFonts w:hint="default" w:ascii="Times New Roman" w:hAnsi="Times New Roman" w:eastAsia="仿宋_GB2312" w:cs="Times New Roman"/>
                <w:i w:val="0"/>
                <w:iCs w:val="0"/>
                <w:color w:val="000000"/>
                <w:sz w:val="18"/>
                <w:szCs w:val="18"/>
                <w:u w:val="none"/>
                <w:lang w:val="en-US" w:eastAsia="zh-CN"/>
              </w:rPr>
            </w:pPr>
            <w:r>
              <w:rPr>
                <w:rFonts w:hint="default" w:ascii="Times New Roman" w:hAnsi="Times New Roman" w:eastAsia="仿宋_GB2312" w:cs="Times New Roman"/>
                <w:i w:val="0"/>
                <w:iCs w:val="0"/>
                <w:color w:val="000000"/>
                <w:sz w:val="18"/>
                <w:szCs w:val="18"/>
                <w:u w:val="none"/>
                <w:lang w:val="en-US" w:eastAsia="zh-CN"/>
              </w:rPr>
              <w:t>44.95</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8BFCF4">
            <w:pPr>
              <w:jc w:val="center"/>
              <w:rPr>
                <w:rFonts w:hint="default" w:ascii="Times New Roman" w:hAnsi="Times New Roman" w:eastAsia="仿宋_GB2312" w:cs="Times New Roman"/>
                <w:i w:val="0"/>
                <w:iCs w:val="0"/>
                <w:color w:val="000000"/>
                <w:sz w:val="18"/>
                <w:szCs w:val="18"/>
                <w:u w:val="none"/>
                <w:lang w:val="en-US" w:eastAsia="zh-CN"/>
              </w:rPr>
            </w:pPr>
            <w:r>
              <w:rPr>
                <w:rFonts w:hint="default" w:ascii="Times New Roman" w:hAnsi="Times New Roman" w:eastAsia="仿宋_GB2312" w:cs="Times New Roman"/>
                <w:i w:val="0"/>
                <w:iCs w:val="0"/>
                <w:color w:val="000000"/>
                <w:sz w:val="18"/>
                <w:szCs w:val="18"/>
                <w:u w:val="none"/>
                <w:lang w:val="en-US" w:eastAsia="zh-CN"/>
              </w:rPr>
              <w:t>-</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909A2D">
            <w:pPr>
              <w:jc w:val="center"/>
              <w:rPr>
                <w:rFonts w:hint="default" w:ascii="Times New Roman" w:hAnsi="Times New Roman" w:eastAsia="仿宋_GB2312" w:cs="Times New Roman"/>
                <w:i w:val="0"/>
                <w:iCs w:val="0"/>
                <w:color w:val="000000"/>
                <w:sz w:val="18"/>
                <w:szCs w:val="18"/>
                <w:u w:val="none"/>
                <w:lang w:val="en-US" w:eastAsia="zh-CN"/>
              </w:rPr>
            </w:pPr>
            <w:r>
              <w:rPr>
                <w:rFonts w:hint="default" w:ascii="Times New Roman" w:hAnsi="Times New Roman" w:eastAsia="仿宋_GB2312" w:cs="Times New Roman"/>
                <w:i w:val="0"/>
                <w:iCs w:val="0"/>
                <w:color w:val="000000"/>
                <w:sz w:val="18"/>
                <w:szCs w:val="18"/>
                <w:u w:val="none"/>
                <w:lang w:val="en-US" w:eastAsia="zh-CN"/>
              </w:rPr>
              <w:t>-</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95D50">
            <w:pPr>
              <w:jc w:val="center"/>
              <w:rPr>
                <w:rFonts w:hint="default" w:ascii="Times New Roman" w:hAnsi="Times New Roman" w:eastAsia="仿宋_GB2312" w:cs="Times New Roman"/>
                <w:i w:val="0"/>
                <w:iCs w:val="0"/>
                <w:color w:val="000000"/>
                <w:sz w:val="18"/>
                <w:szCs w:val="18"/>
                <w:u w:val="none"/>
                <w:lang w:val="en-US" w:eastAsia="zh-CN"/>
              </w:rPr>
            </w:pPr>
            <w:r>
              <w:rPr>
                <w:rFonts w:hint="default" w:ascii="Times New Roman" w:hAnsi="Times New Roman" w:eastAsia="仿宋_GB2312" w:cs="Times New Roman"/>
                <w:i w:val="0"/>
                <w:iCs w:val="0"/>
                <w:color w:val="000000"/>
                <w:sz w:val="18"/>
                <w:szCs w:val="18"/>
                <w:u w:val="none"/>
                <w:lang w:val="en-US" w:eastAsia="zh-CN"/>
              </w:rPr>
              <w:t>-</w:t>
            </w:r>
          </w:p>
        </w:tc>
      </w:tr>
      <w:tr w14:paraId="476FB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32F359">
            <w:pPr>
              <w:jc w:val="center"/>
              <w:rPr>
                <w:rFonts w:hint="default" w:ascii="Times New Roman" w:hAnsi="Times New Roman" w:eastAsia="仿宋_GB2312" w:cs="Times New Roman"/>
                <w:i w:val="0"/>
                <w:iCs w:val="0"/>
                <w:color w:val="000000"/>
                <w:sz w:val="18"/>
                <w:szCs w:val="18"/>
                <w:u w:val="none"/>
              </w:rPr>
            </w:pPr>
          </w:p>
        </w:tc>
        <w:tc>
          <w:tcPr>
            <w:tcW w:w="2344" w:type="dxa"/>
            <w:gridSpan w:val="2"/>
            <w:tcBorders>
              <w:top w:val="single" w:color="000000" w:sz="4" w:space="0"/>
              <w:left w:val="single" w:color="000000" w:sz="4" w:space="0"/>
              <w:bottom w:val="nil"/>
              <w:right w:val="single" w:color="000000" w:sz="4" w:space="0"/>
            </w:tcBorders>
            <w:shd w:val="clear" w:color="auto" w:fill="auto"/>
            <w:vAlign w:val="center"/>
          </w:tcPr>
          <w:p w14:paraId="6E4F5955">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其他资金</w:t>
            </w:r>
          </w:p>
        </w:tc>
        <w:tc>
          <w:tcPr>
            <w:tcW w:w="1140" w:type="dxa"/>
            <w:tcBorders>
              <w:top w:val="single" w:color="000000" w:sz="4" w:space="0"/>
              <w:left w:val="single" w:color="000000" w:sz="4" w:space="0"/>
              <w:bottom w:val="nil"/>
              <w:right w:val="single" w:color="000000" w:sz="4" w:space="0"/>
            </w:tcBorders>
            <w:shd w:val="clear" w:color="auto" w:fill="auto"/>
            <w:vAlign w:val="center"/>
          </w:tcPr>
          <w:p w14:paraId="4FD75574">
            <w:pPr>
              <w:jc w:val="center"/>
              <w:rPr>
                <w:rFonts w:hint="default" w:ascii="Times New Roman" w:hAnsi="Times New Roman" w:eastAsia="仿宋_GB2312" w:cs="Times New Roman"/>
                <w:i w:val="0"/>
                <w:iCs w:val="0"/>
                <w:color w:val="000000"/>
                <w:sz w:val="18"/>
                <w:szCs w:val="18"/>
                <w:u w:val="none"/>
              </w:rPr>
            </w:pPr>
          </w:p>
        </w:tc>
        <w:tc>
          <w:tcPr>
            <w:tcW w:w="2088" w:type="dxa"/>
            <w:gridSpan w:val="2"/>
            <w:tcBorders>
              <w:top w:val="single" w:color="000000" w:sz="4" w:space="0"/>
              <w:left w:val="single" w:color="000000" w:sz="4" w:space="0"/>
              <w:bottom w:val="nil"/>
              <w:right w:val="single" w:color="000000" w:sz="4" w:space="0"/>
            </w:tcBorders>
            <w:shd w:val="clear" w:color="auto" w:fill="auto"/>
            <w:vAlign w:val="center"/>
          </w:tcPr>
          <w:p w14:paraId="427B83E4">
            <w:pPr>
              <w:jc w:val="center"/>
              <w:rPr>
                <w:rFonts w:hint="default" w:ascii="Times New Roman" w:hAnsi="Times New Roman" w:eastAsia="仿宋_GB2312" w:cs="Times New Roman"/>
                <w:i w:val="0"/>
                <w:iCs w:val="0"/>
                <w:color w:val="000000"/>
                <w:sz w:val="18"/>
                <w:szCs w:val="18"/>
                <w:u w:val="none"/>
              </w:rPr>
            </w:pPr>
          </w:p>
        </w:tc>
        <w:tc>
          <w:tcPr>
            <w:tcW w:w="1719" w:type="dxa"/>
            <w:gridSpan w:val="2"/>
            <w:tcBorders>
              <w:top w:val="single" w:color="000000" w:sz="4" w:space="0"/>
              <w:left w:val="single" w:color="000000" w:sz="4" w:space="0"/>
              <w:bottom w:val="nil"/>
              <w:right w:val="single" w:color="000000" w:sz="4" w:space="0"/>
            </w:tcBorders>
            <w:shd w:val="clear" w:color="auto" w:fill="auto"/>
            <w:vAlign w:val="center"/>
          </w:tcPr>
          <w:p w14:paraId="68459AA7">
            <w:pPr>
              <w:jc w:val="center"/>
              <w:rPr>
                <w:rFonts w:hint="default" w:ascii="Times New Roman" w:hAnsi="Times New Roman" w:eastAsia="仿宋_GB2312" w:cs="Times New Roman"/>
                <w:i w:val="0"/>
                <w:iCs w:val="0"/>
                <w:color w:val="000000"/>
                <w:sz w:val="18"/>
                <w:szCs w:val="18"/>
                <w:u w:val="none"/>
              </w:rPr>
            </w:pP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B69CAD">
            <w:pPr>
              <w:jc w:val="center"/>
              <w:rPr>
                <w:rFonts w:hint="default" w:ascii="Times New Roman" w:hAnsi="Times New Roman" w:eastAsia="仿宋_GB2312" w:cs="Times New Roman"/>
                <w:i w:val="0"/>
                <w:iCs w:val="0"/>
                <w:color w:val="000000"/>
                <w:sz w:val="18"/>
                <w:szCs w:val="18"/>
                <w:u w:val="none"/>
              </w:rPr>
            </w:pP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0C9A95">
            <w:pPr>
              <w:jc w:val="center"/>
              <w:rPr>
                <w:rFonts w:hint="default" w:ascii="Times New Roman" w:hAnsi="Times New Roman" w:eastAsia="仿宋_GB2312" w:cs="Times New Roman"/>
                <w:i w:val="0"/>
                <w:iCs w:val="0"/>
                <w:color w:val="000000"/>
                <w:sz w:val="18"/>
                <w:szCs w:val="18"/>
                <w:u w:val="none"/>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48A5B">
            <w:pPr>
              <w:jc w:val="center"/>
              <w:rPr>
                <w:rFonts w:hint="default" w:ascii="Times New Roman" w:hAnsi="Times New Roman" w:eastAsia="仿宋_GB2312" w:cs="Times New Roman"/>
                <w:i w:val="0"/>
                <w:iCs w:val="0"/>
                <w:color w:val="000000"/>
                <w:sz w:val="18"/>
                <w:szCs w:val="18"/>
                <w:u w:val="none"/>
              </w:rPr>
            </w:pPr>
          </w:p>
        </w:tc>
      </w:tr>
      <w:tr w14:paraId="1F145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568236">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年度总体目标</w:t>
            </w: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A99FC95">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总体目标</w:t>
            </w:r>
          </w:p>
        </w:tc>
        <w:tc>
          <w:tcPr>
            <w:tcW w:w="48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92FEE59">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总体目标完成情况</w:t>
            </w:r>
          </w:p>
        </w:tc>
      </w:tr>
      <w:tr w14:paraId="4ABB4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6C7B23">
            <w:pPr>
              <w:jc w:val="center"/>
              <w:rPr>
                <w:rFonts w:hint="default" w:ascii="Times New Roman" w:hAnsi="Times New Roman" w:eastAsia="仿宋_GB2312" w:cs="Times New Roman"/>
                <w:i w:val="0"/>
                <w:iCs w:val="0"/>
                <w:color w:val="000000"/>
                <w:sz w:val="18"/>
                <w:szCs w:val="18"/>
                <w:u w:val="none"/>
              </w:rPr>
            </w:pP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top"/>
          </w:tcPr>
          <w:p w14:paraId="1AFEBAC3">
            <w:pPr>
              <w:jc w:val="left"/>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sz w:val="18"/>
                <w:szCs w:val="18"/>
                <w:u w:val="none"/>
              </w:rPr>
              <w:t>根据昌州财农[2023]58号文碧流河镇西戈壁村四五六组村容村貌改造提升项目内容，对西戈壁村居住集中的四五六组安装太阳能绿化路灯，预计受益人群236户，816人。此项目的实施有效改善群众夜间生活环境，方便居民出行，达到提高村民生活质量的效果。</w:t>
            </w:r>
          </w:p>
        </w:tc>
        <w:tc>
          <w:tcPr>
            <w:tcW w:w="48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3F7450B">
            <w:pPr>
              <w:jc w:val="left"/>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sz w:val="18"/>
                <w:szCs w:val="18"/>
                <w:u w:val="none"/>
              </w:rPr>
              <w:t>截止2024年12月31日，该项目实际完成安装路灯数量200盏,项目竣工验收合格率达100%,项目按计划开工时间达100%,项目按计划完工时间达100%,安装路灯标准:＜2809.4元/盏，安装路灯受益户数236户,群众满意度达90%以上。</w:t>
            </w:r>
          </w:p>
        </w:tc>
      </w:tr>
      <w:tr w14:paraId="45F96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D886B1">
            <w:pPr>
              <w:jc w:val="center"/>
              <w:rPr>
                <w:rFonts w:hint="default" w:ascii="Times New Roman" w:hAnsi="Times New Roman" w:eastAsia="仿宋_GB2312" w:cs="Times New Roman"/>
                <w:i w:val="0"/>
                <w:iCs w:val="0"/>
                <w:color w:val="000000"/>
                <w:sz w:val="18"/>
                <w:szCs w:val="18"/>
                <w:u w:val="none"/>
                <w:lang w:val="en-US" w:eastAsia="zh-CN"/>
              </w:rPr>
            </w:pPr>
            <w:r>
              <w:rPr>
                <w:rFonts w:hint="default" w:ascii="Times New Roman" w:hAnsi="Times New Roman" w:eastAsia="仿宋_GB2312" w:cs="Times New Roman"/>
                <w:i w:val="0"/>
                <w:iCs w:val="0"/>
                <w:color w:val="000000"/>
                <w:sz w:val="18"/>
                <w:szCs w:val="18"/>
                <w:u w:val="none"/>
                <w:lang w:val="en-US" w:eastAsia="zh-CN"/>
              </w:rPr>
              <w:t>绩效指标</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70CDB">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一级指标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6C34B">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二级指标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AB1B2">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三级指标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EF698">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指标值</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22E63">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指标值设置依据</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6CEC6">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上年完成值</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A497E">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指标分值权重</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66573">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指标赋分规则</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239ED">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佐证资料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0126A">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指标实际完成值</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DA86E">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完成率</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28823">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指标得分</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F762D">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偏差原因分析及改进措施</w:t>
            </w:r>
          </w:p>
        </w:tc>
      </w:tr>
      <w:tr w14:paraId="6D0C7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08AAFB">
            <w:pPr>
              <w:jc w:val="center"/>
              <w:rPr>
                <w:rFonts w:hint="default" w:ascii="Times New Roman" w:hAnsi="Times New Roman" w:eastAsia="仿宋_GB2312" w:cs="Times New Roman"/>
                <w:i w:val="0"/>
                <w:iCs w:val="0"/>
                <w:color w:val="000000"/>
                <w:sz w:val="18"/>
                <w:szCs w:val="18"/>
                <w:u w:val="none"/>
              </w:rPr>
            </w:pPr>
          </w:p>
        </w:tc>
        <w:tc>
          <w:tcPr>
            <w:tcW w:w="1292" w:type="dxa"/>
            <w:vMerge w:val="restart"/>
            <w:tcBorders>
              <w:top w:val="single" w:color="000000" w:sz="4" w:space="0"/>
              <w:left w:val="single" w:color="000000" w:sz="4" w:space="0"/>
              <w:right w:val="single" w:color="000000" w:sz="4" w:space="0"/>
            </w:tcBorders>
            <w:shd w:val="clear" w:color="auto" w:fill="auto"/>
            <w:noWrap/>
            <w:vAlign w:val="center"/>
          </w:tcPr>
          <w:p w14:paraId="3FD8DBA0">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产出指标</w:t>
            </w: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5B53BE9B">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数量指标</w:t>
            </w:r>
          </w:p>
        </w:tc>
        <w:tc>
          <w:tcPr>
            <w:tcW w:w="1032" w:type="dxa"/>
            <w:tcBorders>
              <w:top w:val="single" w:color="000000" w:sz="4" w:space="0"/>
              <w:left w:val="nil"/>
              <w:bottom w:val="single" w:color="000000" w:sz="4" w:space="0"/>
              <w:right w:val="single" w:color="000000" w:sz="4" w:space="0"/>
            </w:tcBorders>
            <w:shd w:val="clear" w:color="auto" w:fill="auto"/>
            <w:vAlign w:val="top"/>
          </w:tcPr>
          <w:p w14:paraId="281B1520">
            <w:pPr>
              <w:spacing w:beforeLines="0" w:afterLines="0"/>
              <w:jc w:val="left"/>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sz w:val="18"/>
                <w:szCs w:val="18"/>
              </w:rPr>
              <w:t>安装路灯数量</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top"/>
          </w:tcPr>
          <w:p w14:paraId="26606F05">
            <w:pPr>
              <w:spacing w:beforeLines="0" w:afterLines="0"/>
              <w:jc w:val="center"/>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sz w:val="18"/>
                <w:szCs w:val="18"/>
              </w:rPr>
              <w:t>&gt;=160盏</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top"/>
          </w:tcPr>
          <w:p w14:paraId="152EBC34">
            <w:pPr>
              <w:spacing w:beforeLines="0" w:afterLines="0"/>
              <w:jc w:val="left"/>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kern w:val="2"/>
                <w:sz w:val="18"/>
                <w:szCs w:val="18"/>
                <w:lang w:val="en-US" w:eastAsia="zh-CN" w:bidi="ar-SA"/>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top"/>
          </w:tcPr>
          <w:p w14:paraId="4B12795E">
            <w:pPr>
              <w:spacing w:beforeLines="0" w:afterLines="0"/>
              <w:jc w:val="center"/>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sz w:val="18"/>
                <w:szCs w:val="18"/>
                <w:lang w:val="en-US" w:eastAsia="zh-CN"/>
              </w:rPr>
              <w:t>=200盏</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top"/>
          </w:tcPr>
          <w:p w14:paraId="02E362D9">
            <w:pPr>
              <w:spacing w:beforeLines="0" w:afterLines="0"/>
              <w:jc w:val="center"/>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sz w:val="18"/>
                <w:szCs w:val="18"/>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top"/>
          </w:tcPr>
          <w:p w14:paraId="55575DB0">
            <w:pPr>
              <w:spacing w:beforeLines="0" w:afterLines="0"/>
              <w:jc w:val="center"/>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kern w:val="2"/>
                <w:sz w:val="18"/>
                <w:szCs w:val="18"/>
                <w:lang w:val="en-US" w:eastAsia="zh-CN" w:bidi="ar-SA"/>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9FE86">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top"/>
          </w:tcPr>
          <w:p w14:paraId="70066F34">
            <w:pPr>
              <w:spacing w:beforeLines="0" w:afterLines="0"/>
              <w:jc w:val="center"/>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sz w:val="18"/>
                <w:szCs w:val="18"/>
                <w:lang w:val="en-US" w:eastAsia="zh-CN"/>
              </w:rPr>
              <w:t>=200盏</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987BA">
            <w:pPr>
              <w:jc w:val="center"/>
              <w:rPr>
                <w:rFonts w:hint="default" w:ascii="Times New Roman" w:hAnsi="Times New Roman" w:eastAsia="仿宋_GB2312" w:cs="Times New Roman"/>
                <w:i w:val="0"/>
                <w:iCs w:val="0"/>
                <w:color w:val="000000"/>
                <w:sz w:val="18"/>
                <w:szCs w:val="18"/>
                <w:u w:val="none"/>
                <w:lang w:val="en-US" w:eastAsia="zh-CN"/>
              </w:rPr>
            </w:pPr>
            <w:r>
              <w:rPr>
                <w:rFonts w:hint="default" w:ascii="Times New Roman" w:hAnsi="Times New Roman" w:eastAsia="仿宋_GB2312" w:cs="Times New Roman"/>
                <w:i w:val="0"/>
                <w:iCs w:val="0"/>
                <w:color w:val="000000"/>
                <w:sz w:val="18"/>
                <w:szCs w:val="18"/>
                <w:u w:val="none"/>
                <w:lang w:val="en-US" w:eastAsia="zh-CN"/>
              </w:rPr>
              <w:t>125%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8C88B">
            <w:pPr>
              <w:jc w:val="center"/>
              <w:rPr>
                <w:rFonts w:hint="default" w:ascii="Times New Roman" w:hAnsi="Times New Roman" w:eastAsia="仿宋_GB2312" w:cs="Times New Roman"/>
                <w:i w:val="0"/>
                <w:iCs w:val="0"/>
                <w:color w:val="000000"/>
                <w:sz w:val="18"/>
                <w:szCs w:val="18"/>
                <w:u w:val="none"/>
                <w:lang w:val="en-US" w:eastAsia="zh-CN"/>
              </w:rPr>
            </w:pPr>
            <w:r>
              <w:rPr>
                <w:rFonts w:hint="default" w:ascii="Times New Roman" w:hAnsi="Times New Roman" w:eastAsia="仿宋_GB2312" w:cs="Times New Roman"/>
                <w:i w:val="0"/>
                <w:iCs w:val="0"/>
                <w:color w:val="000000"/>
                <w:sz w:val="18"/>
                <w:szCs w:val="18"/>
                <w:u w:val="none"/>
                <w:lang w:val="en-US" w:eastAsia="zh-CN"/>
              </w:rPr>
              <w:t>7.5</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E4FD6">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sz w:val="18"/>
                <w:szCs w:val="18"/>
                <w:u w:val="none"/>
              </w:rPr>
              <w:t>原因：我单位在实际执行过程中，经与供货方友好洽谈，在预算资金范围内将供货量增加至200盏。措施：加强预算支出的管理，要严格预算刚性约束，减少中间环节滞留、挤占、挪用等问题发生，加强资金监管力度。</w:t>
            </w:r>
          </w:p>
        </w:tc>
      </w:tr>
      <w:tr w14:paraId="7653E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D05518">
            <w:pPr>
              <w:jc w:val="center"/>
              <w:rPr>
                <w:rFonts w:hint="default" w:ascii="Times New Roman" w:hAnsi="Times New Roman" w:eastAsia="仿宋_GB2312" w:cs="Times New Roman"/>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14:paraId="446A04B7">
            <w:pPr>
              <w:jc w:val="center"/>
              <w:rPr>
                <w:rFonts w:hint="default" w:ascii="Times New Roman" w:hAnsi="Times New Roman" w:eastAsia="仿宋_GB2312" w:cs="Times New Roman"/>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4FD28">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质量指标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top"/>
          </w:tcPr>
          <w:p w14:paraId="578B54C1">
            <w:pPr>
              <w:spacing w:beforeLines="0" w:afterLines="0"/>
              <w:jc w:val="left"/>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sz w:val="18"/>
                <w:szCs w:val="18"/>
              </w:rPr>
              <w:t>项目竣工验收合格率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top"/>
          </w:tcPr>
          <w:p w14:paraId="2577410F">
            <w:pPr>
              <w:spacing w:beforeLines="0" w:afterLines="0"/>
              <w:jc w:val="center"/>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sz w:val="18"/>
                <w:szCs w:val="18"/>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top"/>
          </w:tcPr>
          <w:p w14:paraId="45F7DD72">
            <w:pPr>
              <w:spacing w:beforeLines="0" w:afterLines="0"/>
              <w:jc w:val="left"/>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kern w:val="2"/>
                <w:sz w:val="18"/>
                <w:szCs w:val="18"/>
                <w:lang w:val="en-US" w:eastAsia="zh-CN" w:bidi="ar-SA"/>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top"/>
          </w:tcPr>
          <w:p w14:paraId="57ADFB05">
            <w:pPr>
              <w:spacing w:beforeLines="0" w:afterLines="0"/>
              <w:jc w:val="center"/>
              <w:rPr>
                <w:rFonts w:hint="default" w:ascii="Times New Roman" w:hAnsi="Times New Roman" w:eastAsia="仿宋_GB2312" w:cs="Times New Roman"/>
                <w:color w:val="000000"/>
                <w:kern w:val="2"/>
                <w:sz w:val="18"/>
                <w:szCs w:val="18"/>
                <w:lang w:val="en-US" w:eastAsia="zh-CN" w:bidi="ar-SA"/>
              </w:rPr>
            </w:pPr>
          </w:p>
          <w:p w14:paraId="7446C8B2">
            <w:pPr>
              <w:bidi w:val="0"/>
              <w:jc w:val="center"/>
              <w:rPr>
                <w:rFonts w:hint="default" w:ascii="Times New Roman" w:hAnsi="Times New Roman" w:eastAsia="仿宋_GB2312" w:cs="Times New Roman"/>
                <w:kern w:val="2"/>
                <w:sz w:val="18"/>
                <w:szCs w:val="18"/>
                <w:lang w:val="en-US" w:eastAsia="zh-CN" w:bidi="ar-SA"/>
              </w:rPr>
            </w:pPr>
            <w:r>
              <w:rPr>
                <w:rFonts w:hint="default" w:ascii="Times New Roman" w:hAnsi="Times New Roman" w:eastAsia="仿宋_GB2312" w:cs="Times New Roman"/>
                <w:color w:val="000000"/>
                <w:sz w:val="18"/>
                <w:szCs w:val="18"/>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top"/>
          </w:tcPr>
          <w:p w14:paraId="69F2ACD5">
            <w:pPr>
              <w:spacing w:beforeLines="0" w:afterLines="0"/>
              <w:jc w:val="center"/>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sz w:val="18"/>
                <w:szCs w:val="18"/>
              </w:rPr>
              <w:t>20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top"/>
          </w:tcPr>
          <w:p w14:paraId="1DBFDBDF">
            <w:pPr>
              <w:spacing w:beforeLines="0" w:afterLines="0"/>
              <w:jc w:val="center"/>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kern w:val="2"/>
                <w:sz w:val="18"/>
                <w:szCs w:val="18"/>
                <w:lang w:val="en-US" w:eastAsia="zh-CN" w:bidi="ar-SA"/>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5FC1F">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top"/>
          </w:tcPr>
          <w:p w14:paraId="08E05941">
            <w:pPr>
              <w:spacing w:beforeLines="0" w:afterLines="0"/>
              <w:jc w:val="center"/>
              <w:rPr>
                <w:rFonts w:hint="default" w:ascii="Times New Roman" w:hAnsi="Times New Roman" w:eastAsia="仿宋_GB2312" w:cs="Times New Roman"/>
                <w:color w:val="000000"/>
                <w:kern w:val="2"/>
                <w:sz w:val="18"/>
                <w:szCs w:val="18"/>
                <w:lang w:val="en-US" w:eastAsia="zh-CN" w:bidi="ar-SA"/>
              </w:rPr>
            </w:pPr>
          </w:p>
          <w:p w14:paraId="42AF4A54">
            <w:pPr>
              <w:bidi w:val="0"/>
              <w:jc w:val="center"/>
              <w:rPr>
                <w:rFonts w:hint="default" w:ascii="Times New Roman" w:hAnsi="Times New Roman" w:eastAsia="仿宋_GB2312" w:cs="Times New Roman"/>
                <w:kern w:val="2"/>
                <w:sz w:val="18"/>
                <w:szCs w:val="18"/>
                <w:lang w:val="en-US" w:eastAsia="zh-CN" w:bidi="ar-SA"/>
              </w:rPr>
            </w:pPr>
            <w:r>
              <w:rPr>
                <w:rFonts w:hint="default" w:ascii="Times New Roman" w:hAnsi="Times New Roman" w:eastAsia="仿宋_GB2312" w:cs="Times New Roman"/>
                <w:color w:val="000000"/>
                <w:sz w:val="18"/>
                <w:szCs w:val="18"/>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461DC">
            <w:pPr>
              <w:jc w:val="center"/>
              <w:rPr>
                <w:rFonts w:hint="default" w:ascii="Times New Roman" w:hAnsi="Times New Roman" w:eastAsia="仿宋_GB2312" w:cs="Times New Roman"/>
                <w:i w:val="0"/>
                <w:iCs w:val="0"/>
                <w:color w:val="000000"/>
                <w:sz w:val="18"/>
                <w:szCs w:val="18"/>
                <w:u w:val="none"/>
                <w:lang w:val="en-US" w:eastAsia="zh-CN"/>
              </w:rPr>
            </w:pPr>
            <w:r>
              <w:rPr>
                <w:rFonts w:hint="default" w:ascii="Times New Roman" w:hAnsi="Times New Roman" w:eastAsia="仿宋_GB2312" w:cs="Times New Roman"/>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top"/>
          </w:tcPr>
          <w:p w14:paraId="163EC351">
            <w:pPr>
              <w:spacing w:beforeLines="0" w:afterLines="0"/>
              <w:jc w:val="center"/>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sz w:val="18"/>
                <w:szCs w:val="18"/>
              </w:rPr>
              <w:t>20</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724CB">
            <w:pPr>
              <w:jc w:val="center"/>
              <w:rPr>
                <w:rFonts w:hint="default" w:ascii="Times New Roman" w:hAnsi="Times New Roman" w:eastAsia="仿宋_GB2312" w:cs="Times New Roman"/>
                <w:i w:val="0"/>
                <w:iCs w:val="0"/>
                <w:color w:val="000000"/>
                <w:sz w:val="18"/>
                <w:szCs w:val="18"/>
                <w:u w:val="none"/>
              </w:rPr>
            </w:pPr>
          </w:p>
        </w:tc>
      </w:tr>
      <w:tr w14:paraId="16C5C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1BE8B">
            <w:pPr>
              <w:jc w:val="center"/>
              <w:rPr>
                <w:rFonts w:hint="default" w:ascii="Times New Roman" w:hAnsi="Times New Roman" w:eastAsia="仿宋_GB2312" w:cs="Times New Roman"/>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14:paraId="6A7F192F">
            <w:pPr>
              <w:jc w:val="center"/>
              <w:rPr>
                <w:rFonts w:hint="default" w:ascii="Times New Roman" w:hAnsi="Times New Roman" w:eastAsia="仿宋_GB2312" w:cs="Times New Roman"/>
                <w:i w:val="0"/>
                <w:iCs w:val="0"/>
                <w:color w:val="000000"/>
                <w:sz w:val="18"/>
                <w:szCs w:val="18"/>
                <w:u w:val="none"/>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1270DC8E">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时效指标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top"/>
          </w:tcPr>
          <w:p w14:paraId="024EF410">
            <w:pPr>
              <w:spacing w:beforeLines="0" w:afterLines="0"/>
              <w:jc w:val="left"/>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sz w:val="18"/>
                <w:szCs w:val="18"/>
              </w:rPr>
              <w:t>项目按计划开工时间</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top"/>
          </w:tcPr>
          <w:p w14:paraId="40A6DCF0">
            <w:pPr>
              <w:spacing w:beforeLines="0" w:afterLines="0"/>
              <w:jc w:val="center"/>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sz w:val="18"/>
                <w:szCs w:val="18"/>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top"/>
          </w:tcPr>
          <w:p w14:paraId="3670020B">
            <w:pPr>
              <w:spacing w:beforeLines="0" w:afterLines="0"/>
              <w:jc w:val="left"/>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kern w:val="2"/>
                <w:sz w:val="18"/>
                <w:szCs w:val="18"/>
                <w:lang w:val="en-US" w:eastAsia="zh-CN" w:bidi="ar-SA"/>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top"/>
          </w:tcPr>
          <w:p w14:paraId="1E189E35">
            <w:pPr>
              <w:spacing w:beforeLines="0" w:afterLines="0"/>
              <w:jc w:val="center"/>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sz w:val="18"/>
                <w:szCs w:val="18"/>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top"/>
          </w:tcPr>
          <w:p w14:paraId="2DCE40BE">
            <w:pPr>
              <w:spacing w:beforeLines="0" w:afterLines="0"/>
              <w:jc w:val="center"/>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sz w:val="18"/>
                <w:szCs w:val="18"/>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top"/>
          </w:tcPr>
          <w:p w14:paraId="0AA8ABAB">
            <w:pPr>
              <w:spacing w:beforeLines="0" w:afterLines="0"/>
              <w:jc w:val="center"/>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kern w:val="2"/>
                <w:sz w:val="18"/>
                <w:szCs w:val="18"/>
                <w:lang w:val="en-US" w:eastAsia="zh-CN" w:bidi="ar-SA"/>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8400D">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top"/>
          </w:tcPr>
          <w:p w14:paraId="0D72A739">
            <w:pPr>
              <w:spacing w:beforeLines="0" w:afterLines="0"/>
              <w:jc w:val="center"/>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sz w:val="18"/>
                <w:szCs w:val="18"/>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231FD">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top"/>
          </w:tcPr>
          <w:p w14:paraId="26BF73CC">
            <w:pPr>
              <w:spacing w:beforeLines="0" w:afterLines="0"/>
              <w:jc w:val="center"/>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sz w:val="18"/>
                <w:szCs w:val="18"/>
              </w:rPr>
              <w:t>10</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222C1">
            <w:pPr>
              <w:jc w:val="center"/>
              <w:rPr>
                <w:rFonts w:hint="default" w:ascii="Times New Roman" w:hAnsi="Times New Roman" w:eastAsia="仿宋_GB2312" w:cs="Times New Roman"/>
                <w:b/>
                <w:bCs/>
                <w:i w:val="0"/>
                <w:iCs w:val="0"/>
                <w:color w:val="000000"/>
                <w:sz w:val="18"/>
                <w:szCs w:val="18"/>
                <w:u w:val="none"/>
              </w:rPr>
            </w:pPr>
          </w:p>
        </w:tc>
      </w:tr>
      <w:tr w14:paraId="260AA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96230">
            <w:pPr>
              <w:jc w:val="center"/>
              <w:rPr>
                <w:rFonts w:hint="default" w:ascii="Times New Roman" w:hAnsi="Times New Roman" w:eastAsia="仿宋_GB2312" w:cs="Times New Roman"/>
                <w:i w:val="0"/>
                <w:iCs w:val="0"/>
                <w:color w:val="000000"/>
                <w:sz w:val="18"/>
                <w:szCs w:val="18"/>
                <w:u w:val="none"/>
              </w:rPr>
            </w:pPr>
          </w:p>
        </w:tc>
        <w:tc>
          <w:tcPr>
            <w:tcW w:w="1292" w:type="dxa"/>
            <w:vMerge w:val="continue"/>
            <w:tcBorders>
              <w:left w:val="single" w:color="000000" w:sz="4" w:space="0"/>
              <w:bottom w:val="single" w:color="000000" w:sz="4" w:space="0"/>
              <w:right w:val="single" w:color="000000" w:sz="4" w:space="0"/>
            </w:tcBorders>
            <w:shd w:val="clear" w:color="auto" w:fill="auto"/>
            <w:noWrap/>
            <w:vAlign w:val="center"/>
          </w:tcPr>
          <w:p w14:paraId="1E5F4E82">
            <w:pPr>
              <w:jc w:val="center"/>
              <w:rPr>
                <w:rFonts w:hint="default" w:ascii="Times New Roman" w:hAnsi="Times New Roman" w:eastAsia="仿宋_GB2312" w:cs="Times New Roman"/>
                <w:i w:val="0"/>
                <w:iCs w:val="0"/>
                <w:color w:val="000000"/>
                <w:sz w:val="18"/>
                <w:szCs w:val="18"/>
                <w:u w:val="none"/>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3406CA18">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时效指标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top"/>
          </w:tcPr>
          <w:p w14:paraId="0FFF8021">
            <w:pPr>
              <w:spacing w:beforeLines="0" w:afterLines="0"/>
              <w:jc w:val="left"/>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sz w:val="18"/>
                <w:szCs w:val="18"/>
              </w:rPr>
              <w:t>项目按计划完工时间</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top"/>
          </w:tcPr>
          <w:p w14:paraId="429B01A6">
            <w:pPr>
              <w:spacing w:beforeLines="0" w:afterLines="0"/>
              <w:jc w:val="center"/>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sz w:val="18"/>
                <w:szCs w:val="18"/>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top"/>
          </w:tcPr>
          <w:p w14:paraId="00CCBBC0">
            <w:pPr>
              <w:spacing w:beforeLines="0" w:afterLines="0"/>
              <w:jc w:val="left"/>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kern w:val="2"/>
                <w:sz w:val="18"/>
                <w:szCs w:val="18"/>
                <w:lang w:val="en-US" w:eastAsia="zh-CN" w:bidi="ar-SA"/>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top"/>
          </w:tcPr>
          <w:p w14:paraId="55FB728B">
            <w:pPr>
              <w:spacing w:beforeLines="0" w:afterLines="0"/>
              <w:jc w:val="center"/>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sz w:val="18"/>
                <w:szCs w:val="18"/>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top"/>
          </w:tcPr>
          <w:p w14:paraId="7398CCB8">
            <w:pPr>
              <w:spacing w:beforeLines="0" w:afterLines="0"/>
              <w:jc w:val="center"/>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sz w:val="18"/>
                <w:szCs w:val="18"/>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top"/>
          </w:tcPr>
          <w:p w14:paraId="08EDF24E">
            <w:pPr>
              <w:spacing w:beforeLines="0" w:afterLines="0"/>
              <w:jc w:val="center"/>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kern w:val="2"/>
                <w:sz w:val="18"/>
                <w:szCs w:val="18"/>
                <w:lang w:val="en-US" w:eastAsia="zh-CN" w:bidi="ar-SA"/>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0CC6C">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top"/>
          </w:tcPr>
          <w:p w14:paraId="69E59ECE">
            <w:pPr>
              <w:spacing w:beforeLines="0" w:afterLines="0"/>
              <w:jc w:val="center"/>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sz w:val="18"/>
                <w:szCs w:val="18"/>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85A95">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top"/>
          </w:tcPr>
          <w:p w14:paraId="74909CE6">
            <w:pPr>
              <w:spacing w:beforeLines="0" w:afterLines="0"/>
              <w:jc w:val="center"/>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sz w:val="18"/>
                <w:szCs w:val="18"/>
              </w:rPr>
              <w:t>10</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1EC3F">
            <w:pPr>
              <w:jc w:val="center"/>
              <w:rPr>
                <w:rFonts w:hint="default" w:ascii="Times New Roman" w:hAnsi="Times New Roman" w:eastAsia="仿宋_GB2312" w:cs="Times New Roman"/>
                <w:b/>
                <w:bCs/>
                <w:i w:val="0"/>
                <w:iCs w:val="0"/>
                <w:color w:val="000000"/>
                <w:sz w:val="18"/>
                <w:szCs w:val="18"/>
                <w:u w:val="none"/>
              </w:rPr>
            </w:pPr>
          </w:p>
        </w:tc>
      </w:tr>
      <w:tr w14:paraId="3C5DD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0043B">
            <w:pPr>
              <w:jc w:val="center"/>
              <w:rPr>
                <w:rFonts w:hint="default" w:ascii="Times New Roman" w:hAnsi="Times New Roman" w:eastAsia="仿宋_GB2312" w:cs="Times New Roman"/>
                <w:i w:val="0"/>
                <w:iCs w:val="0"/>
                <w:color w:val="000000"/>
                <w:sz w:val="18"/>
                <w:szCs w:val="18"/>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55535">
            <w:pPr>
              <w:jc w:val="center"/>
              <w:rPr>
                <w:rFonts w:hint="default" w:ascii="Times New Roman" w:hAnsi="Times New Roman" w:eastAsia="仿宋_GB2312" w:cs="Times New Roman"/>
                <w:i w:val="0"/>
                <w:iCs w:val="0"/>
                <w:color w:val="000000"/>
                <w:sz w:val="18"/>
                <w:szCs w:val="18"/>
                <w:u w:val="none"/>
                <w:lang w:val="en-US" w:eastAsia="zh-CN"/>
              </w:rPr>
            </w:pPr>
            <w:r>
              <w:rPr>
                <w:rFonts w:hint="default" w:ascii="Times New Roman" w:hAnsi="Times New Roman" w:eastAsia="仿宋_GB2312" w:cs="Times New Roman"/>
                <w:i w:val="0"/>
                <w:iCs w:val="0"/>
                <w:color w:val="000000"/>
                <w:sz w:val="18"/>
                <w:szCs w:val="18"/>
                <w:u w:val="none"/>
                <w:lang w:val="en-US" w:eastAsia="zh-CN"/>
              </w:rPr>
              <w:t>成本指标</w:t>
            </w: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4562F2B9">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18"/>
                <w:szCs w:val="18"/>
                <w:highlight w:val="red"/>
                <w:u w:val="none"/>
                <w:lang w:val="en-US" w:eastAsia="zh-CN" w:bidi="ar"/>
              </w:rPr>
            </w:pPr>
            <w:r>
              <w:rPr>
                <w:rFonts w:hint="default" w:ascii="Times New Roman" w:hAnsi="Times New Roman" w:eastAsia="仿宋_GB2312" w:cs="Times New Roman"/>
                <w:i w:val="0"/>
                <w:iCs w:val="0"/>
                <w:color w:val="000000"/>
                <w:kern w:val="0"/>
                <w:sz w:val="18"/>
                <w:szCs w:val="18"/>
                <w:highlight w:val="none"/>
                <w:u w:val="none"/>
                <w:lang w:val="en-US" w:eastAsia="zh-CN" w:bidi="ar"/>
              </w:rPr>
              <w:t>经济成本指标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top"/>
          </w:tcPr>
          <w:p w14:paraId="14AB47A5">
            <w:pPr>
              <w:spacing w:beforeLines="0" w:afterLines="0"/>
              <w:jc w:val="left"/>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sz w:val="18"/>
                <w:szCs w:val="18"/>
              </w:rPr>
              <w:t>安装路灯标准</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top"/>
          </w:tcPr>
          <w:p w14:paraId="70A218B8">
            <w:pPr>
              <w:spacing w:beforeLines="0" w:afterLines="0"/>
              <w:jc w:val="center"/>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sz w:val="18"/>
                <w:szCs w:val="18"/>
              </w:rPr>
              <w:t>＜=2812.5元/盏</w:t>
            </w:r>
          </w:p>
        </w:tc>
        <w:tc>
          <w:tcPr>
            <w:tcW w:w="1164" w:type="dxa"/>
            <w:tcBorders>
              <w:top w:val="single" w:color="000000" w:sz="4" w:space="0"/>
              <w:left w:val="single" w:color="000000" w:sz="4" w:space="0"/>
              <w:bottom w:val="nil"/>
              <w:right w:val="single" w:color="000000" w:sz="4" w:space="0"/>
            </w:tcBorders>
            <w:shd w:val="clear" w:color="auto" w:fill="auto"/>
            <w:vAlign w:val="top"/>
          </w:tcPr>
          <w:p w14:paraId="3B54EF59">
            <w:pPr>
              <w:spacing w:beforeLines="0" w:afterLines="0"/>
              <w:jc w:val="left"/>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kern w:val="2"/>
                <w:sz w:val="18"/>
                <w:szCs w:val="18"/>
                <w:lang w:val="en-US" w:eastAsia="zh-CN" w:bidi="ar-SA"/>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top"/>
          </w:tcPr>
          <w:p w14:paraId="7DF8C930">
            <w:pPr>
              <w:spacing w:beforeLines="0" w:afterLines="0"/>
              <w:jc w:val="center"/>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sz w:val="18"/>
                <w:szCs w:val="18"/>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top"/>
          </w:tcPr>
          <w:p w14:paraId="2BB1EEC5">
            <w:pPr>
              <w:spacing w:beforeLines="0" w:afterLines="0"/>
              <w:jc w:val="center"/>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sz w:val="18"/>
                <w:szCs w:val="18"/>
              </w:rPr>
              <w:t>20</w:t>
            </w:r>
          </w:p>
        </w:tc>
        <w:tc>
          <w:tcPr>
            <w:tcW w:w="882" w:type="dxa"/>
            <w:tcBorders>
              <w:top w:val="single" w:color="000000" w:sz="4" w:space="0"/>
              <w:left w:val="single" w:color="000000" w:sz="4" w:space="0"/>
              <w:bottom w:val="nil"/>
              <w:right w:val="single" w:color="000000" w:sz="4" w:space="0"/>
            </w:tcBorders>
            <w:shd w:val="clear" w:color="auto" w:fill="auto"/>
            <w:vAlign w:val="top"/>
          </w:tcPr>
          <w:p w14:paraId="47DC92D1">
            <w:pPr>
              <w:spacing w:beforeLines="0" w:afterLines="0"/>
              <w:jc w:val="center"/>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kern w:val="2"/>
                <w:sz w:val="18"/>
                <w:szCs w:val="18"/>
                <w:lang w:val="en-US" w:eastAsia="zh-CN" w:bidi="ar-SA"/>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C6750">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sz w:val="18"/>
                <w:szCs w:val="18"/>
                <w:u w:val="none"/>
              </w:rPr>
              <w:t>原始凭证</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top"/>
          </w:tcPr>
          <w:p w14:paraId="135B2846">
            <w:pPr>
              <w:spacing w:beforeLines="0" w:afterLines="0"/>
              <w:jc w:val="center"/>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sz w:val="18"/>
                <w:szCs w:val="18"/>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3A91A">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top"/>
          </w:tcPr>
          <w:p w14:paraId="68261887">
            <w:pPr>
              <w:spacing w:beforeLines="0" w:afterLines="0"/>
              <w:jc w:val="center"/>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sz w:val="18"/>
                <w:szCs w:val="18"/>
              </w:rPr>
              <w:t>20</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2D142">
            <w:pPr>
              <w:jc w:val="center"/>
              <w:rPr>
                <w:rFonts w:hint="default" w:ascii="Times New Roman" w:hAnsi="Times New Roman" w:eastAsia="仿宋_GB2312" w:cs="Times New Roman"/>
                <w:i w:val="0"/>
                <w:iCs w:val="0"/>
                <w:color w:val="000000"/>
                <w:sz w:val="18"/>
                <w:szCs w:val="18"/>
                <w:u w:val="none"/>
              </w:rPr>
            </w:pPr>
          </w:p>
        </w:tc>
      </w:tr>
      <w:tr w14:paraId="008A5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7BC85">
            <w:pPr>
              <w:jc w:val="center"/>
              <w:rPr>
                <w:rFonts w:hint="default" w:ascii="Times New Roman" w:hAnsi="Times New Roman" w:eastAsia="仿宋_GB2312" w:cs="Times New Roman"/>
                <w:i w:val="0"/>
                <w:iCs w:val="0"/>
                <w:color w:val="000000"/>
                <w:sz w:val="18"/>
                <w:szCs w:val="18"/>
                <w:u w:val="none"/>
              </w:rPr>
            </w:pPr>
          </w:p>
        </w:tc>
        <w:tc>
          <w:tcPr>
            <w:tcW w:w="1292" w:type="dxa"/>
            <w:tcBorders>
              <w:top w:val="single" w:color="000000" w:sz="4" w:space="0"/>
              <w:left w:val="single" w:color="000000" w:sz="4" w:space="0"/>
              <w:right w:val="single" w:color="000000" w:sz="4" w:space="0"/>
            </w:tcBorders>
            <w:shd w:val="clear" w:color="auto" w:fill="auto"/>
            <w:vAlign w:val="center"/>
          </w:tcPr>
          <w:p w14:paraId="5560A26D">
            <w:pPr>
              <w:jc w:val="center"/>
              <w:rPr>
                <w:rFonts w:hint="default" w:ascii="Times New Roman" w:hAnsi="Times New Roman" w:eastAsia="仿宋_GB2312" w:cs="Times New Roman"/>
                <w:i w:val="0"/>
                <w:iCs w:val="0"/>
                <w:color w:val="000000"/>
                <w:sz w:val="18"/>
                <w:szCs w:val="18"/>
                <w:u w:val="none"/>
                <w:lang w:val="en-US" w:eastAsia="zh-CN"/>
              </w:rPr>
            </w:pPr>
            <w:r>
              <w:rPr>
                <w:rFonts w:hint="default" w:ascii="Times New Roman" w:hAnsi="Times New Roman" w:eastAsia="仿宋_GB2312" w:cs="Times New Roman"/>
                <w:i w:val="0"/>
                <w:iCs w:val="0"/>
                <w:color w:val="000000"/>
                <w:sz w:val="18"/>
                <w:szCs w:val="18"/>
                <w:u w:val="none"/>
                <w:lang w:val="en-US" w:eastAsia="zh-CN"/>
              </w:rPr>
              <w:t>效益指标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46257">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社会效益指标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D05C1">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sz w:val="18"/>
                <w:szCs w:val="18"/>
                <w:u w:val="none"/>
              </w:rPr>
              <w:t>安装路灯受益户数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9418D">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color w:val="000000"/>
                <w:sz w:val="18"/>
                <w:szCs w:val="18"/>
              </w:rPr>
              <w:t>&gt;=</w:t>
            </w:r>
            <w:r>
              <w:rPr>
                <w:rFonts w:hint="default" w:ascii="Times New Roman" w:hAnsi="Times New Roman" w:eastAsia="仿宋_GB2312" w:cs="Times New Roman"/>
                <w:i w:val="0"/>
                <w:iCs w:val="0"/>
                <w:color w:val="000000"/>
                <w:sz w:val="18"/>
                <w:szCs w:val="18"/>
                <w:u w:val="none"/>
              </w:rPr>
              <w:t>236户</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D4CE9">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color w:val="000000"/>
                <w:kern w:val="2"/>
                <w:sz w:val="18"/>
                <w:szCs w:val="18"/>
                <w:lang w:val="en-US" w:eastAsia="zh-CN" w:bidi="ar-SA"/>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top"/>
          </w:tcPr>
          <w:p w14:paraId="69813213">
            <w:pPr>
              <w:spacing w:beforeLines="0" w:afterLines="0"/>
              <w:jc w:val="right"/>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sz w:val="18"/>
                <w:szCs w:val="18"/>
              </w:rPr>
              <w:t>=</w:t>
            </w:r>
            <w:r>
              <w:rPr>
                <w:rFonts w:hint="default" w:ascii="Times New Roman" w:hAnsi="Times New Roman" w:eastAsia="仿宋_GB2312" w:cs="Times New Roman"/>
                <w:i w:val="0"/>
                <w:iCs w:val="0"/>
                <w:color w:val="000000"/>
                <w:sz w:val="18"/>
                <w:szCs w:val="18"/>
                <w:u w:val="none"/>
              </w:rPr>
              <w:t>236户</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05E0A">
            <w:pPr>
              <w:jc w:val="both"/>
              <w:rPr>
                <w:rFonts w:hint="default" w:ascii="Times New Roman" w:hAnsi="Times New Roman" w:eastAsia="仿宋_GB2312" w:cs="Times New Roman"/>
                <w:i w:val="0"/>
                <w:iCs w:val="0"/>
                <w:color w:val="000000"/>
                <w:sz w:val="18"/>
                <w:szCs w:val="18"/>
                <w:u w:val="none"/>
                <w:lang w:val="en-US" w:eastAsia="zh-CN"/>
              </w:rPr>
            </w:pPr>
            <w:r>
              <w:rPr>
                <w:rFonts w:hint="default" w:ascii="Times New Roman" w:hAnsi="Times New Roman" w:eastAsia="仿宋_GB2312" w:cs="Times New Roman"/>
                <w:i w:val="0"/>
                <w:iCs w:val="0"/>
                <w:color w:val="000000"/>
                <w:sz w:val="18"/>
                <w:szCs w:val="18"/>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4C5FD">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6D41C">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top"/>
          </w:tcPr>
          <w:p w14:paraId="7E24FE23">
            <w:pPr>
              <w:spacing w:beforeLines="0" w:afterLines="0"/>
              <w:jc w:val="right"/>
              <w:rPr>
                <w:rFonts w:hint="default" w:ascii="Times New Roman" w:hAnsi="Times New Roman" w:eastAsia="仿宋_GB2312" w:cs="Times New Roman"/>
                <w:color w:val="000000"/>
                <w:kern w:val="2"/>
                <w:sz w:val="18"/>
                <w:szCs w:val="18"/>
                <w:lang w:val="en-US" w:eastAsia="zh-CN" w:bidi="ar-SA"/>
              </w:rPr>
            </w:pPr>
            <w:r>
              <w:rPr>
                <w:rFonts w:hint="default" w:ascii="Times New Roman" w:hAnsi="Times New Roman" w:eastAsia="仿宋_GB2312" w:cs="Times New Roman"/>
                <w:color w:val="000000"/>
                <w:sz w:val="18"/>
                <w:szCs w:val="18"/>
              </w:rPr>
              <w:t>=</w:t>
            </w:r>
            <w:r>
              <w:rPr>
                <w:rFonts w:hint="default" w:ascii="Times New Roman" w:hAnsi="Times New Roman" w:eastAsia="仿宋_GB2312" w:cs="Times New Roman"/>
                <w:i w:val="0"/>
                <w:iCs w:val="0"/>
                <w:color w:val="000000"/>
                <w:sz w:val="18"/>
                <w:szCs w:val="18"/>
                <w:u w:val="none"/>
              </w:rPr>
              <w:t>236户</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E2696">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B960A">
            <w:pPr>
              <w:jc w:val="both"/>
              <w:rPr>
                <w:rFonts w:hint="default" w:ascii="Times New Roman" w:hAnsi="Times New Roman" w:eastAsia="仿宋_GB2312" w:cs="Times New Roman"/>
                <w:i w:val="0"/>
                <w:iCs w:val="0"/>
                <w:color w:val="000000"/>
                <w:kern w:val="2"/>
                <w:sz w:val="18"/>
                <w:szCs w:val="18"/>
                <w:u w:val="none"/>
                <w:lang w:val="en-US" w:eastAsia="zh-CN" w:bidi="ar-SA"/>
              </w:rPr>
            </w:pPr>
            <w:r>
              <w:rPr>
                <w:rFonts w:hint="default" w:ascii="Times New Roman" w:hAnsi="Times New Roman" w:eastAsia="仿宋_GB2312" w:cs="Times New Roman"/>
                <w:i w:val="0"/>
                <w:iCs w:val="0"/>
                <w:color w:val="000000"/>
                <w:sz w:val="18"/>
                <w:szCs w:val="18"/>
                <w:u w:val="none"/>
                <w:lang w:val="en-US" w:eastAsia="zh-CN"/>
              </w:rPr>
              <w:t>10</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C3DB2">
            <w:pPr>
              <w:jc w:val="center"/>
              <w:rPr>
                <w:rFonts w:hint="default" w:ascii="Times New Roman" w:hAnsi="Times New Roman" w:eastAsia="仿宋_GB2312" w:cs="Times New Roman"/>
                <w:i w:val="0"/>
                <w:iCs w:val="0"/>
                <w:color w:val="000000"/>
                <w:sz w:val="18"/>
                <w:szCs w:val="18"/>
                <w:u w:val="none"/>
              </w:rPr>
            </w:pPr>
          </w:p>
        </w:tc>
      </w:tr>
      <w:tr w14:paraId="4C581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6FB65">
            <w:pPr>
              <w:jc w:val="center"/>
              <w:rPr>
                <w:rFonts w:hint="default" w:ascii="Times New Roman" w:hAnsi="Times New Roman" w:eastAsia="仿宋_GB2312" w:cs="Times New Roman"/>
                <w:i w:val="0"/>
                <w:iCs w:val="0"/>
                <w:color w:val="000000"/>
                <w:sz w:val="18"/>
                <w:szCs w:val="18"/>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1FFF9">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6B025">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满意度指标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FDD57">
            <w:pPr>
              <w:jc w:val="left"/>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sz w:val="18"/>
                <w:szCs w:val="18"/>
                <w:u w:val="none"/>
              </w:rPr>
              <w:t>群众满意度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835A0">
            <w:pPr>
              <w:tabs>
                <w:tab w:val="left" w:pos="339"/>
              </w:tabs>
              <w:jc w:val="center"/>
              <w:rPr>
                <w:rFonts w:hint="default" w:ascii="Times New Roman" w:hAnsi="Times New Roman" w:eastAsia="仿宋_GB2312" w:cs="Times New Roman"/>
                <w:i w:val="0"/>
                <w:iCs w:val="0"/>
                <w:color w:val="000000"/>
                <w:sz w:val="18"/>
                <w:szCs w:val="18"/>
                <w:u w:val="none"/>
                <w:lang w:eastAsia="zh-CN"/>
              </w:rPr>
            </w:pPr>
            <w:r>
              <w:rPr>
                <w:rFonts w:hint="default" w:ascii="Times New Roman" w:hAnsi="Times New Roman" w:eastAsia="仿宋_GB2312" w:cs="Times New Roman"/>
                <w:color w:val="000000"/>
                <w:sz w:val="18"/>
                <w:szCs w:val="18"/>
              </w:rPr>
              <w:t>&gt;=</w:t>
            </w:r>
            <w:r>
              <w:rPr>
                <w:rFonts w:hint="default" w:ascii="Times New Roman" w:hAnsi="Times New Roman" w:eastAsia="仿宋_GB2312" w:cs="Times New Roman"/>
                <w:i w:val="0"/>
                <w:iCs w:val="0"/>
                <w:color w:val="000000"/>
                <w:sz w:val="18"/>
                <w:szCs w:val="18"/>
                <w:u w:val="none"/>
                <w:lang w:eastAsia="zh-CN"/>
              </w:rPr>
              <w:t>90%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9A2B5">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color w:val="000000"/>
                <w:kern w:val="2"/>
                <w:sz w:val="18"/>
                <w:szCs w:val="18"/>
                <w:lang w:val="en-US" w:eastAsia="zh-CN" w:bidi="ar-SA"/>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BA2E1">
            <w:pPr>
              <w:jc w:val="both"/>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color w:val="000000"/>
                <w:sz w:val="18"/>
                <w:szCs w:val="18"/>
              </w:rPr>
              <w:t>=</w:t>
            </w:r>
            <w:r>
              <w:rPr>
                <w:rFonts w:hint="default" w:ascii="Times New Roman" w:hAnsi="Times New Roman" w:eastAsia="仿宋_GB2312" w:cs="Times New Roman"/>
                <w:i w:val="0"/>
                <w:iCs w:val="0"/>
                <w:color w:val="000000"/>
                <w:sz w:val="18"/>
                <w:szCs w:val="18"/>
                <w:u w:val="none"/>
                <w:lang w:eastAsia="zh-CN"/>
              </w:rPr>
              <w:t>90%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4D89F">
            <w:pPr>
              <w:jc w:val="both"/>
              <w:rPr>
                <w:rFonts w:hint="default" w:ascii="Times New Roman" w:hAnsi="Times New Roman" w:eastAsia="仿宋_GB2312" w:cs="Times New Roman"/>
                <w:i w:val="0"/>
                <w:iCs w:val="0"/>
                <w:color w:val="000000"/>
                <w:sz w:val="18"/>
                <w:szCs w:val="18"/>
                <w:u w:val="none"/>
                <w:lang w:val="en-US" w:eastAsia="zh-CN"/>
              </w:rPr>
            </w:pPr>
            <w:r>
              <w:rPr>
                <w:rFonts w:hint="default" w:ascii="Times New Roman" w:hAnsi="Times New Roman" w:eastAsia="仿宋_GB2312" w:cs="Times New Roman"/>
                <w:i w:val="0"/>
                <w:iCs w:val="0"/>
                <w:color w:val="000000"/>
                <w:sz w:val="18"/>
                <w:szCs w:val="18"/>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3F1B6">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sz w:val="18"/>
                <w:szCs w:val="18"/>
                <w:u w:val="none"/>
              </w:rPr>
              <w:t>满意度赋分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38514">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sz w:val="18"/>
                <w:szCs w:val="18"/>
                <w:u w:val="none"/>
              </w:rPr>
              <w:t>说明材料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97DE7">
            <w:pPr>
              <w:jc w:val="both"/>
              <w:rPr>
                <w:rFonts w:hint="default" w:ascii="Times New Roman" w:hAnsi="Times New Roman" w:eastAsia="仿宋_GB2312" w:cs="Times New Roman"/>
                <w:i w:val="0"/>
                <w:iCs w:val="0"/>
                <w:color w:val="000000"/>
                <w:kern w:val="2"/>
                <w:sz w:val="18"/>
                <w:szCs w:val="18"/>
                <w:u w:val="none"/>
                <w:lang w:val="en-US" w:eastAsia="zh-CN" w:bidi="ar-SA"/>
              </w:rPr>
            </w:pPr>
            <w:r>
              <w:rPr>
                <w:rFonts w:hint="default" w:ascii="Times New Roman" w:hAnsi="Times New Roman" w:eastAsia="仿宋_GB2312" w:cs="Times New Roman"/>
                <w:color w:val="000000"/>
                <w:sz w:val="18"/>
                <w:szCs w:val="18"/>
              </w:rPr>
              <w:t>=</w:t>
            </w:r>
            <w:r>
              <w:rPr>
                <w:rFonts w:hint="default" w:ascii="Times New Roman" w:hAnsi="Times New Roman" w:eastAsia="仿宋_GB2312" w:cs="Times New Roman"/>
                <w:i w:val="0"/>
                <w:iCs w:val="0"/>
                <w:color w:val="000000"/>
                <w:sz w:val="18"/>
                <w:szCs w:val="18"/>
                <w:u w:val="none"/>
                <w:lang w:eastAsia="zh-CN"/>
              </w:rPr>
              <w:t>90%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B3CB2">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0D9D1">
            <w:pPr>
              <w:jc w:val="both"/>
              <w:rPr>
                <w:rFonts w:hint="default" w:ascii="Times New Roman" w:hAnsi="Times New Roman" w:eastAsia="仿宋_GB2312" w:cs="Times New Roman"/>
                <w:i w:val="0"/>
                <w:iCs w:val="0"/>
                <w:color w:val="000000"/>
                <w:kern w:val="2"/>
                <w:sz w:val="18"/>
                <w:szCs w:val="18"/>
                <w:u w:val="none"/>
                <w:lang w:val="en-US" w:eastAsia="zh-CN" w:bidi="ar-SA"/>
              </w:rPr>
            </w:pPr>
            <w:r>
              <w:rPr>
                <w:rFonts w:hint="default" w:ascii="Times New Roman" w:hAnsi="Times New Roman" w:eastAsia="仿宋_GB2312" w:cs="Times New Roman"/>
                <w:i w:val="0"/>
                <w:iCs w:val="0"/>
                <w:color w:val="000000"/>
                <w:sz w:val="18"/>
                <w:szCs w:val="18"/>
                <w:u w:val="none"/>
                <w:lang w:val="en-US" w:eastAsia="zh-CN"/>
              </w:rPr>
              <w:t>10</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86588">
            <w:pPr>
              <w:jc w:val="center"/>
              <w:rPr>
                <w:rFonts w:hint="default" w:ascii="Times New Roman" w:hAnsi="Times New Roman" w:eastAsia="仿宋_GB2312" w:cs="Times New Roman"/>
                <w:i w:val="0"/>
                <w:iCs w:val="0"/>
                <w:color w:val="000000"/>
                <w:sz w:val="18"/>
                <w:szCs w:val="18"/>
                <w:u w:val="none"/>
              </w:rPr>
            </w:pPr>
          </w:p>
        </w:tc>
      </w:tr>
      <w:tr w14:paraId="33D9F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553" w:type="dxa"/>
            <w:gridSpan w:val="4"/>
            <w:tcBorders>
              <w:top w:val="single" w:color="000000" w:sz="4" w:space="0"/>
              <w:left w:val="single" w:color="000000" w:sz="4" w:space="0"/>
              <w:bottom w:val="single" w:color="000000" w:sz="4" w:space="0"/>
              <w:right w:val="nil"/>
            </w:tcBorders>
            <w:shd w:val="clear" w:color="auto" w:fill="auto"/>
            <w:vAlign w:val="center"/>
          </w:tcPr>
          <w:p w14:paraId="65689734">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总分</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4E14F">
            <w:pPr>
              <w:jc w:val="center"/>
              <w:rPr>
                <w:rFonts w:hint="default" w:ascii="Times New Roman" w:hAnsi="Times New Roman" w:eastAsia="仿宋_GB2312" w:cs="Times New Roman"/>
                <w:i w:val="0"/>
                <w:iCs w:val="0"/>
                <w:color w:val="000000"/>
                <w:sz w:val="18"/>
                <w:szCs w:val="18"/>
                <w:u w:val="none"/>
              </w:rPr>
            </w:pPr>
          </w:p>
        </w:tc>
        <w:tc>
          <w:tcPr>
            <w:tcW w:w="1164" w:type="dxa"/>
            <w:tcBorders>
              <w:top w:val="single" w:color="000000" w:sz="4" w:space="0"/>
              <w:left w:val="nil"/>
              <w:bottom w:val="single" w:color="000000" w:sz="4" w:space="0"/>
              <w:right w:val="single" w:color="000000" w:sz="4" w:space="0"/>
            </w:tcBorders>
            <w:shd w:val="clear" w:color="auto" w:fill="auto"/>
            <w:vAlign w:val="center"/>
          </w:tcPr>
          <w:p w14:paraId="0E71AB88">
            <w:pPr>
              <w:rPr>
                <w:rFonts w:hint="default" w:ascii="Times New Roman" w:hAnsi="Times New Roman" w:eastAsia="仿宋_GB2312" w:cs="Times New Roman"/>
                <w:b/>
                <w:bCs/>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16951">
            <w:pPr>
              <w:jc w:val="center"/>
              <w:rPr>
                <w:rFonts w:hint="default" w:ascii="Times New Roman" w:hAnsi="Times New Roman" w:eastAsia="仿宋_GB2312" w:cs="Times New Roman"/>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FABFB">
            <w:pPr>
              <w:jc w:val="center"/>
              <w:rPr>
                <w:rFonts w:hint="default" w:ascii="Times New Roman" w:hAnsi="Times New Roman" w:eastAsia="仿宋_GB2312" w:cs="Times New Roman"/>
                <w:i w:val="0"/>
                <w:iCs w:val="0"/>
                <w:color w:val="000000"/>
                <w:sz w:val="18"/>
                <w:szCs w:val="18"/>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D4988">
            <w:pPr>
              <w:jc w:val="center"/>
              <w:rPr>
                <w:rFonts w:hint="default" w:ascii="Times New Roman" w:hAnsi="Times New Roman" w:eastAsia="仿宋_GB2312" w:cs="Times New Roman"/>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A7D94">
            <w:pPr>
              <w:rPr>
                <w:rFonts w:hint="default" w:ascii="Times New Roman" w:hAnsi="Times New Roman" w:eastAsia="仿宋_GB2312" w:cs="Times New Roman"/>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CFF57">
            <w:pPr>
              <w:rPr>
                <w:rFonts w:hint="default" w:ascii="Times New Roman" w:hAnsi="Times New Roman" w:eastAsia="仿宋_GB2312" w:cs="Times New Roman"/>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6FE80">
            <w:pPr>
              <w:rPr>
                <w:rFonts w:hint="default" w:ascii="Times New Roman" w:hAnsi="Times New Roman" w:eastAsia="仿宋_GB2312" w:cs="Times New Roman"/>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973FB">
            <w:pPr>
              <w:jc w:val="center"/>
              <w:rPr>
                <w:rFonts w:hint="default" w:ascii="Times New Roman" w:hAnsi="Times New Roman" w:eastAsia="仿宋_GB2312" w:cs="Times New Roman"/>
                <w:i w:val="0"/>
                <w:iCs w:val="0"/>
                <w:color w:val="000000"/>
                <w:sz w:val="18"/>
                <w:szCs w:val="18"/>
                <w:u w:val="none"/>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D19C3">
            <w:pPr>
              <w:rPr>
                <w:rFonts w:hint="default" w:ascii="Times New Roman" w:hAnsi="Times New Roman" w:eastAsia="仿宋_GB2312" w:cs="Times New Roman"/>
                <w:i w:val="0"/>
                <w:iCs w:val="0"/>
                <w:color w:val="000000"/>
                <w:sz w:val="18"/>
                <w:szCs w:val="18"/>
                <w:u w:val="none"/>
              </w:rPr>
            </w:pPr>
          </w:p>
        </w:tc>
      </w:tr>
    </w:tbl>
    <w:p w14:paraId="268B39B5">
      <w:pPr>
        <w:rPr>
          <w:rFonts w:hint="eastAsia" w:ascii="仿宋_GB2312" w:hAnsi="仿宋_GB2312" w:eastAsia="仿宋_GB2312" w:cs="仿宋_GB2312"/>
          <w:sz w:val="18"/>
          <w:szCs w:val="18"/>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4AA86DFF">
        <w:pPr>
          <w:pStyle w:val="7"/>
          <w:jc w:val="center"/>
        </w:pPr>
        <w:r>
          <w:fldChar w:fldCharType="begin"/>
        </w:r>
        <w:r>
          <w:instrText xml:space="preserve">PAGE   \* MERGEFORMAT</w:instrText>
        </w:r>
        <w:r>
          <w:fldChar w:fldCharType="separate"/>
        </w:r>
        <w:r>
          <w:rPr>
            <w:lang w:val="zh-CN"/>
          </w:rPr>
          <w:t>13</w:t>
        </w:r>
        <w:r>
          <w:fldChar w:fldCharType="end"/>
        </w:r>
      </w:p>
    </w:sdtContent>
  </w:sdt>
  <w:p w14:paraId="678A94D1">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172A27"/>
    <w:rsid w:val="006F7242"/>
    <w:rsid w:val="007B168A"/>
    <w:rsid w:val="008B2CFE"/>
    <w:rsid w:val="00F26FF6"/>
    <w:rsid w:val="01610122"/>
    <w:rsid w:val="01F1594A"/>
    <w:rsid w:val="02510197"/>
    <w:rsid w:val="03EC461B"/>
    <w:rsid w:val="071A5591"/>
    <w:rsid w:val="07397B77"/>
    <w:rsid w:val="0AD007F3"/>
    <w:rsid w:val="0D082A6E"/>
    <w:rsid w:val="0E3C619F"/>
    <w:rsid w:val="0F6273CA"/>
    <w:rsid w:val="100F38EC"/>
    <w:rsid w:val="11170296"/>
    <w:rsid w:val="12B860BB"/>
    <w:rsid w:val="12C66037"/>
    <w:rsid w:val="12CD1ABC"/>
    <w:rsid w:val="13471461"/>
    <w:rsid w:val="13B90F01"/>
    <w:rsid w:val="145B17EF"/>
    <w:rsid w:val="155E4C4D"/>
    <w:rsid w:val="181066D2"/>
    <w:rsid w:val="18B565D0"/>
    <w:rsid w:val="1A582F12"/>
    <w:rsid w:val="1BB71748"/>
    <w:rsid w:val="1C671E73"/>
    <w:rsid w:val="1D322C47"/>
    <w:rsid w:val="1D9516DA"/>
    <w:rsid w:val="22290DFD"/>
    <w:rsid w:val="23616034"/>
    <w:rsid w:val="23696C97"/>
    <w:rsid w:val="23F32680"/>
    <w:rsid w:val="24480FA2"/>
    <w:rsid w:val="25227A45"/>
    <w:rsid w:val="25AB5309"/>
    <w:rsid w:val="26AC3A6A"/>
    <w:rsid w:val="29C223FC"/>
    <w:rsid w:val="2AF9140A"/>
    <w:rsid w:val="2B9D7E25"/>
    <w:rsid w:val="2C7C7A3B"/>
    <w:rsid w:val="2CDC6C89"/>
    <w:rsid w:val="2F364819"/>
    <w:rsid w:val="2FD63906"/>
    <w:rsid w:val="3437445C"/>
    <w:rsid w:val="34A35D81"/>
    <w:rsid w:val="37215DAE"/>
    <w:rsid w:val="37294C63"/>
    <w:rsid w:val="38CA40DD"/>
    <w:rsid w:val="391E6477"/>
    <w:rsid w:val="3957125A"/>
    <w:rsid w:val="395F2B56"/>
    <w:rsid w:val="3A6E5414"/>
    <w:rsid w:val="3B482032"/>
    <w:rsid w:val="3BBA0580"/>
    <w:rsid w:val="3BE165E4"/>
    <w:rsid w:val="3BECE841"/>
    <w:rsid w:val="3C88152E"/>
    <w:rsid w:val="3CDE204C"/>
    <w:rsid w:val="3D363C36"/>
    <w:rsid w:val="3E9C3F6D"/>
    <w:rsid w:val="3F3C379B"/>
    <w:rsid w:val="3FF7797D"/>
    <w:rsid w:val="42F16CBA"/>
    <w:rsid w:val="46690BD8"/>
    <w:rsid w:val="479F09BE"/>
    <w:rsid w:val="49F70BF1"/>
    <w:rsid w:val="4A1946C3"/>
    <w:rsid w:val="4B4340EE"/>
    <w:rsid w:val="4FE85839"/>
    <w:rsid w:val="503D507A"/>
    <w:rsid w:val="503F36F6"/>
    <w:rsid w:val="51575D8B"/>
    <w:rsid w:val="51FA74D0"/>
    <w:rsid w:val="52AA4A52"/>
    <w:rsid w:val="539D3AD1"/>
    <w:rsid w:val="59943D66"/>
    <w:rsid w:val="59E051FD"/>
    <w:rsid w:val="59E6355E"/>
    <w:rsid w:val="5A555BBE"/>
    <w:rsid w:val="5B821531"/>
    <w:rsid w:val="5BFF6039"/>
    <w:rsid w:val="5C25489F"/>
    <w:rsid w:val="5D76A616"/>
    <w:rsid w:val="5D7F20B9"/>
    <w:rsid w:val="5DAC7D0E"/>
    <w:rsid w:val="5F98B5AF"/>
    <w:rsid w:val="5FFE8511"/>
    <w:rsid w:val="5FFEACE2"/>
    <w:rsid w:val="609D5BF6"/>
    <w:rsid w:val="61073070"/>
    <w:rsid w:val="61B9080E"/>
    <w:rsid w:val="61DF3FED"/>
    <w:rsid w:val="62606CE8"/>
    <w:rsid w:val="627700FC"/>
    <w:rsid w:val="633E59C9"/>
    <w:rsid w:val="642B176B"/>
    <w:rsid w:val="643EE26D"/>
    <w:rsid w:val="656019A0"/>
    <w:rsid w:val="65F242EE"/>
    <w:rsid w:val="666D7E19"/>
    <w:rsid w:val="68376930"/>
    <w:rsid w:val="68F91E38"/>
    <w:rsid w:val="690B301D"/>
    <w:rsid w:val="6B3158B9"/>
    <w:rsid w:val="6BA02A3F"/>
    <w:rsid w:val="6C105349"/>
    <w:rsid w:val="6C1E5A53"/>
    <w:rsid w:val="6C6F52A3"/>
    <w:rsid w:val="6F5B384A"/>
    <w:rsid w:val="6F5C41AC"/>
    <w:rsid w:val="6FAF6C78"/>
    <w:rsid w:val="716167CC"/>
    <w:rsid w:val="718A7AD1"/>
    <w:rsid w:val="72907369"/>
    <w:rsid w:val="72A44BC2"/>
    <w:rsid w:val="72BD182E"/>
    <w:rsid w:val="7317C656"/>
    <w:rsid w:val="734ED73F"/>
    <w:rsid w:val="73C82B32"/>
    <w:rsid w:val="73F94DAE"/>
    <w:rsid w:val="74220495"/>
    <w:rsid w:val="747D1B6F"/>
    <w:rsid w:val="749E5641"/>
    <w:rsid w:val="76271066"/>
    <w:rsid w:val="77FD8BE9"/>
    <w:rsid w:val="78000AED"/>
    <w:rsid w:val="78036054"/>
    <w:rsid w:val="79650C31"/>
    <w:rsid w:val="79A9BD3F"/>
    <w:rsid w:val="7AC5270E"/>
    <w:rsid w:val="7B776F12"/>
    <w:rsid w:val="7B786BEC"/>
    <w:rsid w:val="7BFFFDD0"/>
    <w:rsid w:val="7C336E5F"/>
    <w:rsid w:val="7C8D4919"/>
    <w:rsid w:val="7CA5443F"/>
    <w:rsid w:val="7D7A5F86"/>
    <w:rsid w:val="7E4B683A"/>
    <w:rsid w:val="7E5E656D"/>
    <w:rsid w:val="7E8F2BCB"/>
    <w:rsid w:val="7F37BB4E"/>
    <w:rsid w:val="7FC70142"/>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30</Pages>
  <Words>10635</Words>
  <Characters>11017</Characters>
  <Lines>58</Lines>
  <Paragraphs>16</Paragraphs>
  <TotalTime>0</TotalTime>
  <ScaleCrop>false</ScaleCrop>
  <LinksUpToDate>false</LinksUpToDate>
  <CharactersWithSpaces>11024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男男</cp:lastModifiedBy>
  <dcterms:modified xsi:type="dcterms:W3CDTF">2025-05-07T16:45:23Z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A075C2AEC1C54D1693797747003CB0A9_13</vt:lpwstr>
  </property>
  <property fmtid="{D5CDD505-2E9C-101B-9397-08002B2CF9AE}" pid="4" name="KSOTemplateDocerSaveRecord">
    <vt:lpwstr>eyJoZGlkIjoiZjNlNTRmNTRlM2MwNjQ0YjI0YWNjM2NkMTQ0NzhjNGEiLCJ1c2VySWQiOiIxMDIxNjAzMDU4In0=</vt:lpwstr>
  </property>
</Properties>
</file>