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4ACA6A">
      <w:pPr>
        <w:spacing w:line="540" w:lineRule="exact"/>
        <w:jc w:val="center"/>
        <w:rPr>
          <w:rFonts w:hint="default" w:ascii="Times New Roman" w:hAnsi="Times New Roman" w:eastAsia="华文中宋" w:cs="Times New Roman"/>
          <w:b/>
          <w:kern w:val="0"/>
          <w:sz w:val="52"/>
          <w:szCs w:val="52"/>
        </w:rPr>
      </w:pPr>
    </w:p>
    <w:p w14:paraId="04B31248">
      <w:pPr>
        <w:spacing w:line="540" w:lineRule="exact"/>
        <w:rPr>
          <w:rFonts w:hint="default" w:ascii="Times New Roman" w:hAnsi="Times New Roman" w:eastAsia="华文中宋" w:cs="Times New Roman"/>
          <w:b/>
          <w:kern w:val="0"/>
          <w:sz w:val="52"/>
          <w:szCs w:val="52"/>
        </w:rPr>
      </w:pPr>
    </w:p>
    <w:p w14:paraId="3BD3DDC6">
      <w:pPr>
        <w:spacing w:line="540" w:lineRule="exact"/>
        <w:jc w:val="center"/>
        <w:rPr>
          <w:rFonts w:hint="default" w:ascii="Times New Roman" w:hAnsi="Times New Roman" w:eastAsia="华文中宋" w:cs="Times New Roman"/>
          <w:b/>
          <w:kern w:val="0"/>
          <w:sz w:val="52"/>
          <w:szCs w:val="52"/>
        </w:rPr>
      </w:pPr>
    </w:p>
    <w:p w14:paraId="684B607F">
      <w:pPr>
        <w:spacing w:line="540" w:lineRule="exact"/>
        <w:jc w:val="center"/>
        <w:rPr>
          <w:rFonts w:hint="default" w:ascii="Times New Roman" w:hAnsi="Times New Roman" w:eastAsia="华文中宋" w:cs="Times New Roman"/>
          <w:b/>
          <w:kern w:val="0"/>
          <w:sz w:val="52"/>
          <w:szCs w:val="52"/>
        </w:rPr>
      </w:pPr>
    </w:p>
    <w:p w14:paraId="617A1C6E">
      <w:pPr>
        <w:spacing w:line="540" w:lineRule="exact"/>
        <w:jc w:val="center"/>
        <w:rPr>
          <w:rFonts w:hint="default" w:ascii="Times New Roman" w:hAnsi="Times New Roman" w:eastAsia="方正小标宋_GBK" w:cs="Times New Roman"/>
          <w:kern w:val="0"/>
          <w:sz w:val="48"/>
          <w:szCs w:val="48"/>
        </w:rPr>
      </w:pPr>
      <w:bookmarkStart w:id="6" w:name="_GoBack"/>
      <w:r>
        <w:rPr>
          <w:rFonts w:hint="default" w:ascii="Times New Roman" w:hAnsi="Times New Roman" w:eastAsia="方正小标宋_GBK" w:cs="Times New Roman"/>
          <w:kern w:val="0"/>
          <w:sz w:val="48"/>
          <w:szCs w:val="48"/>
        </w:rPr>
        <w:t>2024年重大传染病防控项目</w:t>
      </w:r>
    </w:p>
    <w:p w14:paraId="4A2996E4">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支出</w:t>
      </w:r>
      <w:bookmarkEnd w:id="6"/>
      <w:r>
        <w:rPr>
          <w:rFonts w:hint="default" w:ascii="Times New Roman" w:hAnsi="Times New Roman" w:eastAsia="方正小标宋_GBK" w:cs="Times New Roman"/>
          <w:kern w:val="0"/>
          <w:sz w:val="48"/>
          <w:szCs w:val="48"/>
        </w:rPr>
        <w:t>绩效评价</w:t>
      </w:r>
    </w:p>
    <w:p w14:paraId="02836D46">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报告</w:t>
      </w:r>
    </w:p>
    <w:p w14:paraId="73F6029D">
      <w:pPr>
        <w:spacing w:line="540" w:lineRule="exact"/>
        <w:jc w:val="center"/>
        <w:rPr>
          <w:rFonts w:hint="default" w:ascii="Times New Roman" w:hAnsi="Times New Roman" w:eastAsia="华文中宋" w:cs="Times New Roman"/>
          <w:b/>
          <w:kern w:val="0"/>
          <w:sz w:val="52"/>
          <w:szCs w:val="52"/>
        </w:rPr>
      </w:pPr>
    </w:p>
    <w:p w14:paraId="0E00F9D2">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0A17C117">
      <w:pPr>
        <w:spacing w:line="540" w:lineRule="exact"/>
        <w:jc w:val="center"/>
        <w:rPr>
          <w:rFonts w:hint="default" w:ascii="Times New Roman" w:hAnsi="Times New Roman" w:eastAsia="仿宋_GB2312" w:cs="Times New Roman"/>
          <w:kern w:val="0"/>
          <w:sz w:val="30"/>
          <w:szCs w:val="30"/>
        </w:rPr>
      </w:pPr>
    </w:p>
    <w:p w14:paraId="51CD5056">
      <w:pPr>
        <w:spacing w:line="540" w:lineRule="exact"/>
        <w:jc w:val="center"/>
        <w:rPr>
          <w:rFonts w:hint="default" w:ascii="Times New Roman" w:hAnsi="Times New Roman" w:eastAsia="仿宋_GB2312" w:cs="Times New Roman"/>
          <w:kern w:val="0"/>
          <w:sz w:val="30"/>
          <w:szCs w:val="30"/>
        </w:rPr>
      </w:pPr>
    </w:p>
    <w:p w14:paraId="1C1BCF42">
      <w:pPr>
        <w:spacing w:line="540" w:lineRule="exact"/>
        <w:jc w:val="center"/>
        <w:rPr>
          <w:rFonts w:hint="default" w:ascii="Times New Roman" w:hAnsi="Times New Roman" w:eastAsia="仿宋_GB2312" w:cs="Times New Roman"/>
          <w:kern w:val="0"/>
          <w:sz w:val="30"/>
          <w:szCs w:val="30"/>
        </w:rPr>
      </w:pPr>
    </w:p>
    <w:p w14:paraId="16148E6A">
      <w:pPr>
        <w:pStyle w:val="10"/>
        <w:rPr>
          <w:rFonts w:hint="default" w:ascii="Times New Roman" w:hAnsi="Times New Roman" w:cs="Times New Roman"/>
        </w:rPr>
      </w:pPr>
    </w:p>
    <w:p w14:paraId="395B698B">
      <w:pPr>
        <w:spacing w:line="540" w:lineRule="exact"/>
        <w:jc w:val="center"/>
        <w:rPr>
          <w:rFonts w:hint="default" w:ascii="Times New Roman" w:hAnsi="Times New Roman" w:eastAsia="仿宋_GB2312" w:cs="Times New Roman"/>
          <w:kern w:val="0"/>
          <w:sz w:val="30"/>
          <w:szCs w:val="30"/>
        </w:rPr>
      </w:pPr>
    </w:p>
    <w:p w14:paraId="3C69205E">
      <w:pPr>
        <w:spacing w:line="540" w:lineRule="exact"/>
        <w:rPr>
          <w:rFonts w:hint="default" w:ascii="Times New Roman" w:hAnsi="Times New Roman" w:eastAsia="仿宋_GB2312" w:cs="Times New Roman"/>
          <w:kern w:val="0"/>
          <w:sz w:val="30"/>
          <w:szCs w:val="30"/>
        </w:rPr>
      </w:pPr>
    </w:p>
    <w:p w14:paraId="791BBCB3">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项目名称：2024年重大传染病防控</w:t>
      </w:r>
    </w:p>
    <w:p w14:paraId="613892D1">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eastAsia="zh-CN"/>
        </w:rPr>
        <w:t>奇</w:t>
      </w:r>
      <w:r>
        <w:rPr>
          <w:rFonts w:hint="default" w:ascii="Times New Roman" w:hAnsi="Times New Roman" w:eastAsia="仿宋_GB2312" w:cs="Times New Roman"/>
          <w:kern w:val="0"/>
          <w:sz w:val="36"/>
          <w:szCs w:val="36"/>
        </w:rPr>
        <w:t>台县疾病预防控制中心</w:t>
      </w:r>
    </w:p>
    <w:p w14:paraId="6C48DEE9">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主管部门（公章）：</w:t>
      </w:r>
      <w:r>
        <w:rPr>
          <w:rFonts w:hint="eastAsia" w:eastAsia="仿宋_GB2312" w:cs="Times New Roman"/>
          <w:kern w:val="0"/>
          <w:sz w:val="36"/>
          <w:szCs w:val="36"/>
          <w:lang w:eastAsia="zh-CN"/>
        </w:rPr>
        <w:t>奇</w:t>
      </w:r>
      <w:r>
        <w:rPr>
          <w:rFonts w:hint="default" w:ascii="Times New Roman" w:hAnsi="Times New Roman" w:eastAsia="仿宋_GB2312" w:cs="Times New Roman"/>
          <w:kern w:val="0"/>
          <w:sz w:val="36"/>
          <w:szCs w:val="36"/>
        </w:rPr>
        <w:t>台县疾病预防控制中心</w:t>
      </w:r>
    </w:p>
    <w:p w14:paraId="58C1DEC2">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eastAsia="zh-CN"/>
        </w:rPr>
        <w:t>章丽</w:t>
      </w:r>
    </w:p>
    <w:p w14:paraId="6CAF0C2D">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29</w:t>
      </w:r>
      <w:r>
        <w:rPr>
          <w:rFonts w:hint="default" w:ascii="Times New Roman" w:hAnsi="Times New Roman" w:eastAsia="仿宋_GB2312" w:cs="Times New Roman"/>
          <w:kern w:val="0"/>
          <w:sz w:val="36"/>
          <w:szCs w:val="36"/>
        </w:rPr>
        <w:t>日</w:t>
      </w:r>
    </w:p>
    <w:p w14:paraId="267E54D9">
      <w:pPr>
        <w:spacing w:line="540" w:lineRule="exact"/>
        <w:jc w:val="center"/>
        <w:rPr>
          <w:rFonts w:hint="default" w:ascii="Times New Roman" w:hAnsi="Times New Roman" w:eastAsia="仿宋_GB2312" w:cs="Times New Roman"/>
          <w:kern w:val="0"/>
          <w:sz w:val="30"/>
          <w:szCs w:val="30"/>
        </w:rPr>
      </w:pPr>
    </w:p>
    <w:p w14:paraId="29CD007B">
      <w:pPr>
        <w:spacing w:line="540" w:lineRule="exact"/>
        <w:ind w:firstLine="640"/>
        <w:rPr>
          <w:rStyle w:val="16"/>
          <w:rFonts w:hint="default" w:ascii="Times New Roman" w:hAnsi="Times New Roman" w:eastAsia="黑体" w:cs="Times New Roman"/>
          <w:b w:val="0"/>
          <w:spacing w:val="-4"/>
          <w:sz w:val="32"/>
          <w:szCs w:val="32"/>
        </w:rPr>
      </w:pPr>
    </w:p>
    <w:p w14:paraId="5C3ED8D7">
      <w:pPr>
        <w:spacing w:line="540" w:lineRule="exact"/>
        <w:rPr>
          <w:rStyle w:val="16"/>
          <w:rFonts w:hint="default" w:ascii="Times New Roman" w:hAnsi="Times New Roman" w:eastAsia="黑体" w:cs="Times New Roman"/>
          <w:b w:val="0"/>
          <w:spacing w:val="-4"/>
          <w:sz w:val="32"/>
          <w:szCs w:val="32"/>
        </w:rPr>
      </w:pPr>
    </w:p>
    <w:p w14:paraId="75D5F278">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14:paraId="0404E485">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7178311D">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3DDF2F95">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14:paraId="44027EB9">
      <w:pPr>
        <w:pStyle w:val="10"/>
        <w:numPr>
          <w:ilvl w:val="0"/>
          <w:numId w:val="0"/>
        </w:numPr>
        <w:spacing w:before="0" w:after="0" w:line="560" w:lineRule="exact"/>
        <w:ind w:firstLine="600" w:firstLineChars="200"/>
        <w:jc w:val="both"/>
        <w:rPr>
          <w:rFonts w:hint="default" w:ascii="Times New Roman" w:hAnsi="Times New Roman" w:eastAsia="仿宋_GB2312" w:cs="Times New Roman"/>
          <w:b w:val="0"/>
          <w:bCs w:val="0"/>
          <w:kern w:val="2"/>
          <w:sz w:val="30"/>
          <w:szCs w:val="30"/>
          <w:highlight w:val="none"/>
          <w:lang w:val="en-US" w:eastAsia="zh-CN" w:bidi="ar-SA"/>
        </w:rPr>
      </w:pPr>
      <w:r>
        <w:rPr>
          <w:rFonts w:hint="default" w:ascii="Times New Roman" w:hAnsi="Times New Roman" w:eastAsia="仿宋_GB2312" w:cs="Times New Roman"/>
          <w:b w:val="0"/>
          <w:bCs w:val="0"/>
          <w:kern w:val="2"/>
          <w:sz w:val="30"/>
          <w:szCs w:val="30"/>
          <w:highlight w:val="none"/>
          <w:lang w:val="en-US" w:eastAsia="zh-CN" w:bidi="ar-SA"/>
        </w:rPr>
        <w:t>传染病防控形势严峻：</w:t>
      </w:r>
      <w:r>
        <w:rPr>
          <w:rFonts w:hint="eastAsia" w:ascii="Times New Roman" w:hAnsi="Times New Roman" w:eastAsia="仿宋_GB2312" w:cs="Times New Roman"/>
          <w:b w:val="0"/>
          <w:bCs w:val="0"/>
          <w:kern w:val="2"/>
          <w:sz w:val="30"/>
          <w:szCs w:val="30"/>
          <w:highlight w:val="none"/>
          <w:lang w:val="en-US" w:eastAsia="zh-CN" w:bidi="ar-SA"/>
        </w:rPr>
        <w:t>截止2024年11月10日，我县共报告法定传染病18种1092例，</w:t>
      </w:r>
      <w:r>
        <w:rPr>
          <w:rFonts w:hint="default" w:ascii="Times New Roman" w:hAnsi="Times New Roman" w:eastAsia="仿宋_GB2312" w:cs="Times New Roman"/>
          <w:b w:val="0"/>
          <w:bCs w:val="0"/>
          <w:kern w:val="2"/>
          <w:sz w:val="30"/>
          <w:szCs w:val="30"/>
          <w:highlight w:val="none"/>
          <w:lang w:val="en-US" w:eastAsia="zh-CN" w:bidi="ar-SA"/>
        </w:rPr>
        <w:t>麻疹、流感、手足口病等传染病在不同季节均有发病风险，对居民健康造成威胁，需要加强防控工作。</w:t>
      </w:r>
    </w:p>
    <w:p w14:paraId="351B255B">
      <w:pPr>
        <w:pStyle w:val="10"/>
        <w:numPr>
          <w:ilvl w:val="0"/>
          <w:numId w:val="0"/>
        </w:numPr>
        <w:spacing w:before="0" w:after="0" w:line="560" w:lineRule="exact"/>
        <w:ind w:firstLine="600" w:firstLineChars="200"/>
        <w:jc w:val="both"/>
        <w:rPr>
          <w:rFonts w:hint="default" w:ascii="Times New Roman" w:hAnsi="Times New Roman" w:eastAsia="仿宋_GB2312" w:cs="Times New Roman"/>
          <w:b w:val="0"/>
          <w:bCs w:val="0"/>
          <w:kern w:val="2"/>
          <w:sz w:val="30"/>
          <w:szCs w:val="30"/>
          <w:highlight w:val="none"/>
          <w:lang w:val="en-US" w:eastAsia="zh-CN" w:bidi="ar-SA"/>
        </w:rPr>
      </w:pPr>
      <w:r>
        <w:rPr>
          <w:rFonts w:hint="default" w:ascii="Times New Roman" w:hAnsi="Times New Roman" w:eastAsia="仿宋_GB2312" w:cs="Times New Roman"/>
          <w:b w:val="0"/>
          <w:bCs w:val="0"/>
          <w:kern w:val="2"/>
          <w:sz w:val="30"/>
          <w:szCs w:val="30"/>
          <w:highlight w:val="none"/>
          <w:lang w:val="en-US" w:eastAsia="zh-CN" w:bidi="ar-SA"/>
        </w:rPr>
        <w:t xml:space="preserve"> 政策支持与要求：国家推进健康中国战略，奇台县卫健委贯彻落实相关政策，将健康融入所有政策，要求加强传染病监测预警，落实“早发现、早报告、早治疗”控制措施，强化部门联防联控，持续巩固结核病、艾滋病等防治成果。</w:t>
      </w:r>
    </w:p>
    <w:p w14:paraId="4FE7D180">
      <w:pPr>
        <w:pStyle w:val="10"/>
        <w:numPr>
          <w:ilvl w:val="0"/>
          <w:numId w:val="0"/>
        </w:numPr>
        <w:spacing w:before="0" w:after="0" w:line="560" w:lineRule="exact"/>
        <w:ind w:firstLine="600" w:firstLineChars="200"/>
        <w:jc w:val="both"/>
        <w:rPr>
          <w:rFonts w:hint="default" w:ascii="Times New Roman" w:hAnsi="Times New Roman" w:eastAsia="仿宋_GB2312" w:cs="Times New Roman"/>
          <w:b w:val="0"/>
          <w:bCs w:val="0"/>
          <w:kern w:val="2"/>
          <w:sz w:val="30"/>
          <w:szCs w:val="30"/>
          <w:highlight w:val="none"/>
          <w:lang w:val="en-US" w:eastAsia="zh-CN" w:bidi="ar-SA"/>
        </w:rPr>
      </w:pPr>
      <w:r>
        <w:rPr>
          <w:rFonts w:hint="default" w:ascii="Times New Roman" w:hAnsi="Times New Roman" w:eastAsia="仿宋_GB2312" w:cs="Times New Roman"/>
          <w:b w:val="0"/>
          <w:bCs w:val="0"/>
          <w:kern w:val="2"/>
          <w:sz w:val="30"/>
          <w:szCs w:val="30"/>
          <w:highlight w:val="none"/>
          <w:lang w:val="en-US" w:eastAsia="zh-CN" w:bidi="ar-SA"/>
        </w:rPr>
        <w:t xml:space="preserve"> 保障公共卫生安全：奇台县不断完善突发公共卫生事件应急处理机制，健全组织机构、加强应急体系和队伍建设，通过该项目可进一步提升应对传染病等突发公共卫生事件的能力，保障全县人民的身体健康。</w:t>
      </w:r>
    </w:p>
    <w:p w14:paraId="3BD67284">
      <w:pPr>
        <w:pStyle w:val="10"/>
        <w:numPr>
          <w:ilvl w:val="0"/>
          <w:numId w:val="0"/>
        </w:numPr>
        <w:spacing w:before="0" w:after="0" w:line="560" w:lineRule="exact"/>
        <w:ind w:firstLine="600"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b w:val="0"/>
          <w:bCs w:val="0"/>
          <w:kern w:val="2"/>
          <w:sz w:val="30"/>
          <w:szCs w:val="30"/>
          <w:highlight w:val="none"/>
          <w:lang w:val="en-US" w:eastAsia="zh-CN" w:bidi="ar-SA"/>
        </w:rPr>
        <w:t xml:space="preserve"> </w:t>
      </w: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14:paraId="004B81CF">
      <w:pPr>
        <w:spacing w:line="560" w:lineRule="exact"/>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项目主要内容：加强传染病联防联控，规范各项工作开展；提高疾控机构在麻疹、流感、手足口</w:t>
      </w:r>
      <w:r>
        <w:rPr>
          <w:rFonts w:hint="eastAsia" w:eastAsia="仿宋_GB2312" w:cs="Times New Roman"/>
          <w:sz w:val="30"/>
          <w:szCs w:val="30"/>
          <w:highlight w:val="none"/>
          <w:lang w:val="en-US" w:eastAsia="zh-CN"/>
        </w:rPr>
        <w:t>、</w:t>
      </w:r>
      <w:r>
        <w:rPr>
          <w:rFonts w:hint="default" w:ascii="Times New Roman" w:hAnsi="Times New Roman" w:eastAsia="仿宋_GB2312" w:cs="Times New Roman"/>
          <w:sz w:val="30"/>
          <w:szCs w:val="30"/>
          <w:highlight w:val="none"/>
          <w:lang w:val="en-US" w:eastAsia="zh-CN"/>
        </w:rPr>
        <w:t>布病等传染病的发现及调查处置能力，全年完成了布病血清检查人数1603人，艾滋病重点人群综合干预人数509人，艾滋病患者病例报告质量率100%，肺结核可疑患者检查任务完成率100%，儿童接种信息完整率100%的目标，有效促进了项目质控工作顺利的开展，提高了网络直报数据准确性，提高了项目工作质量，提高了重点人群自我防病意识，有效阻断了传播途径，减少了病例继发传播。</w:t>
      </w:r>
    </w:p>
    <w:p w14:paraId="0463D954">
      <w:pPr>
        <w:spacing w:line="560" w:lineRule="exact"/>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项目实施情况：</w:t>
      </w:r>
    </w:p>
    <w:p w14:paraId="1D5C0107">
      <w:pPr>
        <w:spacing w:line="560" w:lineRule="exact"/>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免疫规划工作以乡镇为单位国家免疫规划疫苗接种率</w:t>
      </w:r>
      <w:r>
        <w:rPr>
          <w:rFonts w:hint="eastAsia" w:eastAsia="仿宋_GB2312" w:cs="Times New Roman"/>
          <w:sz w:val="30"/>
          <w:szCs w:val="30"/>
          <w:highlight w:val="none"/>
          <w:lang w:val="en-US" w:eastAsia="zh-CN"/>
        </w:rPr>
        <w:t>达到</w:t>
      </w:r>
      <w:r>
        <w:rPr>
          <w:rFonts w:hint="default" w:ascii="Times New Roman" w:hAnsi="Times New Roman" w:eastAsia="仿宋_GB2312" w:cs="Times New Roman"/>
          <w:sz w:val="30"/>
          <w:szCs w:val="30"/>
          <w:highlight w:val="none"/>
          <w:lang w:val="en-US" w:eastAsia="zh-CN"/>
        </w:rPr>
        <w:t>95%</w:t>
      </w:r>
      <w:r>
        <w:rPr>
          <w:rFonts w:hint="eastAsia" w:eastAsia="仿宋_GB2312" w:cs="Times New Roman"/>
          <w:sz w:val="30"/>
          <w:szCs w:val="30"/>
          <w:highlight w:val="none"/>
          <w:lang w:val="en-US" w:eastAsia="zh-CN"/>
        </w:rPr>
        <w:t>以上</w:t>
      </w:r>
      <w:r>
        <w:rPr>
          <w:rFonts w:hint="default" w:ascii="Times New Roman" w:hAnsi="Times New Roman" w:eastAsia="仿宋_GB2312" w:cs="Times New Roman"/>
          <w:sz w:val="30"/>
          <w:szCs w:val="30"/>
          <w:highlight w:val="none"/>
          <w:lang w:val="en-US" w:eastAsia="zh-CN"/>
        </w:rPr>
        <w:t>。以县为单位国家免疫规划疫苗接种率</w:t>
      </w:r>
      <w:r>
        <w:rPr>
          <w:rFonts w:hint="eastAsia" w:eastAsia="仿宋_GB2312" w:cs="Times New Roman"/>
          <w:sz w:val="30"/>
          <w:szCs w:val="30"/>
          <w:highlight w:val="none"/>
          <w:lang w:val="en-US" w:eastAsia="zh-CN"/>
        </w:rPr>
        <w:t>达到</w:t>
      </w:r>
      <w:r>
        <w:rPr>
          <w:rFonts w:hint="default" w:ascii="Times New Roman" w:hAnsi="Times New Roman" w:eastAsia="仿宋_GB2312" w:cs="Times New Roman"/>
          <w:sz w:val="30"/>
          <w:szCs w:val="30"/>
          <w:highlight w:val="none"/>
          <w:lang w:val="en-US" w:eastAsia="zh-CN"/>
        </w:rPr>
        <w:t xml:space="preserve">98%；完成了全县国家免疫规划疫苗查漏补种工作，补种疫苗278剂次，补种率95.53%。 </w:t>
      </w:r>
    </w:p>
    <w:p w14:paraId="67753E5A">
      <w:pPr>
        <w:spacing w:line="560" w:lineRule="exact"/>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 xml:space="preserve">结核病防治工作：重点人群筛查率达到100.0%，报告肺结核患者和疑似患者总体到位率97.8%；肺结核患者规范管理率97.4%；耐药筛查率100%；成功治疗率96%；营养早餐覆盖率达到100%；发病率较去年同期下降34.31%。 </w:t>
      </w:r>
    </w:p>
    <w:p w14:paraId="7FE4D3AB">
      <w:pPr>
        <w:spacing w:line="560" w:lineRule="exact"/>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艾滋病防治工作：HIV/AIDS随访及艾滋病病人及艾滋病感染者CD4检测比例达到99.16%；艾滋病病人及艾滋病感染者配偶及固定性伴HIV抗体检测率为100%；艾滋病病人及艾滋病感染者接受结核病检查比例</w:t>
      </w:r>
      <w:r>
        <w:rPr>
          <w:rFonts w:hint="eastAsia" w:eastAsia="仿宋_GB2312" w:cs="Times New Roman"/>
          <w:sz w:val="30"/>
          <w:szCs w:val="30"/>
          <w:highlight w:val="none"/>
          <w:lang w:val="en-US" w:eastAsia="zh-CN"/>
        </w:rPr>
        <w:t>达到</w:t>
      </w:r>
      <w:r>
        <w:rPr>
          <w:rFonts w:hint="default" w:ascii="Times New Roman" w:hAnsi="Times New Roman" w:eastAsia="仿宋_GB2312" w:cs="Times New Roman"/>
          <w:sz w:val="30"/>
          <w:szCs w:val="30"/>
          <w:highlight w:val="none"/>
          <w:lang w:val="en-US" w:eastAsia="zh-CN"/>
        </w:rPr>
        <w:t>95%</w:t>
      </w:r>
      <w:r>
        <w:rPr>
          <w:rFonts w:hint="eastAsia" w:eastAsia="仿宋_GB2312" w:cs="Times New Roman"/>
          <w:sz w:val="30"/>
          <w:szCs w:val="30"/>
          <w:highlight w:val="none"/>
          <w:lang w:val="en-US" w:eastAsia="zh-CN"/>
        </w:rPr>
        <w:t>以上</w:t>
      </w:r>
      <w:r>
        <w:rPr>
          <w:rFonts w:hint="default" w:ascii="Times New Roman" w:hAnsi="Times New Roman" w:eastAsia="仿宋_GB2312" w:cs="Times New Roman"/>
          <w:sz w:val="30"/>
          <w:szCs w:val="30"/>
          <w:highlight w:val="none"/>
          <w:lang w:val="en-US" w:eastAsia="zh-CN"/>
        </w:rPr>
        <w:t xml:space="preserve">；暗娼样本量完成率为100%。 </w:t>
      </w:r>
    </w:p>
    <w:p w14:paraId="48689468">
      <w:pPr>
        <w:spacing w:line="560" w:lineRule="exact"/>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包虫病、布病防治工作：居民人群B超筛查任务8000人，完成率100%；监测点人群B超筛查1000人，现已完成1000人；在全县范围中间宿主调查（羊肝500只）已完成。布病重点人群主动筛查1603人；布病规范管理率100%；接受治疗300例，规范治疗率99.33%。</w:t>
      </w:r>
    </w:p>
    <w:p w14:paraId="65E1BD5E">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14:paraId="79E251B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7F35C974">
      <w:pPr>
        <w:shd w:val="clear"/>
        <w:spacing w:line="600" w:lineRule="exact"/>
        <w:ind w:firstLine="640" w:firstLineChars="200"/>
        <w:outlineLvl w:val="0"/>
        <w:rPr>
          <w:rFonts w:hint="eastAsia"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122.22</w:t>
      </w:r>
      <w:r>
        <w:rPr>
          <w:rFonts w:hint="default" w:ascii="Times New Roman" w:hAnsi="Times New Roman" w:eastAsia="仿宋_GB2312" w:cs="Times New Roman"/>
          <w:sz w:val="32"/>
          <w:szCs w:val="32"/>
          <w:highlight w:val="none"/>
          <w:lang w:val="en-US" w:eastAsia="zh-CN"/>
        </w:rPr>
        <w:t>万元，</w:t>
      </w:r>
      <w:r>
        <w:rPr>
          <w:rFonts w:hint="eastAsia" w:eastAsia="仿宋_GB2312" w:cs="Times New Roman"/>
          <w:sz w:val="32"/>
          <w:szCs w:val="32"/>
          <w:highlight w:val="none"/>
          <w:lang w:val="en-US" w:eastAsia="zh-CN"/>
        </w:rPr>
        <w:t>年中追加金额17万元，</w:t>
      </w:r>
      <w:r>
        <w:rPr>
          <w:rFonts w:hint="default" w:ascii="Times New Roman" w:hAnsi="Times New Roman" w:eastAsia="仿宋_GB2312" w:cs="Times New Roman"/>
          <w:sz w:val="32"/>
          <w:szCs w:val="32"/>
          <w:highlight w:val="none"/>
          <w:lang w:val="en-US" w:eastAsia="zh-CN"/>
        </w:rPr>
        <w:t>全年预算数</w:t>
      </w:r>
      <w:r>
        <w:rPr>
          <w:rFonts w:hint="eastAsia" w:ascii="Times New Roman" w:hAnsi="Times New Roman" w:eastAsia="仿宋_GB2312" w:cs="Times New Roman"/>
          <w:sz w:val="32"/>
          <w:szCs w:val="32"/>
          <w:highlight w:val="none"/>
          <w:lang w:val="en-US" w:eastAsia="zh-CN"/>
        </w:rPr>
        <w:t>139.22</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ascii="Times New Roman" w:hAnsi="Times New Roman" w:eastAsia="仿宋_GB2312" w:cs="Times New Roman"/>
          <w:sz w:val="32"/>
          <w:szCs w:val="32"/>
          <w:highlight w:val="none"/>
          <w:lang w:val="en-US" w:eastAsia="zh-CN"/>
        </w:rPr>
        <w:t>财政拨款</w:t>
      </w:r>
      <w:r>
        <w:rPr>
          <w:rFonts w:hint="eastAsia" w:eastAsia="仿宋_GB2312" w:cs="Times New Roman"/>
          <w:sz w:val="32"/>
          <w:szCs w:val="32"/>
          <w:highlight w:val="none"/>
          <w:lang w:val="en-US" w:eastAsia="zh-CN"/>
        </w:rPr>
        <w:t>。</w:t>
      </w:r>
    </w:p>
    <w:p w14:paraId="195CB190">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5D496FAA">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122.22</w:t>
      </w:r>
      <w:r>
        <w:rPr>
          <w:rFonts w:hint="default" w:ascii="Times New Roman" w:hAnsi="Times New Roman" w:eastAsia="仿宋_GB2312" w:cs="Times New Roman"/>
          <w:sz w:val="32"/>
          <w:szCs w:val="32"/>
          <w:highlight w:val="none"/>
          <w:lang w:val="en-US" w:eastAsia="zh-CN"/>
        </w:rPr>
        <w:t>万元，全年预算数</w:t>
      </w:r>
      <w:r>
        <w:rPr>
          <w:rFonts w:hint="eastAsia" w:ascii="Times New Roman" w:hAnsi="Times New Roman" w:eastAsia="仿宋_GB2312" w:cs="Times New Roman"/>
          <w:sz w:val="32"/>
          <w:szCs w:val="32"/>
          <w:highlight w:val="none"/>
          <w:lang w:val="en-US" w:eastAsia="zh-CN"/>
        </w:rPr>
        <w:t>139.22</w:t>
      </w:r>
      <w:r>
        <w:rPr>
          <w:rFonts w:hint="default" w:ascii="Times New Roman" w:hAnsi="Times New Roman" w:eastAsia="仿宋_GB2312" w:cs="Times New Roman"/>
          <w:sz w:val="32"/>
          <w:szCs w:val="32"/>
          <w:highlight w:val="none"/>
          <w:lang w:val="en-US" w:eastAsia="zh-CN"/>
        </w:rPr>
        <w:t>万元，全年执行数</w:t>
      </w:r>
      <w:r>
        <w:rPr>
          <w:rFonts w:hint="eastAsia" w:ascii="Times New Roman" w:hAnsi="Times New Roman" w:eastAsia="仿宋_GB2312" w:cs="Times New Roman"/>
          <w:sz w:val="32"/>
          <w:szCs w:val="32"/>
          <w:highlight w:val="none"/>
          <w:lang w:val="en-US" w:eastAsia="zh-CN"/>
        </w:rPr>
        <w:t>139.2</w:t>
      </w:r>
      <w:r>
        <w:rPr>
          <w:rFonts w:hint="default" w:ascii="Times New Roman" w:hAnsi="Times New Roman" w:eastAsia="仿宋_GB2312" w:cs="Times New Roman"/>
          <w:sz w:val="32"/>
          <w:szCs w:val="32"/>
          <w:highlight w:val="none"/>
          <w:lang w:val="en-US" w:eastAsia="zh-CN"/>
        </w:rPr>
        <w:t>万元，预算执行率为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主要用于</w:t>
      </w:r>
      <w:r>
        <w:rPr>
          <w:rFonts w:hint="eastAsia" w:eastAsia="仿宋_GB2312" w:cs="Times New Roman"/>
          <w:sz w:val="32"/>
          <w:szCs w:val="32"/>
          <w:highlight w:val="none"/>
          <w:lang w:val="en-US" w:eastAsia="zh-CN"/>
        </w:rPr>
        <w:t>：重大传染病各项目工作的宣传资料的印刷，采购</w:t>
      </w:r>
      <w:r>
        <w:rPr>
          <w:rFonts w:hint="default" w:ascii="Times New Roman" w:hAnsi="Times New Roman" w:eastAsia="仿宋_GB2312" w:cs="Times New Roman"/>
          <w:sz w:val="30"/>
          <w:szCs w:val="30"/>
          <w:highlight w:val="none"/>
          <w:lang w:val="en-US" w:eastAsia="zh-CN"/>
        </w:rPr>
        <w:t>麻疹、流感、布病</w:t>
      </w:r>
      <w:r>
        <w:rPr>
          <w:rFonts w:hint="eastAsia" w:eastAsia="仿宋_GB2312" w:cs="Times New Roman"/>
          <w:sz w:val="30"/>
          <w:szCs w:val="30"/>
          <w:highlight w:val="none"/>
          <w:lang w:val="en-US" w:eastAsia="zh-CN"/>
        </w:rPr>
        <w:t>、</w:t>
      </w:r>
      <w:r>
        <w:rPr>
          <w:rFonts w:hint="default" w:ascii="Times New Roman" w:hAnsi="Times New Roman" w:eastAsia="仿宋_GB2312" w:cs="Times New Roman"/>
          <w:sz w:val="30"/>
          <w:szCs w:val="30"/>
          <w:highlight w:val="none"/>
          <w:lang w:val="en-US" w:eastAsia="zh-CN"/>
        </w:rPr>
        <w:t>艾滋病</w:t>
      </w:r>
      <w:r>
        <w:rPr>
          <w:rFonts w:hint="eastAsia" w:eastAsia="仿宋_GB2312" w:cs="Times New Roman"/>
          <w:sz w:val="30"/>
          <w:szCs w:val="30"/>
          <w:highlight w:val="none"/>
          <w:lang w:val="en-US" w:eastAsia="zh-CN"/>
        </w:rPr>
        <w:t>、水质等样本的检测试剂和耗材</w:t>
      </w:r>
      <w:r>
        <w:rPr>
          <w:rFonts w:hint="default" w:ascii="Times New Roman" w:hAnsi="Times New Roman" w:eastAsia="仿宋_GB2312" w:cs="Times New Roman"/>
          <w:sz w:val="30"/>
          <w:szCs w:val="30"/>
          <w:highlight w:val="none"/>
          <w:lang w:val="en-US" w:eastAsia="zh-CN"/>
        </w:rPr>
        <w:t>，</w:t>
      </w:r>
      <w:r>
        <w:rPr>
          <w:rFonts w:hint="eastAsia" w:eastAsia="仿宋_GB2312" w:cs="Times New Roman"/>
          <w:sz w:val="30"/>
          <w:szCs w:val="30"/>
          <w:highlight w:val="none"/>
          <w:lang w:val="en-US" w:eastAsia="zh-CN"/>
        </w:rPr>
        <w:t>相关设备的更新和维修维护费。B超筛查费用，车辆的运行费用，人员的培训费用，委托第三方公司和各医疗机构开展的业务费用等。</w:t>
      </w:r>
    </w:p>
    <w:p w14:paraId="7286ACC2">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14:paraId="5E3A02DA">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14:paraId="45FECEFE">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进一步完善重点传染病防控体系，加强传染病联防联控，规范各项工作开展；提高疾控机构在麻疹、流感、手足口、布病等传染病的发现及调查处置能力，全年完成了布病血清检查人数1603人，艾滋病重点人群综合干预人数509人，艾滋病患者病例报告质量率100%，肺结核可疑患者检查任务完成率100%，儿童接种信息完整率100%的目标，有效促进了项目质控工作顺利的开展，提高了网络直报数据准确性，提高了项目工作质量，提高了重点人群自我防病意识，有效阻断了传播途径，减少了病例继发传播。</w:t>
      </w:r>
    </w:p>
    <w:p w14:paraId="0D312CCA">
      <w:pPr>
        <w:spacing w:line="560" w:lineRule="exact"/>
        <w:ind w:firstLine="640" w:firstLineChars="200"/>
        <w:rPr>
          <w:rFonts w:hint="default" w:ascii="Times New Roman" w:hAnsi="Times New Roman" w:eastAsia="仿宋_GB2312" w:cs="Times New Roman"/>
          <w:color w:val="FF0000"/>
          <w:sz w:val="30"/>
          <w:szCs w:val="30"/>
          <w:highlight w:val="none"/>
          <w:lang w:val="en-US" w:eastAsia="zh-CN"/>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p>
    <w:p w14:paraId="208E26BC">
      <w:pPr>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到5月重大传染病项目阶段性目标：１.完</w:t>
      </w:r>
      <w:r>
        <w:rPr>
          <w:rFonts w:hint="eastAsia" w:ascii="仿宋" w:hAnsi="仿宋" w:eastAsia="仿宋" w:cs="仿宋"/>
          <w:sz w:val="32"/>
          <w:szCs w:val="32"/>
          <w:highlight w:val="none"/>
          <w:lang w:val="en-US" w:eastAsia="zh-CN"/>
        </w:rPr>
        <w:t>成</w:t>
      </w:r>
      <w:r>
        <w:rPr>
          <w:rFonts w:hint="eastAsia" w:ascii="仿宋" w:hAnsi="仿宋" w:eastAsia="仿宋" w:cs="仿宋"/>
          <w:sz w:val="32"/>
          <w:szCs w:val="32"/>
        </w:rPr>
        <w:t>艾滋病重点人群综合干预人数</w:t>
      </w:r>
      <w:r>
        <w:rPr>
          <w:rFonts w:hint="eastAsia" w:ascii="仿宋" w:hAnsi="仿宋" w:eastAsia="仿宋" w:cs="仿宋"/>
          <w:sz w:val="32"/>
          <w:szCs w:val="32"/>
          <w:lang w:val="en-US" w:eastAsia="zh-CN"/>
        </w:rPr>
        <w:t>260人，２.完成了</w:t>
      </w:r>
      <w:r>
        <w:rPr>
          <w:rFonts w:hint="eastAsia" w:ascii="仿宋" w:hAnsi="仿宋" w:eastAsia="仿宋" w:cs="仿宋"/>
          <w:sz w:val="32"/>
          <w:szCs w:val="32"/>
        </w:rPr>
        <w:t>布病高危人群血清检查人数</w:t>
      </w:r>
      <w:r>
        <w:rPr>
          <w:rFonts w:hint="eastAsia" w:ascii="仿宋" w:hAnsi="仿宋" w:eastAsia="仿宋" w:cs="仿宋"/>
          <w:sz w:val="32"/>
          <w:szCs w:val="32"/>
          <w:lang w:val="en-US" w:eastAsia="zh-CN"/>
        </w:rPr>
        <w:t>700人，３.</w:t>
      </w:r>
      <w:r>
        <w:rPr>
          <w:rFonts w:hint="eastAsia" w:ascii="仿宋" w:hAnsi="仿宋" w:eastAsia="仿宋" w:cs="仿宋"/>
          <w:sz w:val="32"/>
          <w:szCs w:val="32"/>
        </w:rPr>
        <w:t>艾滋病患者病例报告质量率</w:t>
      </w:r>
      <w:r>
        <w:rPr>
          <w:rFonts w:hint="eastAsia" w:ascii="仿宋" w:hAnsi="仿宋" w:eastAsia="仿宋" w:cs="仿宋"/>
          <w:sz w:val="32"/>
          <w:szCs w:val="32"/>
          <w:lang w:eastAsia="zh-CN"/>
        </w:rPr>
        <w:t>达到</w:t>
      </w:r>
      <w:r>
        <w:rPr>
          <w:rFonts w:hint="eastAsia" w:ascii="仿宋" w:hAnsi="仿宋" w:eastAsia="仿宋" w:cs="仿宋"/>
          <w:sz w:val="32"/>
          <w:szCs w:val="32"/>
          <w:lang w:val="en-US" w:eastAsia="zh-CN"/>
        </w:rPr>
        <w:t>100%。４.</w:t>
      </w:r>
      <w:r>
        <w:rPr>
          <w:rFonts w:hint="eastAsia" w:ascii="仿宋" w:hAnsi="仿宋" w:eastAsia="仿宋" w:cs="仿宋"/>
          <w:sz w:val="32"/>
          <w:szCs w:val="32"/>
        </w:rPr>
        <w:t>儿童基本信息接种</w:t>
      </w:r>
      <w:r>
        <w:rPr>
          <w:rFonts w:hint="eastAsia" w:ascii="仿宋" w:hAnsi="仿宋" w:eastAsia="仿宋" w:cs="仿宋"/>
          <w:sz w:val="32"/>
          <w:szCs w:val="32"/>
          <w:lang w:eastAsia="zh-CN"/>
        </w:rPr>
        <w:t>完整</w:t>
      </w:r>
      <w:r>
        <w:rPr>
          <w:rFonts w:hint="eastAsia" w:ascii="仿宋" w:hAnsi="仿宋" w:eastAsia="仿宋" w:cs="仿宋"/>
          <w:sz w:val="32"/>
          <w:szCs w:val="32"/>
        </w:rPr>
        <w:t>率</w:t>
      </w:r>
      <w:r>
        <w:rPr>
          <w:rFonts w:hint="eastAsia" w:ascii="仿宋" w:hAnsi="仿宋" w:eastAsia="仿宋" w:cs="仿宋"/>
          <w:sz w:val="32"/>
          <w:szCs w:val="32"/>
          <w:lang w:val="en-US" w:eastAsia="zh-CN"/>
        </w:rPr>
        <w:t>100%。５.</w:t>
      </w:r>
      <w:r>
        <w:rPr>
          <w:rFonts w:hint="eastAsia" w:ascii="仿宋" w:hAnsi="仿宋" w:eastAsia="仿宋" w:cs="仿宋"/>
          <w:sz w:val="32"/>
          <w:szCs w:val="32"/>
        </w:rPr>
        <w:t>肺结核可疑患者检查任务完成率</w:t>
      </w:r>
      <w:r>
        <w:rPr>
          <w:rFonts w:hint="eastAsia" w:ascii="仿宋" w:hAnsi="仿宋" w:eastAsia="仿宋" w:cs="仿宋"/>
          <w:sz w:val="32"/>
          <w:szCs w:val="32"/>
          <w:lang w:val="en-US" w:eastAsia="zh-CN"/>
        </w:rPr>
        <w:t>85%。</w:t>
      </w:r>
    </w:p>
    <w:p w14:paraId="07D00218">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14:paraId="3927C2D8">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14:paraId="26A2DD0A">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000000" w:themeColor="text1"/>
          <w:highlight w:val="none"/>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highlight w:val="none"/>
          <w:lang w:val="en-US" w:eastAsia="zh-CN"/>
          <w14:textFill>
            <w14:solidFill>
              <w14:schemeClr w14:val="tx1"/>
            </w14:solidFill>
          </w14:textFill>
        </w:rPr>
        <w:t>1.绩效评价完整性</w:t>
      </w:r>
    </w:p>
    <w:p w14:paraId="77A2DE02">
      <w:pPr>
        <w:spacing w:line="560" w:lineRule="exact"/>
        <w:ind w:firstLine="640" w:firstLineChars="200"/>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08A022D7">
      <w:pPr>
        <w:spacing w:line="560" w:lineRule="exact"/>
        <w:ind w:firstLine="640" w:firstLineChars="200"/>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在评价指标体系的构建上，充分考虑了项目的性质、目标以及预期成果，选取了具有代表性和可衡量性的关键指标，涵盖了社会效益，力求全方位反映项目的绩效状况。同时，对于每个指标的评价标准和数据来源均进行了明确说明，确保评价结果的客观性和可追溯性。</w:t>
      </w:r>
    </w:p>
    <w:p w14:paraId="47F25F07">
      <w:pPr>
        <w:spacing w:line="560" w:lineRule="exact"/>
        <w:ind w:firstLine="640" w:firstLineChars="200"/>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71487308">
      <w:pPr>
        <w:spacing w:line="560" w:lineRule="exact"/>
        <w:ind w:firstLine="640" w:firstLineChars="200"/>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19B6AAD9">
      <w:pPr>
        <w:spacing w:line="560" w:lineRule="exact"/>
        <w:ind w:firstLine="640" w:firstLineChars="200"/>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01B3B7F1">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14:paraId="025012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（1）评估项目实施效果</w:t>
      </w:r>
    </w:p>
    <w:p w14:paraId="2E1D2A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通过对项目预算执行情况及各项绩效目标达成程度的系统性分析，全面、客观地评估项目在预定周期内的实施效果，包括社会效益指标，为项目后续的改进与优化提供科学依据。</w:t>
      </w:r>
    </w:p>
    <w:p w14:paraId="3BE5DA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（2）提升资源利用效率</w:t>
      </w:r>
    </w:p>
    <w:p w14:paraId="0D9747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0F1AC00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（3）强化项目管理责任</w:t>
      </w:r>
    </w:p>
    <w:p w14:paraId="7B7B3C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7234A28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（4）为决策提供支持</w:t>
      </w:r>
    </w:p>
    <w:p w14:paraId="650D7B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38D9F06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（5）促进项目持续改进</w:t>
      </w:r>
    </w:p>
    <w:p w14:paraId="63F2C3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1D3F71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4050E2D2">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14:paraId="2BAAFF7C">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000000" w:themeColor="text1"/>
          <w:kern w:val="2"/>
          <w:sz w:val="32"/>
          <w:szCs w:val="32"/>
          <w:highlight w:val="none"/>
          <w:lang w:val="en-US" w:eastAsia="zh-CN" w:bidi="ar-SA"/>
          <w14:textFill>
            <w14:solidFill>
              <w14:schemeClr w14:val="tx1"/>
            </w14:solidFill>
          </w14:textFill>
        </w:rPr>
      </w:pPr>
      <w:r>
        <w:rPr>
          <w:rFonts w:hint="default" w:ascii="Times New Roman" w:hAnsi="Times New Roman" w:eastAsia="仿宋_GB2312" w:cs="Times New Roman"/>
          <w:b w:val="0"/>
          <w:bCs w:val="0"/>
          <w:color w:val="000000" w:themeColor="text1"/>
          <w:kern w:val="2"/>
          <w:sz w:val="32"/>
          <w:szCs w:val="32"/>
          <w:highlight w:val="none"/>
          <w:lang w:val="en-US" w:eastAsia="zh-CN" w:bidi="ar-SA"/>
          <w14:textFill>
            <w14:solidFill>
              <w14:schemeClr w14:val="tx1"/>
            </w14:solidFill>
          </w14:textFill>
        </w:rPr>
        <w:t>本项目预算绩效评价报告的评价对象是2024年重大传染病防控及其预算执行情况。该项目由奇台县疾病预防控制中心责实施，旨在加强传染病联防联控，规范各项工作开展；提高疾控机构在麻疹、流感、手足口</w:t>
      </w:r>
      <w:r>
        <w:rPr>
          <w:rFonts w:hint="eastAsia" w:ascii="Times New Roman" w:hAnsi="Times New Roman" w:eastAsia="仿宋_GB2312" w:cs="Times New Roman"/>
          <w:b w:val="0"/>
          <w:bCs w:val="0"/>
          <w:color w:val="000000" w:themeColor="text1"/>
          <w:kern w:val="2"/>
          <w:sz w:val="32"/>
          <w:szCs w:val="32"/>
          <w:highlight w:val="none"/>
          <w:lang w:val="en-US" w:eastAsia="zh-CN" w:bidi="ar-SA"/>
          <w14:textFill>
            <w14:solidFill>
              <w14:schemeClr w14:val="tx1"/>
            </w14:solidFill>
          </w14:textFill>
        </w:rPr>
        <w:t>、</w:t>
      </w:r>
      <w:r>
        <w:rPr>
          <w:rFonts w:hint="default" w:ascii="Times New Roman" w:hAnsi="Times New Roman" w:eastAsia="仿宋_GB2312" w:cs="Times New Roman"/>
          <w:b w:val="0"/>
          <w:bCs w:val="0"/>
          <w:color w:val="000000" w:themeColor="text1"/>
          <w:kern w:val="2"/>
          <w:sz w:val="32"/>
          <w:szCs w:val="32"/>
          <w:highlight w:val="none"/>
          <w:lang w:val="en-US" w:eastAsia="zh-CN" w:bidi="ar-SA"/>
          <w14:textFill>
            <w14:solidFill>
              <w14:schemeClr w14:val="tx1"/>
            </w14:solidFill>
          </w14:textFill>
        </w:rPr>
        <w:t>布病等传染病的发现及调查处置能力，有效促进了项目质控工作顺利的开展，提高了网络直报数据准确性，提高了项目工作质量，提高了重点人群自我防病意识，有效阻断了传播途径，减少了病例继发传播。项目预算涵盖从</w:t>
      </w:r>
      <w:r>
        <w:rPr>
          <w:rFonts w:hint="eastAsia" w:ascii="Times New Roman" w:hAnsi="Times New Roman" w:eastAsia="仿宋_GB2312" w:cs="Times New Roman"/>
          <w:b w:val="0"/>
          <w:bCs w:val="0"/>
          <w:color w:val="000000" w:themeColor="text1"/>
          <w:kern w:val="2"/>
          <w:sz w:val="32"/>
          <w:szCs w:val="32"/>
          <w:highlight w:val="none"/>
          <w:lang w:val="en-US" w:eastAsia="zh-CN" w:bidi="ar-SA"/>
          <w14:textFill>
            <w14:solidFill>
              <w14:schemeClr w14:val="tx1"/>
            </w14:solidFill>
          </w14:textFill>
        </w:rPr>
        <w:t>2024年1月1日</w:t>
      </w:r>
      <w:r>
        <w:rPr>
          <w:rFonts w:hint="default" w:ascii="Times New Roman" w:hAnsi="Times New Roman" w:eastAsia="仿宋_GB2312" w:cs="Times New Roman"/>
          <w:b w:val="0"/>
          <w:bCs w:val="0"/>
          <w:color w:val="000000" w:themeColor="text1"/>
          <w:kern w:val="2"/>
          <w:sz w:val="32"/>
          <w:szCs w:val="32"/>
          <w:highlight w:val="none"/>
          <w:lang w:val="en-US" w:eastAsia="zh-CN" w:bidi="ar-SA"/>
          <w14:textFill>
            <w14:solidFill>
              <w14:schemeClr w14:val="tx1"/>
            </w14:solidFill>
          </w14:textFill>
        </w:rPr>
        <w:t>至</w:t>
      </w:r>
      <w:r>
        <w:rPr>
          <w:rFonts w:hint="eastAsia" w:ascii="Times New Roman" w:hAnsi="Times New Roman" w:eastAsia="仿宋_GB2312" w:cs="Times New Roman"/>
          <w:b w:val="0"/>
          <w:bCs w:val="0"/>
          <w:color w:val="000000" w:themeColor="text1"/>
          <w:kern w:val="2"/>
          <w:sz w:val="32"/>
          <w:szCs w:val="32"/>
          <w:highlight w:val="none"/>
          <w:lang w:val="en-US" w:eastAsia="zh-CN" w:bidi="ar-SA"/>
          <w14:textFill>
            <w14:solidFill>
              <w14:schemeClr w14:val="tx1"/>
            </w14:solidFill>
          </w14:textFill>
        </w:rPr>
        <w:t>2024年12月31日</w:t>
      </w:r>
      <w:r>
        <w:rPr>
          <w:rFonts w:hint="default" w:ascii="Times New Roman" w:hAnsi="Times New Roman" w:eastAsia="仿宋_GB2312" w:cs="Times New Roman"/>
          <w:b w:val="0"/>
          <w:bCs w:val="0"/>
          <w:color w:val="000000" w:themeColor="text1"/>
          <w:kern w:val="2"/>
          <w:sz w:val="32"/>
          <w:szCs w:val="32"/>
          <w:highlight w:val="none"/>
          <w:lang w:val="en-US" w:eastAsia="zh-CN" w:bidi="ar-SA"/>
          <w14:textFill>
            <w14:solidFill>
              <w14:schemeClr w14:val="tx1"/>
            </w14:solidFill>
          </w14:textFill>
        </w:rPr>
        <w:t>的全部资金投入与支出，涉及资金总额为</w:t>
      </w:r>
      <w:r>
        <w:rPr>
          <w:rFonts w:hint="eastAsia" w:ascii="Times New Roman" w:hAnsi="Times New Roman" w:eastAsia="仿宋_GB2312" w:cs="Times New Roman"/>
          <w:b w:val="0"/>
          <w:bCs w:val="0"/>
          <w:color w:val="000000" w:themeColor="text1"/>
          <w:kern w:val="2"/>
          <w:sz w:val="32"/>
          <w:szCs w:val="32"/>
          <w:highlight w:val="none"/>
          <w:lang w:val="en-US" w:eastAsia="zh-CN" w:bidi="ar-SA"/>
          <w14:textFill>
            <w14:solidFill>
              <w14:schemeClr w14:val="tx1"/>
            </w14:solidFill>
          </w14:textFill>
        </w:rPr>
        <w:t>139.22</w:t>
      </w:r>
      <w:r>
        <w:rPr>
          <w:rFonts w:hint="default" w:ascii="Times New Roman" w:hAnsi="Times New Roman" w:eastAsia="仿宋_GB2312" w:cs="Times New Roman"/>
          <w:b w:val="0"/>
          <w:bCs w:val="0"/>
          <w:color w:val="000000" w:themeColor="text1"/>
          <w:kern w:val="2"/>
          <w:sz w:val="32"/>
          <w:szCs w:val="32"/>
          <w:highlight w:val="none"/>
          <w:lang w:val="en-US" w:eastAsia="zh-CN" w:bidi="ar-SA"/>
          <w14:textFill>
            <w14:solidFill>
              <w14:schemeClr w14:val="tx1"/>
            </w14:solidFill>
          </w14:textFill>
        </w:rPr>
        <w:t>万元。</w:t>
      </w:r>
    </w:p>
    <w:p w14:paraId="26BE656A">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14:paraId="7AE8C147">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104EF6DE">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0D93110D">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17DC8FE6">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w:t>
      </w:r>
      <w:r>
        <w:rPr>
          <w:rFonts w:hint="eastAsia" w:ascii="Times New Roman" w:hAnsi="Times New Roman" w:eastAsia="仿宋_GB2312" w:cs="Times New Roman"/>
          <w:b w:val="0"/>
          <w:bCs w:val="0"/>
          <w:highlight w:val="none"/>
          <w:lang w:eastAsia="zh-CN"/>
        </w:rPr>
        <w:t>、成本</w:t>
      </w:r>
      <w:r>
        <w:rPr>
          <w:rFonts w:hint="default" w:ascii="Times New Roman" w:hAnsi="Times New Roman" w:eastAsia="仿宋_GB2312" w:cs="Times New Roman"/>
          <w:b w:val="0"/>
          <w:bCs w:val="0"/>
          <w:highlight w:val="none"/>
        </w:rPr>
        <w:t>和时效性是否符合预期。</w:t>
      </w:r>
    </w:p>
    <w:p w14:paraId="647C7885">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社</w:t>
      </w:r>
      <w:r>
        <w:rPr>
          <w:rFonts w:hint="eastAsia" w:ascii="Times New Roman" w:hAnsi="Times New Roman" w:eastAsia="仿宋_GB2312" w:cs="Times New Roman"/>
          <w:b w:val="0"/>
          <w:bCs w:val="0"/>
          <w:highlight w:val="none"/>
          <w:lang w:eastAsia="zh-CN"/>
        </w:rPr>
        <w:t>会</w:t>
      </w:r>
      <w:r>
        <w:rPr>
          <w:rFonts w:hint="default" w:ascii="Times New Roman" w:hAnsi="Times New Roman" w:eastAsia="仿宋_GB2312" w:cs="Times New Roman"/>
          <w:b w:val="0"/>
          <w:bCs w:val="0"/>
          <w:highlight w:val="none"/>
        </w:rPr>
        <w:t>影响：考察项目对社会方面的综合影响。</w:t>
      </w:r>
    </w:p>
    <w:p w14:paraId="74D6E647">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highlight w:val="none"/>
        </w:rPr>
        <w:t>（</w:t>
      </w:r>
      <w:r>
        <w:rPr>
          <w:rFonts w:hint="default" w:ascii="Times New Roman" w:hAnsi="Times New Roman" w:eastAsia="楷体_GB2312" w:cs="Times New Roman"/>
          <w:b/>
          <w:bCs/>
          <w:sz w:val="32"/>
          <w:szCs w:val="32"/>
        </w:rPr>
        <w:t>二）绩效评价原则、评价指标体系（详情见表1）、评价方法、评价标准。</w:t>
      </w:r>
    </w:p>
    <w:p w14:paraId="387FBEDC">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14:paraId="221693F9">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172B4BC0">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14:paraId="5DA3D44C">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14:paraId="5726A7CC">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14:paraId="52F6D67D">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14:paraId="089866F8">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14:paraId="4E25EBE1">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0C19EB60">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14:paraId="56D4D7AA">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752FB4A5">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14:paraId="782DB9D0">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22668745">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14:paraId="5E95C4EA">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742EBC09">
      <w:pPr>
        <w:pStyle w:val="10"/>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14:paraId="1CE89212">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42655A79">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14:paraId="28EB02BD">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绩效评价从项目决策、项目过程、项目产出、项目效益四个维度进行评价。评价对象为项目目标实施情况，评价核心为资金的支出完成情况和项目的产出效益。</w:t>
      </w:r>
    </w:p>
    <w:p w14:paraId="6F181C51">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00C31AAF">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w:t>
      </w:r>
      <w:r>
        <w:rPr>
          <w:rFonts w:hint="eastAsia" w:eastAsia="仿宋_GB2312"/>
          <w:color w:val="000000"/>
          <w:spacing w:val="17"/>
          <w:sz w:val="32"/>
          <w:szCs w:val="32"/>
          <w:lang w:eastAsia="zh-CN"/>
        </w:rPr>
        <w:t>一</w:t>
      </w:r>
      <w:r>
        <w:rPr>
          <w:rFonts w:eastAsia="仿宋_GB2312"/>
          <w:color w:val="000000"/>
          <w:spacing w:val="17"/>
          <w:sz w:val="32"/>
          <w:szCs w:val="32"/>
        </w:rPr>
        <w:t>）比较法</w:t>
      </w:r>
    </w:p>
    <w:p w14:paraId="1FD24DD5">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14:paraId="33D34510">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w:t>
      </w:r>
      <w:r>
        <w:rPr>
          <w:rFonts w:hint="eastAsia" w:eastAsia="仿宋_GB2312"/>
          <w:color w:val="000000"/>
          <w:spacing w:val="17"/>
          <w:sz w:val="32"/>
          <w:szCs w:val="32"/>
          <w:lang w:eastAsia="zh-CN"/>
        </w:rPr>
        <w:t>二</w:t>
      </w:r>
      <w:r>
        <w:rPr>
          <w:rFonts w:eastAsia="仿宋_GB2312"/>
          <w:color w:val="000000"/>
          <w:spacing w:val="17"/>
          <w:sz w:val="32"/>
          <w:szCs w:val="32"/>
        </w:rPr>
        <w:t>）因素分析法</w:t>
      </w:r>
    </w:p>
    <w:p w14:paraId="603601FB">
      <w:pPr>
        <w:spacing w:line="560" w:lineRule="exact"/>
        <w:ind w:firstLine="708" w:firstLineChars="200"/>
        <w:rPr>
          <w:rFonts w:hint="default" w:ascii="Times New Roman" w:hAnsi="Times New Roman" w:eastAsia="仿宋_GB2312" w:cs="Times New Roman"/>
          <w:b w:val="0"/>
          <w:bCs w:val="0"/>
          <w:kern w:val="28"/>
          <w:sz w:val="32"/>
          <w:szCs w:val="32"/>
          <w:lang w:val="en-US" w:eastAsia="zh-CN" w:bidi="ar-SA"/>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14:paraId="098B7D0C">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评价标准</w:t>
      </w:r>
    </w:p>
    <w:p w14:paraId="1AEB5A11">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lang w:val="en-US" w:eastAsia="zh-CN"/>
        </w:rPr>
        <w:t>计划、行业和历史</w:t>
      </w:r>
      <w:r>
        <w:rPr>
          <w:rFonts w:hint="default" w:ascii="Times New Roman" w:hAnsi="Times New Roman" w:eastAsia="仿宋_GB2312" w:cs="Times New Roman"/>
          <w:b w:val="0"/>
          <w:bCs w:val="0"/>
        </w:rPr>
        <w:t>标准。</w:t>
      </w:r>
    </w:p>
    <w:p w14:paraId="2E0D3B1D">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1</w:t>
      </w:r>
      <w:r>
        <w:rPr>
          <w:rFonts w:hint="default" w:ascii="Times New Roman" w:hAnsi="Times New Roman" w:eastAsia="仿宋_GB2312" w:cs="Times New Roman"/>
          <w:b w:val="0"/>
          <w:bCs w:val="0"/>
          <w:lang w:eastAsia="zh-CN"/>
        </w:rPr>
        <w:t>）</w:t>
      </w:r>
      <w:bookmarkStart w:id="0" w:name="OLE_LINK5"/>
      <w:r>
        <w:rPr>
          <w:rFonts w:hint="default" w:ascii="Times New Roman" w:hAnsi="Times New Roman" w:eastAsia="仿宋_GB2312" w:cs="Times New Roman"/>
          <w:b w:val="0"/>
          <w:bCs w:val="0"/>
        </w:rPr>
        <w:t>计划</w:t>
      </w:r>
      <w:bookmarkEnd w:id="0"/>
      <w:r>
        <w:rPr>
          <w:rFonts w:hint="default" w:ascii="Times New Roman" w:hAnsi="Times New Roman" w:eastAsia="仿宋_GB2312" w:cs="Times New Roman"/>
          <w:b w:val="0"/>
          <w:bCs w:val="0"/>
        </w:rPr>
        <w:t>标准。指以预先制定的目标、计划、预算、定额等作为评价标准。</w:t>
      </w:r>
    </w:p>
    <w:p w14:paraId="6F8FC53B">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eastAsia" w:ascii="Times New Roman" w:hAnsi="Times New Roman" w:eastAsia="仿宋_GB2312" w:cs="Times New Roman"/>
          <w:b w:val="0"/>
          <w:bCs w:val="0"/>
          <w:lang w:val="en-US" w:eastAsia="zh-CN"/>
        </w:rPr>
        <w:t>2</w:t>
      </w:r>
      <w:r>
        <w:rPr>
          <w:rFonts w:hint="default" w:ascii="Times New Roman" w:hAnsi="Times New Roman" w:eastAsia="仿宋_GB2312" w:cs="Times New Roman"/>
          <w:b w:val="0"/>
          <w:bCs w:val="0"/>
          <w:lang w:eastAsia="zh-CN"/>
        </w:rPr>
        <w:t>）</w:t>
      </w:r>
      <w:bookmarkStart w:id="1" w:name="OLE_LINK6"/>
      <w:bookmarkStart w:id="2" w:name="OLE_LINK7"/>
      <w:r>
        <w:rPr>
          <w:rFonts w:hint="default" w:ascii="Times New Roman" w:hAnsi="Times New Roman" w:eastAsia="仿宋_GB2312" w:cs="Times New Roman"/>
          <w:b w:val="0"/>
          <w:bCs w:val="0"/>
        </w:rPr>
        <w:t>历史</w:t>
      </w:r>
      <w:bookmarkEnd w:id="1"/>
      <w:r>
        <w:rPr>
          <w:rFonts w:hint="default" w:ascii="Times New Roman" w:hAnsi="Times New Roman" w:eastAsia="仿宋_GB2312" w:cs="Times New Roman"/>
          <w:b w:val="0"/>
          <w:bCs w:val="0"/>
        </w:rPr>
        <w:t>标准</w:t>
      </w:r>
      <w:bookmarkEnd w:id="2"/>
      <w:r>
        <w:rPr>
          <w:rFonts w:hint="default" w:ascii="Times New Roman" w:hAnsi="Times New Roman" w:eastAsia="仿宋_GB2312" w:cs="Times New Roman"/>
          <w:b w:val="0"/>
          <w:bCs w:val="0"/>
        </w:rPr>
        <w:t>。指参照历史数据制定的评价标准，为体现绩效改进的原则，在可实现的条件下应当确定相对较高的评价标准。</w:t>
      </w:r>
    </w:p>
    <w:p w14:paraId="175BF08F">
      <w:pPr>
        <w:pStyle w:val="10"/>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14:paraId="0DBD46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（1）前期准备与规划</w:t>
      </w:r>
    </w:p>
    <w:p w14:paraId="085C553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在项目绩效评价工作启动之初，成立了专门的评价工作小组，小组成员由</w:t>
      </w:r>
      <w:r>
        <w:rPr>
          <w:rFonts w:hint="eastAsia" w:ascii="Times New Roman" w:hAnsi="Times New Roman" w:eastAsia="仿宋_GB2312" w:cs="Times New Roman"/>
          <w:b w:val="0"/>
          <w:bCs w:val="0"/>
          <w:kern w:val="28"/>
          <w:sz w:val="32"/>
          <w:szCs w:val="32"/>
          <w:lang w:val="en-US" w:eastAsia="zh-CN" w:bidi="ar-SA"/>
        </w:rPr>
        <w:t>单位主要领导、各科室负责人、</w:t>
      </w:r>
      <w:r>
        <w:rPr>
          <w:rFonts w:hint="default" w:ascii="Times New Roman" w:hAnsi="Times New Roman" w:eastAsia="仿宋_GB2312" w:cs="Times New Roman"/>
          <w:b w:val="0"/>
          <w:bCs w:val="0"/>
          <w:kern w:val="28"/>
          <w:sz w:val="32"/>
          <w:szCs w:val="32"/>
          <w:lang w:val="en-US" w:eastAsia="zh-CN" w:bidi="ar-SA"/>
        </w:rPr>
        <w:t>财务</w:t>
      </w:r>
      <w:r>
        <w:rPr>
          <w:rFonts w:hint="eastAsia" w:ascii="Times New Roman" w:hAnsi="Times New Roman" w:eastAsia="仿宋_GB2312" w:cs="Times New Roman"/>
          <w:b w:val="0"/>
          <w:bCs w:val="0"/>
          <w:kern w:val="28"/>
          <w:sz w:val="32"/>
          <w:szCs w:val="32"/>
          <w:lang w:val="en-US" w:eastAsia="zh-CN" w:bidi="ar-SA"/>
        </w:rPr>
        <w:t>人员</w:t>
      </w:r>
      <w:r>
        <w:rPr>
          <w:rFonts w:hint="default" w:ascii="Times New Roman" w:hAnsi="Times New Roman" w:eastAsia="仿宋_GB2312" w:cs="Times New Roman"/>
          <w:b w:val="0"/>
          <w:bCs w:val="0"/>
          <w:kern w:val="28"/>
          <w:sz w:val="32"/>
          <w:szCs w:val="32"/>
          <w:lang w:val="en-US" w:eastAsia="zh-CN" w:bidi="ar-SA"/>
        </w:rPr>
        <w:t>、项目管理专业人员</w:t>
      </w:r>
      <w:r>
        <w:rPr>
          <w:rFonts w:hint="eastAsia" w:ascii="Times New Roman" w:hAnsi="Times New Roman" w:eastAsia="仿宋_GB2312" w:cs="Times New Roman"/>
          <w:b w:val="0"/>
          <w:bCs w:val="0"/>
          <w:kern w:val="28"/>
          <w:sz w:val="32"/>
          <w:szCs w:val="32"/>
          <w:lang w:val="en-US" w:eastAsia="zh-CN" w:bidi="ar-SA"/>
        </w:rPr>
        <w:t>等</w:t>
      </w:r>
      <w:r>
        <w:rPr>
          <w:rFonts w:hint="default" w:ascii="Times New Roman" w:hAnsi="Times New Roman" w:eastAsia="仿宋_GB2312" w:cs="Times New Roman"/>
          <w:b w:val="0"/>
          <w:bCs w:val="0"/>
          <w:kern w:val="28"/>
          <w:sz w:val="32"/>
          <w:szCs w:val="32"/>
          <w:lang w:val="en-US" w:eastAsia="zh-CN" w:bidi="ar-SA"/>
        </w:rPr>
        <w:t>组成，确保从多角度、全方位对项目绩效进行评价。同时，明确了评价工作的目标、范围、重点及时间安排，制定了详细的工作计划，为评价工作的顺利开展奠定了坚实基础。</w:t>
      </w:r>
    </w:p>
    <w:p w14:paraId="7D340F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（2）指标体系构建</w:t>
      </w:r>
    </w:p>
    <w:p w14:paraId="694914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p>
    <w:p w14:paraId="55C549B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（3）数据收集与整理</w:t>
      </w:r>
    </w:p>
    <w:p w14:paraId="69F7C29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广泛收集与项目相关的各类数据，包括财务报表、项目文档、业务数据、</w:t>
      </w:r>
      <w:r>
        <w:rPr>
          <w:rFonts w:hint="eastAsia" w:ascii="Times New Roman" w:hAnsi="Times New Roman" w:eastAsia="仿宋_GB2312" w:cs="Times New Roman"/>
          <w:b w:val="0"/>
          <w:bCs w:val="0"/>
          <w:kern w:val="28"/>
          <w:sz w:val="32"/>
          <w:szCs w:val="32"/>
          <w:lang w:val="en-US" w:eastAsia="zh-CN" w:bidi="ar-SA"/>
        </w:rPr>
        <w:t>群众</w:t>
      </w:r>
      <w:r>
        <w:rPr>
          <w:rFonts w:hint="default" w:ascii="Times New Roman" w:hAnsi="Times New Roman" w:eastAsia="仿宋_GB2312" w:cs="Times New Roman"/>
          <w:b w:val="0"/>
          <w:bCs w:val="0"/>
          <w:kern w:val="28"/>
          <w:sz w:val="32"/>
          <w:szCs w:val="32"/>
          <w:lang w:val="en-US" w:eastAsia="zh-CN" w:bidi="ar-SA"/>
        </w:rPr>
        <w:t>反馈等。在数据收集过程中，注重数据的质量与完整性，对缺失或异常的数据进行了合理的处理和补充。随后，对收集到的数据进行了系统的整理与分类，为后续的数据分析提供了有力支持。</w:t>
      </w:r>
    </w:p>
    <w:p w14:paraId="54F965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（4）数据分析与评估</w:t>
      </w:r>
    </w:p>
    <w:p w14:paraId="4D9E213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099E498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（5）报告撰写与反馈</w:t>
      </w:r>
    </w:p>
    <w:p w14:paraId="4341A81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6093851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（6）后续跟踪与改进</w:t>
      </w:r>
    </w:p>
    <w:p w14:paraId="2ECF3C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0A27E9DC">
      <w:pPr>
        <w:numPr>
          <w:ilvl w:val="0"/>
          <w:numId w:val="3"/>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14:paraId="44232D91">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14:paraId="37E75A5C">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本项目的综合评价基于对项目各方面绩效的深入分析与评估。从项目目标的达成情况来看2024年重大传染病防控在布病高危人群血清检查人数、艾滋病重点人群综合干预人数等方面表现出色，达到了预期的标准与要求。同时，项目也在</w:t>
      </w:r>
      <w:r>
        <w:rPr>
          <w:rFonts w:hint="eastAsia" w:eastAsia="仿宋_GB2312" w:cs="Times New Roman"/>
          <w:color w:val="000000" w:themeColor="text1"/>
          <w:sz w:val="32"/>
          <w:szCs w:val="32"/>
          <w:highlight w:val="none"/>
          <w:lang w:eastAsia="zh-CN"/>
          <w14:textFill>
            <w14:solidFill>
              <w14:schemeClr w14:val="tx1"/>
            </w14:solidFill>
          </w14:textFill>
        </w:rPr>
        <w:t>布病筛查和艾滋病预防工作中</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取得了显著的成效，如</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布病重点人群主动筛查1603人；艾滋病重点人群综合干预人数</w:t>
      </w:r>
      <w:r>
        <w:rPr>
          <w:rFonts w:hint="eastAsia" w:ascii="Times New Roman" w:hAnsi="Times New Roman" w:eastAsia="仿宋_GB2312" w:cs="Times New Roman"/>
          <w:color w:val="000000" w:themeColor="text1"/>
          <w:sz w:val="30"/>
          <w:szCs w:val="30"/>
          <w:highlight w:val="none"/>
          <w:lang w:val="en-US" w:eastAsia="zh-CN"/>
          <w14:textFill>
            <w14:solidFill>
              <w14:schemeClr w14:val="tx1"/>
            </w14:solidFill>
          </w14:textFill>
        </w:rPr>
        <w:t>509人</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w:t>
      </w:r>
    </w:p>
    <w:p w14:paraId="7197AD11">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在项目管理方面，</w:t>
      </w:r>
      <w:r>
        <w:rPr>
          <w:rFonts w:hint="eastAsia" w:eastAsia="仿宋_GB2312" w:cs="Times New Roman"/>
          <w:color w:val="000000" w:themeColor="text1"/>
          <w:sz w:val="32"/>
          <w:szCs w:val="32"/>
          <w:highlight w:val="none"/>
          <w:lang w:eastAsia="zh-CN"/>
          <w14:textFill>
            <w14:solidFill>
              <w14:schemeClr w14:val="tx1"/>
            </w14:solidFill>
          </w14:textFill>
        </w:rPr>
        <w:t>奇台县疾病预防控制中心</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通过有效的规划、组织与协调，项目得以顺利实施，并在预算与时间上保持了良好的控制。</w:t>
      </w:r>
    </w:p>
    <w:p w14:paraId="6A0DF69A">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从项目效益的角度来看，本项目不仅实现了预期的社会效益产生了积极的影响。具体而言，</w:t>
      </w:r>
      <w:r>
        <w:rPr>
          <w:rFonts w:hint="eastAsia" w:eastAsia="仿宋_GB2312" w:cs="Times New Roman"/>
          <w:color w:val="000000" w:themeColor="text1"/>
          <w:sz w:val="32"/>
          <w:szCs w:val="32"/>
          <w:highlight w:val="none"/>
          <w:lang w:eastAsia="zh-CN"/>
          <w14:textFill>
            <w14:solidFill>
              <w14:schemeClr w14:val="tx1"/>
            </w14:solidFill>
          </w14:textFill>
        </w:rPr>
        <w:t>通过布病、艾滋病、结核病的筛查，疫苗的接种，</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有效提高了重点人群自我防病意识，阻断传播途径，减少病例继发传播。</w:t>
      </w:r>
    </w:p>
    <w:p w14:paraId="0E76DF99">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综上所述，2024年重大传染病防控</w:t>
      </w:r>
      <w:r>
        <w:rPr>
          <w:rFonts w:hint="eastAsia" w:eastAsia="仿宋_GB2312" w:cs="Times New Roman"/>
          <w:color w:val="000000" w:themeColor="text1"/>
          <w:sz w:val="32"/>
          <w:szCs w:val="32"/>
          <w:highlight w:val="none"/>
          <w:lang w:eastAsia="zh-CN"/>
          <w14:textFill>
            <w14:solidFill>
              <w14:schemeClr w14:val="tx1"/>
            </w14:solidFill>
          </w14:textFill>
        </w:rPr>
        <w:t>在</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绩效评价中表现出色，达到了项目的预期目标，并在多个方面取得了显著的成效。</w:t>
      </w:r>
    </w:p>
    <w:p w14:paraId="72E05957">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14:paraId="32B3F9C5">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 xml:space="preserve">分，属于“优”。其中，项目决策类指标权重为20分，得分为 </w:t>
      </w:r>
      <w:r>
        <w:rPr>
          <w:rFonts w:hint="eastAsia" w:ascii="Times New Roman" w:hAnsi="Times New Roman" w:eastAsia="仿宋_GB2312" w:cs="Times New Roman"/>
          <w:b w:val="0"/>
          <w:bCs w:val="0"/>
          <w:lang w:val="en-US" w:eastAsia="zh-CN"/>
        </w:rPr>
        <w:t>20</w:t>
      </w:r>
      <w:r>
        <w:rPr>
          <w:rFonts w:hint="default" w:ascii="Times New Roman" w:hAnsi="Times New Roman" w:eastAsia="仿宋_GB2312" w:cs="Times New Roman"/>
          <w:b w:val="0"/>
          <w:bCs w:val="0"/>
        </w:rPr>
        <w:t>分，得分率为</w:t>
      </w:r>
      <w:r>
        <w:rPr>
          <w:rFonts w:hint="eastAsia"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%。项目过程类指标权重为20分，得分为</w:t>
      </w:r>
      <w:r>
        <w:rPr>
          <w:rFonts w:hint="eastAsia" w:ascii="Times New Roman" w:hAnsi="Times New Roman" w:eastAsia="仿宋_GB2312" w:cs="Times New Roman"/>
          <w:b w:val="0"/>
          <w:bCs w:val="0"/>
          <w:lang w:val="en-US" w:eastAsia="zh-CN"/>
        </w:rPr>
        <w:t>20</w:t>
      </w:r>
      <w:r>
        <w:rPr>
          <w:rFonts w:hint="default" w:ascii="Times New Roman" w:hAnsi="Times New Roman" w:eastAsia="仿宋_GB2312" w:cs="Times New Roman"/>
          <w:b w:val="0"/>
          <w:bCs w:val="0"/>
        </w:rPr>
        <w:t xml:space="preserve">分，得分率为 </w:t>
      </w:r>
      <w:r>
        <w:rPr>
          <w:rFonts w:hint="eastAsia"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%。项目产出类指标权重为40分，得分为</w:t>
      </w:r>
      <w:r>
        <w:rPr>
          <w:rFonts w:hint="eastAsia" w:ascii="Times New Roman" w:hAnsi="Times New Roman" w:eastAsia="仿宋_GB2312" w:cs="Times New Roman"/>
          <w:b w:val="0"/>
          <w:bCs w:val="0"/>
          <w:lang w:val="en-US" w:eastAsia="zh-CN"/>
        </w:rPr>
        <w:t>20</w:t>
      </w:r>
      <w:r>
        <w:rPr>
          <w:rFonts w:hint="default" w:ascii="Times New Roman" w:hAnsi="Times New Roman" w:eastAsia="仿宋_GB2312" w:cs="Times New Roman"/>
          <w:b w:val="0"/>
          <w:bCs w:val="0"/>
        </w:rPr>
        <w:t xml:space="preserve">分，得分率为 </w:t>
      </w:r>
      <w:r>
        <w:rPr>
          <w:rFonts w:hint="eastAsia"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%。项目效益类指标权重为20分，得分为</w:t>
      </w:r>
      <w:r>
        <w:rPr>
          <w:rFonts w:hint="eastAsia" w:ascii="Times New Roman" w:hAnsi="Times New Roman" w:eastAsia="仿宋_GB2312" w:cs="Times New Roman"/>
          <w:b w:val="0"/>
          <w:bCs w:val="0"/>
          <w:lang w:val="en-US" w:eastAsia="zh-CN"/>
        </w:rPr>
        <w:t>20</w:t>
      </w:r>
      <w:r>
        <w:rPr>
          <w:rFonts w:hint="default" w:ascii="Times New Roman" w:hAnsi="Times New Roman" w:eastAsia="仿宋_GB2312" w:cs="Times New Roman"/>
          <w:b w:val="0"/>
          <w:bCs w:val="0"/>
        </w:rPr>
        <w:t>分，得分率为</w:t>
      </w:r>
      <w:r>
        <w:rPr>
          <w:rFonts w:hint="eastAsia"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%。具体打分情况详见：附件1综合评分表</w:t>
      </w:r>
      <w:r>
        <w:rPr>
          <w:rFonts w:hint="default" w:ascii="Times New Roman" w:hAnsi="Times New Roman" w:eastAsia="仿宋_GB2312" w:cs="Times New Roman"/>
          <w:b w:val="0"/>
          <w:bCs w:val="0"/>
          <w:lang w:eastAsia="zh-CN"/>
        </w:rPr>
        <w:t>。</w:t>
      </w:r>
    </w:p>
    <w:p w14:paraId="0B5DA91F">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4"/>
        <w:tblW w:w="8760" w:type="dxa"/>
        <w:jc w:val="center"/>
        <w:tblLayout w:type="fixed"/>
        <w:tblCellMar>
          <w:top w:w="0" w:type="dxa"/>
          <w:left w:w="108" w:type="dxa"/>
          <w:bottom w:w="0" w:type="dxa"/>
          <w:right w:w="108" w:type="dxa"/>
        </w:tblCellMar>
      </w:tblPr>
      <w:tblGrid>
        <w:gridCol w:w="2787"/>
        <w:gridCol w:w="1927"/>
        <w:gridCol w:w="2023"/>
        <w:gridCol w:w="2023"/>
      </w:tblGrid>
      <w:tr w14:paraId="3A938F8A">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27BDAA5E">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03FAFFF7">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6383898F">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02CE6EC2">
            <w:pPr>
              <w:jc w:val="center"/>
              <w:rPr>
                <w:rFonts w:hint="eastAsia"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得分率</w:t>
            </w:r>
          </w:p>
        </w:tc>
      </w:tr>
      <w:tr w14:paraId="4DC95FF2">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4BC62B05">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1927" w:type="dxa"/>
            <w:tcBorders>
              <w:top w:val="nil"/>
              <w:left w:val="nil"/>
              <w:bottom w:val="single" w:color="auto" w:sz="4" w:space="0"/>
              <w:right w:val="single" w:color="auto" w:sz="4" w:space="0"/>
            </w:tcBorders>
            <w:shd w:val="clear" w:color="auto" w:fill="auto"/>
            <w:vAlign w:val="center"/>
          </w:tcPr>
          <w:p w14:paraId="10ACBD86">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453A2EBE">
            <w:pPr>
              <w:jc w:val="center"/>
              <w:rPr>
                <w:rFonts w:hint="default"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0F04D0D8">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100%</w:t>
            </w:r>
          </w:p>
        </w:tc>
      </w:tr>
      <w:tr w14:paraId="7805D9B1">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7A721129">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1927" w:type="dxa"/>
            <w:tcBorders>
              <w:top w:val="nil"/>
              <w:left w:val="nil"/>
              <w:bottom w:val="single" w:color="auto" w:sz="4" w:space="0"/>
              <w:right w:val="single" w:color="auto" w:sz="4" w:space="0"/>
            </w:tcBorders>
            <w:shd w:val="clear" w:color="auto" w:fill="auto"/>
            <w:vAlign w:val="center"/>
          </w:tcPr>
          <w:p w14:paraId="5EDD8E86">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1A0890BD">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18031EE8">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100%</w:t>
            </w:r>
          </w:p>
        </w:tc>
      </w:tr>
      <w:tr w14:paraId="4843EFD6">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03A82FCC">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1927" w:type="dxa"/>
            <w:tcBorders>
              <w:top w:val="nil"/>
              <w:left w:val="nil"/>
              <w:bottom w:val="single" w:color="auto" w:sz="4" w:space="0"/>
              <w:right w:val="single" w:color="auto" w:sz="4" w:space="0"/>
            </w:tcBorders>
            <w:shd w:val="clear" w:color="auto" w:fill="auto"/>
            <w:vAlign w:val="center"/>
          </w:tcPr>
          <w:p w14:paraId="6CC2D60B">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7DA07FF9">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5B419CB4">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100%</w:t>
            </w:r>
          </w:p>
        </w:tc>
      </w:tr>
      <w:tr w14:paraId="304736B2">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54EE665E">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1927" w:type="dxa"/>
            <w:tcBorders>
              <w:top w:val="nil"/>
              <w:left w:val="nil"/>
              <w:bottom w:val="single" w:color="auto" w:sz="4" w:space="0"/>
              <w:right w:val="single" w:color="auto" w:sz="4" w:space="0"/>
            </w:tcBorders>
            <w:shd w:val="clear" w:color="auto" w:fill="auto"/>
            <w:vAlign w:val="center"/>
          </w:tcPr>
          <w:p w14:paraId="02D1EB3B">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7B8BE1B9">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1C952530">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100%</w:t>
            </w:r>
          </w:p>
        </w:tc>
      </w:tr>
      <w:tr w14:paraId="2A10D78C">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510CF7C5">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1927" w:type="dxa"/>
            <w:tcBorders>
              <w:top w:val="nil"/>
              <w:left w:val="nil"/>
              <w:bottom w:val="single" w:color="auto" w:sz="4" w:space="0"/>
              <w:right w:val="single" w:color="auto" w:sz="4" w:space="0"/>
            </w:tcBorders>
            <w:shd w:val="clear" w:color="auto" w:fill="auto"/>
            <w:vAlign w:val="center"/>
          </w:tcPr>
          <w:p w14:paraId="570EA75D">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7F8CB328">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51D2DD21">
            <w:pPr>
              <w:jc w:val="center"/>
              <w:rPr>
                <w:rFonts w:hint="default" w:ascii="Times New Roman" w:hAnsi="Times New Roman" w:eastAsia="仿宋_GB2312" w:cs="Times New Roman"/>
                <w:b/>
                <w:bCs/>
                <w:color w:val="000000"/>
                <w:sz w:val="21"/>
                <w:szCs w:val="21"/>
              </w:rPr>
            </w:pPr>
            <w:r>
              <w:rPr>
                <w:rFonts w:hint="eastAsia" w:eastAsia="仿宋_GB2312" w:cs="Times New Roman"/>
                <w:color w:val="000000"/>
                <w:sz w:val="21"/>
                <w:szCs w:val="21"/>
                <w:lang w:val="en-US" w:eastAsia="zh-CN"/>
              </w:rPr>
              <w:t>100%</w:t>
            </w:r>
          </w:p>
        </w:tc>
      </w:tr>
    </w:tbl>
    <w:p w14:paraId="7D784691">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14:paraId="6CFCF9DA">
      <w:pPr>
        <w:pStyle w:val="10"/>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14:paraId="10053B01">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个三级指标构成，权重分值为</w:t>
      </w:r>
      <w:r>
        <w:rPr>
          <w:rFonts w:hint="eastAsia"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分，实际得分</w:t>
      </w:r>
      <w:r>
        <w:rPr>
          <w:rFonts w:hint="eastAsia" w:ascii="Times New Roman" w:hAnsi="Times New Roman"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分，得分率为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77AA2E20">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14:paraId="7E798B6A">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14:paraId="3AB1082E">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65E10EB7">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14:paraId="0585A7A2">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w:t>
      </w:r>
      <w:r>
        <w:rPr>
          <w:rFonts w:hint="default" w:ascii="Times New Roman" w:hAnsi="Times New Roman" w:eastAsia="仿宋_GB2312" w:cs="Times New Roman"/>
          <w:sz w:val="32"/>
          <w:szCs w:val="32"/>
          <w:lang w:val="en-US" w:eastAsia="zh-Hans"/>
        </w:rPr>
        <w:t>料；</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绩效评估、集体决策，保障了程序的规范性。</w:t>
      </w:r>
    </w:p>
    <w:p w14:paraId="73A1350D">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14:paraId="5A1B0B99">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14:paraId="48889852">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469FCFCB">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14:paraId="74298FBA">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203BC67D">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4FCD863A">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14:paraId="649B7892">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4F19B751">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55DEE2CA">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（2）资金分配合理性</w:t>
      </w:r>
    </w:p>
    <w:p w14:paraId="3C49160F">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5DBBD886">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36756706">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096F654C">
      <w:pPr>
        <w:pStyle w:val="10"/>
        <w:numPr>
          <w:ilvl w:val="0"/>
          <w:numId w:val="4"/>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14:paraId="7C0CE019">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default" w:ascii="Times New Roman" w:hAnsi="Times New Roman" w:eastAsia="仿宋_GB2312" w:cs="Times New Roman"/>
          <w:sz w:val="32"/>
          <w:szCs w:val="32"/>
          <w:highlight w:val="none"/>
          <w:lang w:val="en-US" w:eastAsia="zh-CN"/>
        </w:rPr>
        <w:t>5个</w:t>
      </w:r>
      <w:r>
        <w:rPr>
          <w:rFonts w:hint="default" w:ascii="Times New Roman" w:hAnsi="Times New Roman" w:eastAsia="仿宋_GB2312" w:cs="Times New Roman"/>
          <w:sz w:val="32"/>
          <w:szCs w:val="32"/>
          <w:lang w:val="en-US" w:eastAsia="zh-CN"/>
        </w:rPr>
        <w:t>三级指标构成，权重分值为20分，实际得分</w:t>
      </w:r>
      <w:r>
        <w:rPr>
          <w:rFonts w:hint="eastAsia"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lang w:val="en-US" w:eastAsia="zh-CN"/>
        </w:rPr>
        <w:t>分，得分率为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w:t>
      </w:r>
    </w:p>
    <w:p w14:paraId="710EF0E1">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14:paraId="5382D3FD">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14:paraId="3B4B6F35">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本项目总投资</w:t>
      </w:r>
      <w:r>
        <w:rPr>
          <w:rFonts w:hint="eastAsia" w:ascii="Times New Roman" w:hAnsi="Times New Roman" w:eastAsia="仿宋_GB2312" w:cs="Times New Roman"/>
          <w:sz w:val="32"/>
          <w:szCs w:val="32"/>
          <w:lang w:val="en-US" w:eastAsia="zh-CN"/>
        </w:rPr>
        <w:t>139.22</w:t>
      </w:r>
      <w:r>
        <w:rPr>
          <w:rFonts w:hint="default" w:ascii="Times New Roman" w:hAnsi="Times New Roman" w:eastAsia="仿宋_GB2312" w:cs="Times New Roman"/>
          <w:sz w:val="32"/>
          <w:szCs w:val="32"/>
          <w:lang w:val="en-US" w:eastAsia="zh-CN"/>
        </w:rPr>
        <w:t>万元，财政资金及时足额到位，到位率</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%，预算资金按计划进度执行。</w:t>
      </w:r>
    </w:p>
    <w:p w14:paraId="508D0E0A">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（2）预算执行率</w:t>
      </w:r>
    </w:p>
    <w:p w14:paraId="4D230B73">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预算编制较为详细，项目资金支出总体能够按照预算执行，预算资金支出</w:t>
      </w:r>
      <w:r>
        <w:rPr>
          <w:rFonts w:hint="eastAsia" w:ascii="Times New Roman" w:hAnsi="Times New Roman" w:eastAsia="仿宋_GB2312" w:cs="Times New Roman"/>
          <w:sz w:val="32"/>
          <w:szCs w:val="32"/>
          <w:lang w:val="en-US" w:eastAsia="zh-CN"/>
        </w:rPr>
        <w:t>139.22</w:t>
      </w:r>
      <w:r>
        <w:rPr>
          <w:rFonts w:hint="default" w:ascii="Times New Roman" w:hAnsi="Times New Roman" w:eastAsia="仿宋_GB2312" w:cs="Times New Roman"/>
          <w:sz w:val="32"/>
          <w:szCs w:val="32"/>
          <w:lang w:val="en-US" w:eastAsia="zh-CN"/>
        </w:rPr>
        <w:t>万元，预算执行率为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w:t>
      </w:r>
    </w:p>
    <w:p w14:paraId="168771FF">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14:paraId="171A507D">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本项目的资金使用严格遵循了国家相关法律法规与财务制度，确保了资金的合规性与安全性。在资金使用过程中，我们建立了完善的财务管理体系，对资金的流动进行了全程监控与记录。</w:t>
      </w:r>
    </w:p>
    <w:p w14:paraId="7A0827B1">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5F343461">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57FD8512">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14:paraId="470868AB">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14:paraId="592FEF57">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0A9EAA3A">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在制度设计上，我们注重了制度的科学性与可操作性，确保制度能够切实指导项目的执行与管理。</w:t>
      </w:r>
    </w:p>
    <w:p w14:paraId="7F86FB25">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7DF51E35">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79170C14">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14:paraId="75D3CD4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14:paraId="599DE1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2653AC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14:paraId="48D31196">
      <w:pPr>
        <w:pStyle w:val="12"/>
        <w:numPr>
          <w:ilvl w:val="0"/>
          <w:numId w:val="4"/>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14:paraId="114C2FC8">
      <w:pPr>
        <w:shd w:val="clear"/>
        <w:spacing w:line="600" w:lineRule="exact"/>
        <w:ind w:firstLine="640" w:firstLineChars="200"/>
        <w:outlineLvl w:val="0"/>
        <w:rPr>
          <w:rFonts w:hint="default"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项目产出类指标包括产出数量、产出质量、产出时效、产出成本四方面的内容，</w:t>
      </w:r>
      <w:r>
        <w:rPr>
          <w:rFonts w:hint="default" w:eastAsia="仿宋_GB2312" w:cs="Times New Roman"/>
          <w:sz w:val="32"/>
          <w:szCs w:val="32"/>
          <w:lang w:val="en-US" w:eastAsia="zh-CN"/>
        </w:rPr>
        <w:t>由</w:t>
      </w:r>
      <w:r>
        <w:rPr>
          <w:rFonts w:hint="eastAsia" w:eastAsia="仿宋_GB2312" w:cs="Times New Roman"/>
          <w:sz w:val="32"/>
          <w:szCs w:val="32"/>
          <w:lang w:val="en-US" w:eastAsia="zh-CN"/>
        </w:rPr>
        <w:t>7</w:t>
      </w:r>
      <w:r>
        <w:rPr>
          <w:rFonts w:hint="default" w:eastAsia="仿宋_GB2312" w:cs="Times New Roman"/>
          <w:sz w:val="32"/>
          <w:szCs w:val="32"/>
          <w:lang w:val="en-US" w:eastAsia="zh-CN"/>
        </w:rPr>
        <w:t>个三级指标构成，权重分为</w:t>
      </w:r>
      <w:r>
        <w:rPr>
          <w:rFonts w:hint="eastAsia" w:eastAsia="仿宋_GB2312" w:cs="Times New Roman"/>
          <w:sz w:val="32"/>
          <w:szCs w:val="32"/>
          <w:lang w:val="en-US" w:eastAsia="zh-CN"/>
        </w:rPr>
        <w:t>40</w:t>
      </w:r>
      <w:r>
        <w:rPr>
          <w:rFonts w:hint="default" w:eastAsia="仿宋_GB2312" w:cs="Times New Roman"/>
          <w:sz w:val="32"/>
          <w:szCs w:val="32"/>
          <w:lang w:val="en-US" w:eastAsia="zh-CN"/>
        </w:rPr>
        <w:t>分，实际得分</w:t>
      </w:r>
      <w:r>
        <w:rPr>
          <w:rFonts w:hint="eastAsia" w:eastAsia="仿宋_GB2312" w:cs="Times New Roman"/>
          <w:sz w:val="32"/>
          <w:szCs w:val="32"/>
          <w:lang w:val="en-US" w:eastAsia="zh-CN"/>
        </w:rPr>
        <w:t>40</w:t>
      </w:r>
      <w:r>
        <w:rPr>
          <w:rFonts w:hint="default" w:eastAsia="仿宋_GB2312" w:cs="Times New Roman"/>
          <w:sz w:val="32"/>
          <w:szCs w:val="32"/>
          <w:lang w:val="en-US" w:eastAsia="zh-CN"/>
        </w:rPr>
        <w:t>分，得分率为</w:t>
      </w:r>
      <w:r>
        <w:rPr>
          <w:rFonts w:hint="eastAsia" w:eastAsia="仿宋_GB2312" w:cs="Times New Roman"/>
          <w:sz w:val="32"/>
          <w:szCs w:val="32"/>
          <w:lang w:val="en-US" w:eastAsia="zh-CN"/>
        </w:rPr>
        <w:t>100</w:t>
      </w:r>
      <w:r>
        <w:rPr>
          <w:rFonts w:hint="default" w:eastAsia="仿宋_GB2312" w:cs="Times New Roman"/>
          <w:sz w:val="32"/>
          <w:szCs w:val="32"/>
          <w:lang w:val="en-US" w:eastAsia="zh-CN"/>
        </w:rPr>
        <w:t>%。具体产出指标完成情况如下：</w:t>
      </w:r>
    </w:p>
    <w:p w14:paraId="339D83C8">
      <w:pPr>
        <w:shd w:val="clear"/>
        <w:spacing w:line="600" w:lineRule="exact"/>
        <w:ind w:firstLine="640" w:firstLineChars="200"/>
        <w:outlineLvl w:val="0"/>
        <w:rPr>
          <w:rFonts w:hint="default" w:eastAsia="仿宋_GB2312" w:cs="Times New Roman"/>
          <w:sz w:val="32"/>
          <w:szCs w:val="32"/>
          <w:lang w:val="en-US" w:eastAsia="zh-CN"/>
        </w:rPr>
      </w:pPr>
      <w:r>
        <w:rPr>
          <w:rFonts w:hint="default" w:eastAsia="仿宋_GB2312" w:cs="Times New Roman"/>
          <w:sz w:val="32"/>
          <w:szCs w:val="32"/>
          <w:lang w:val="en-US" w:eastAsia="zh-CN"/>
        </w:rPr>
        <w:fldChar w:fldCharType="begin"/>
      </w:r>
      <w:r>
        <w:rPr>
          <w:rFonts w:hint="default" w:eastAsia="仿宋_GB2312" w:cs="Times New Roman"/>
          <w:sz w:val="32"/>
          <w:szCs w:val="32"/>
          <w:lang w:val="en-US" w:eastAsia="zh-CN"/>
        </w:rPr>
        <w:instrText xml:space="preserve"> = 1 \* GB3 </w:instrText>
      </w:r>
      <w:r>
        <w:rPr>
          <w:rFonts w:hint="default" w:eastAsia="仿宋_GB2312" w:cs="Times New Roman"/>
          <w:sz w:val="32"/>
          <w:szCs w:val="32"/>
          <w:lang w:val="en-US" w:eastAsia="zh-CN"/>
        </w:rPr>
        <w:fldChar w:fldCharType="separate"/>
      </w:r>
      <w:r>
        <w:rPr>
          <w:rFonts w:hint="default" w:eastAsia="仿宋_GB2312" w:cs="Times New Roman"/>
          <w:sz w:val="32"/>
          <w:szCs w:val="32"/>
          <w:lang w:val="en-US" w:eastAsia="zh-CN"/>
        </w:rPr>
        <w:t>①</w:t>
      </w:r>
      <w:r>
        <w:rPr>
          <w:rFonts w:hint="default" w:eastAsia="仿宋_GB2312" w:cs="Times New Roman"/>
          <w:sz w:val="32"/>
          <w:szCs w:val="32"/>
          <w:lang w:val="en-US" w:eastAsia="zh-CN"/>
        </w:rPr>
        <w:fldChar w:fldCharType="end"/>
      </w:r>
      <w:r>
        <w:rPr>
          <w:rFonts w:hint="default" w:eastAsia="仿宋_GB2312" w:cs="Times New Roman"/>
          <w:sz w:val="32"/>
          <w:szCs w:val="32"/>
          <w:lang w:val="en-US" w:eastAsia="zh-CN"/>
        </w:rPr>
        <w:t>数量指标：</w:t>
      </w:r>
    </w:p>
    <w:p w14:paraId="0CDD832C">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指标1：布病高危人群血清检查人数，指标值：&gt;=1603人，实际完成值：1603人，指标完成率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6D8A18C2">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艾滋病重点人群综合干预人数</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&gt;=509人</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509</w:t>
      </w:r>
      <w:r>
        <w:rPr>
          <w:rFonts w:hint="default" w:ascii="Times New Roman" w:hAnsi="Times New Roman" w:eastAsia="仿宋_GB2312" w:cs="Times New Roman"/>
          <w:sz w:val="32"/>
          <w:szCs w:val="32"/>
          <w:highlight w:val="none"/>
        </w:rPr>
        <w:t>人，指标完成率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32B5CB1C">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14:paraId="5BA353F1">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艾滋病患者病例报告质量率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&gt;=100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18057E4B">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肺结核可疑患者检查任务完成率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&gt;=100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3D83CB03">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儿童接种信息完整率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&gt;=100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1B83381E">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14:paraId="15C950ED">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资金到时位及时率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&gt;=100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186E4182">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14:paraId="10443DC7">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项目预算控制率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&lt;=100%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4B239F9B">
      <w:pPr>
        <w:pStyle w:val="12"/>
        <w:numPr>
          <w:ilvl w:val="0"/>
          <w:numId w:val="4"/>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14:paraId="401CF72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项目效益类指标包括</w:t>
      </w:r>
      <w:r>
        <w:rPr>
          <w:rFonts w:hint="default" w:ascii="Times New Roman" w:hAnsi="Times New Roman" w:eastAsia="仿宋_GB2312" w:cs="Times New Roman"/>
          <w:sz w:val="32"/>
          <w:szCs w:val="32"/>
          <w:highlight w:val="none"/>
          <w:lang w:val="en-US" w:eastAsia="zh-CN"/>
        </w:rPr>
        <w:t>项目实施效益和满意度两方面的内容，由</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2</w:t>
      </w:r>
      <w:r>
        <w:rPr>
          <w:rFonts w:hint="eastAsia"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2</w:t>
      </w:r>
      <w:r>
        <w:rPr>
          <w:rFonts w:hint="eastAsia"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lang w:val="en-US" w:eastAsia="zh-CN"/>
        </w:rPr>
        <w:t>分，得分率为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14:paraId="66D98B1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p>
    <w:p w14:paraId="4AFA24EC">
      <w:pPr>
        <w:pStyle w:val="3"/>
        <w:ind w:firstLine="640" w:firstLineChars="200"/>
        <w:rPr>
          <w:rFonts w:hint="eastAsia"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①经济效益指标：2024年该项目未设置此条指标</w:t>
      </w:r>
    </w:p>
    <w:p w14:paraId="6B87A571">
      <w:pPr>
        <w:pStyle w:val="3"/>
        <w:ind w:firstLine="640" w:firstLineChars="200"/>
        <w:rPr>
          <w:rFonts w:hint="eastAsia"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②社会效益指标：</w:t>
      </w:r>
    </w:p>
    <w:p w14:paraId="7CF8E322">
      <w:pPr>
        <w:pStyle w:val="3"/>
        <w:ind w:firstLine="640" w:firstLineChars="200"/>
        <w:rPr>
          <w:rFonts w:hint="eastAsia"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指标</w:t>
      </w:r>
      <w:r>
        <w:rPr>
          <w:rFonts w:hint="eastAsia" w:ascii="Times New Roman" w:hAnsi="Times New Roman" w:eastAsia="仿宋_GB2312" w:cs="Times New Roman"/>
          <w:kern w:val="2"/>
          <w:sz w:val="32"/>
          <w:szCs w:val="32"/>
          <w:highlight w:val="none"/>
          <w:lang w:val="en-US" w:eastAsia="zh-CN" w:bidi="ar-SA"/>
        </w:rPr>
        <w:t>1</w:t>
      </w:r>
      <w:r>
        <w:rPr>
          <w:rFonts w:hint="default" w:ascii="Times New Roman" w:hAnsi="Times New Roman" w:eastAsia="仿宋_GB2312" w:cs="Times New Roman"/>
          <w:kern w:val="2"/>
          <w:sz w:val="32"/>
          <w:szCs w:val="32"/>
          <w:highlight w:val="none"/>
          <w:lang w:val="en-US" w:eastAsia="zh-CN" w:bidi="ar-SA"/>
        </w:rPr>
        <w:t>：</w:t>
      </w:r>
      <w:r>
        <w:rPr>
          <w:rFonts w:hint="eastAsia" w:ascii="Times New Roman" w:hAnsi="Times New Roman" w:eastAsia="仿宋_GB2312" w:cs="Times New Roman"/>
          <w:kern w:val="2"/>
          <w:sz w:val="32"/>
          <w:szCs w:val="32"/>
          <w:highlight w:val="none"/>
          <w:lang w:val="en-US" w:eastAsia="zh-CN" w:bidi="ar-SA"/>
        </w:rPr>
        <w:t>提升群众防病保健康意识</w:t>
      </w:r>
      <w:r>
        <w:rPr>
          <w:rFonts w:hint="default" w:ascii="Times New Roman" w:hAnsi="Times New Roman" w:eastAsia="仿宋_GB2312" w:cs="Times New Roman"/>
          <w:kern w:val="2"/>
          <w:sz w:val="32"/>
          <w:szCs w:val="32"/>
          <w:highlight w:val="none"/>
          <w:lang w:val="en-US" w:eastAsia="zh-CN" w:bidi="ar-SA"/>
        </w:rPr>
        <w:t>，指标值：</w:t>
      </w:r>
      <w:r>
        <w:rPr>
          <w:rFonts w:hint="eastAsia" w:ascii="Times New Roman" w:hAnsi="Times New Roman" w:eastAsia="仿宋_GB2312" w:cs="Times New Roman"/>
          <w:kern w:val="2"/>
          <w:sz w:val="32"/>
          <w:szCs w:val="32"/>
          <w:highlight w:val="none"/>
          <w:lang w:val="en-US" w:eastAsia="zh-CN" w:bidi="ar-SA"/>
        </w:rPr>
        <w:t>有效提升</w:t>
      </w:r>
      <w:r>
        <w:rPr>
          <w:rFonts w:hint="default" w:ascii="Times New Roman" w:hAnsi="Times New Roman" w:eastAsia="仿宋_GB2312" w:cs="Times New Roman"/>
          <w:kern w:val="2"/>
          <w:sz w:val="32"/>
          <w:szCs w:val="32"/>
          <w:highlight w:val="none"/>
          <w:lang w:val="en-US" w:eastAsia="zh-CN" w:bidi="ar-SA"/>
        </w:rPr>
        <w:t>，实际完成值：</w:t>
      </w:r>
      <w:r>
        <w:rPr>
          <w:rFonts w:hint="eastAsia" w:ascii="Times New Roman" w:hAnsi="Times New Roman" w:eastAsia="仿宋_GB2312" w:cs="Times New Roman"/>
          <w:kern w:val="2"/>
          <w:sz w:val="32"/>
          <w:szCs w:val="32"/>
          <w:highlight w:val="none"/>
          <w:lang w:val="en-US" w:eastAsia="zh-CN" w:bidi="ar-SA"/>
        </w:rPr>
        <w:t>有效提升</w:t>
      </w:r>
      <w:r>
        <w:rPr>
          <w:rFonts w:hint="default" w:ascii="Times New Roman" w:hAnsi="Times New Roman" w:eastAsia="仿宋_GB2312" w:cs="Times New Roman"/>
          <w:kern w:val="2"/>
          <w:sz w:val="32"/>
          <w:szCs w:val="32"/>
          <w:highlight w:val="none"/>
          <w:lang w:val="en-US" w:eastAsia="zh-CN" w:bidi="ar-SA"/>
        </w:rPr>
        <w:t>，指标完成率</w:t>
      </w:r>
      <w:r>
        <w:rPr>
          <w:rFonts w:hint="eastAsia" w:ascii="Times New Roman" w:hAnsi="Times New Roman" w:eastAsia="仿宋_GB2312" w:cs="Times New Roman"/>
          <w:kern w:val="2"/>
          <w:sz w:val="32"/>
          <w:szCs w:val="32"/>
          <w:highlight w:val="none"/>
          <w:lang w:val="en-US" w:eastAsia="zh-CN" w:bidi="ar-SA"/>
        </w:rPr>
        <w:t>100</w:t>
      </w:r>
      <w:r>
        <w:rPr>
          <w:rFonts w:hint="default" w:ascii="Times New Roman" w:hAnsi="Times New Roman" w:eastAsia="仿宋_GB2312" w:cs="Times New Roman"/>
          <w:kern w:val="2"/>
          <w:sz w:val="32"/>
          <w:szCs w:val="32"/>
          <w:highlight w:val="none"/>
          <w:lang w:val="en-US" w:eastAsia="zh-CN" w:bidi="ar-SA"/>
        </w:rPr>
        <w:t>%。</w:t>
      </w:r>
      <w:r>
        <w:rPr>
          <w:rFonts w:hint="eastAsia" w:ascii="Times New Roman" w:hAnsi="Times New Roman" w:eastAsia="仿宋_GB2312" w:cs="Times New Roman"/>
          <w:kern w:val="2"/>
          <w:sz w:val="32"/>
          <w:szCs w:val="32"/>
          <w:highlight w:val="none"/>
          <w:lang w:val="en-US" w:eastAsia="zh-CN" w:bidi="ar-SA"/>
        </w:rPr>
        <w:t>...</w:t>
      </w:r>
    </w:p>
    <w:p w14:paraId="5F5387CA">
      <w:pPr>
        <w:pStyle w:val="3"/>
        <w:ind w:firstLine="640" w:firstLineChars="200"/>
        <w:rPr>
          <w:rFonts w:hint="default" w:ascii="Times New Roman" w:hAnsi="Times New Roman" w:eastAsia="仿宋_GB2312" w:cs="Times New Roman"/>
          <w:sz w:val="32"/>
          <w:szCs w:val="32"/>
          <w:highlight w:val="none"/>
          <w:lang w:eastAsia="zh-CN"/>
        </w:rPr>
      </w:pPr>
      <w:r>
        <w:rPr>
          <w:rFonts w:hint="eastAsia" w:ascii="Times New Roman" w:hAnsi="Times New Roman" w:eastAsia="仿宋_GB2312" w:cs="Times New Roman"/>
          <w:kern w:val="2"/>
          <w:sz w:val="32"/>
          <w:szCs w:val="32"/>
          <w:highlight w:val="none"/>
          <w:lang w:val="en-US" w:eastAsia="zh-CN" w:bidi="ar-SA"/>
        </w:rPr>
        <w:t>③生态效益指标：2024年该项目未设置此条指标</w:t>
      </w:r>
    </w:p>
    <w:p w14:paraId="2EE7E12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14:paraId="3E47F97E">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目标人群满意度</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&gt;=90%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2B4A3FCD">
      <w:pPr>
        <w:spacing w:line="560" w:lineRule="exact"/>
        <w:ind w:firstLine="643" w:firstLineChars="200"/>
        <w:rPr>
          <w:rFonts w:hint="default" w:ascii="Times New Roman" w:hAnsi="Times New Roman" w:eastAsia="楷体_GB2312" w:cs="Times New Roman"/>
          <w:b/>
          <w:bCs/>
          <w:sz w:val="32"/>
          <w:szCs w:val="32"/>
          <w:lang w:val="en-US" w:eastAsia="zh-Han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eastAsia="zh-Hans"/>
        </w:rPr>
        <w:t>预算执行进度与绩效指标总体完成率偏差</w:t>
      </w:r>
    </w:p>
    <w:p w14:paraId="3F09B55B">
      <w:pPr>
        <w:pStyle w:val="19"/>
        <w:spacing w:line="560" w:lineRule="exact"/>
        <w:ind w:firstLine="640"/>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2024年重大传染病防控项目年初预算</w:t>
      </w:r>
      <w:r>
        <w:rPr>
          <w:rFonts w:hint="eastAsia" w:ascii="Times New Roman" w:hAnsi="Times New Roman" w:eastAsia="仿宋_GB2312" w:cs="Times New Roman"/>
          <w:kern w:val="2"/>
          <w:sz w:val="32"/>
          <w:szCs w:val="32"/>
          <w:lang w:val="en-US" w:eastAsia="zh-CN" w:bidi="ar-SA"/>
        </w:rPr>
        <w:t>122.22</w:t>
      </w:r>
      <w:r>
        <w:rPr>
          <w:rFonts w:hint="default" w:ascii="Times New Roman" w:hAnsi="Times New Roman" w:eastAsia="仿宋_GB2312" w:cs="Times New Roman"/>
          <w:kern w:val="2"/>
          <w:sz w:val="32"/>
          <w:szCs w:val="32"/>
          <w:lang w:val="en-US" w:eastAsia="zh-CN" w:bidi="ar-SA"/>
        </w:rPr>
        <w:t>万元，全年预算</w:t>
      </w:r>
      <w:r>
        <w:rPr>
          <w:rFonts w:hint="eastAsia" w:ascii="Times New Roman" w:hAnsi="Times New Roman" w:eastAsia="仿宋_GB2312" w:cs="Times New Roman"/>
          <w:kern w:val="2"/>
          <w:sz w:val="32"/>
          <w:szCs w:val="32"/>
          <w:lang w:val="en-US" w:eastAsia="zh-CN" w:bidi="ar-SA"/>
        </w:rPr>
        <w:t>139.22</w:t>
      </w:r>
      <w:r>
        <w:rPr>
          <w:rFonts w:hint="default" w:ascii="Times New Roman" w:hAnsi="Times New Roman" w:eastAsia="仿宋_GB2312" w:cs="Times New Roman"/>
          <w:kern w:val="2"/>
          <w:sz w:val="32"/>
          <w:szCs w:val="32"/>
          <w:lang w:val="en-US" w:eastAsia="zh-CN" w:bidi="ar-SA"/>
        </w:rPr>
        <w:t>万元，实际支出</w:t>
      </w:r>
      <w:r>
        <w:rPr>
          <w:rFonts w:hint="eastAsia" w:ascii="Times New Roman" w:hAnsi="Times New Roman" w:eastAsia="仿宋_GB2312" w:cs="Times New Roman"/>
          <w:kern w:val="2"/>
          <w:sz w:val="32"/>
          <w:szCs w:val="32"/>
          <w:lang w:val="en-US" w:eastAsia="zh-CN" w:bidi="ar-SA"/>
        </w:rPr>
        <w:t>139.22</w:t>
      </w:r>
      <w:r>
        <w:rPr>
          <w:rFonts w:hint="default" w:ascii="Times New Roman" w:hAnsi="Times New Roman" w:eastAsia="仿宋_GB2312" w:cs="Times New Roman"/>
          <w:kern w:val="2"/>
          <w:sz w:val="32"/>
          <w:szCs w:val="32"/>
          <w:lang w:val="en-US" w:eastAsia="zh-CN" w:bidi="ar-SA"/>
        </w:rPr>
        <w:t>万元，预算执行率为</w:t>
      </w:r>
      <w:r>
        <w:rPr>
          <w:rFonts w:hint="eastAsia" w:ascii="Times New Roman" w:hAnsi="Times New Roman" w:eastAsia="仿宋_GB2312" w:cs="Times New Roman"/>
          <w:kern w:val="2"/>
          <w:sz w:val="32"/>
          <w:szCs w:val="32"/>
          <w:lang w:val="en-US" w:eastAsia="zh-CN" w:bidi="ar-SA"/>
        </w:rPr>
        <w:t>100</w:t>
      </w:r>
      <w:r>
        <w:rPr>
          <w:rFonts w:hint="default" w:ascii="Times New Roman" w:hAnsi="Times New Roman" w:eastAsia="仿宋_GB2312" w:cs="Times New Roman"/>
          <w:kern w:val="2"/>
          <w:sz w:val="32"/>
          <w:szCs w:val="32"/>
          <w:lang w:val="en-US" w:eastAsia="zh-CN" w:bidi="ar-SA"/>
        </w:rPr>
        <w:t>%，项目绩效指标总体完成率为</w:t>
      </w:r>
      <w:r>
        <w:rPr>
          <w:rFonts w:hint="eastAsia" w:ascii="Times New Roman" w:hAnsi="Times New Roman" w:eastAsia="仿宋_GB2312" w:cs="Times New Roman"/>
          <w:kern w:val="2"/>
          <w:sz w:val="32"/>
          <w:szCs w:val="32"/>
          <w:lang w:val="en-US" w:eastAsia="zh-CN" w:bidi="ar-SA"/>
        </w:rPr>
        <w:t>100</w:t>
      </w:r>
      <w:r>
        <w:rPr>
          <w:rFonts w:hint="default" w:ascii="Times New Roman" w:hAnsi="Times New Roman" w:eastAsia="仿宋_GB2312" w:cs="Times New Roman"/>
          <w:kern w:val="2"/>
          <w:sz w:val="32"/>
          <w:szCs w:val="32"/>
          <w:lang w:val="en-US" w:eastAsia="zh-CN" w:bidi="ar-SA"/>
        </w:rPr>
        <w:t>%，</w:t>
      </w:r>
      <w:r>
        <w:rPr>
          <w:rFonts w:hint="default" w:ascii="Times New Roman" w:hAnsi="Times New Roman" w:eastAsia="仿宋_GB2312" w:cs="Times New Roman"/>
          <w:kern w:val="2"/>
          <w:sz w:val="32"/>
          <w:szCs w:val="32"/>
          <w:lang w:val="en-US" w:eastAsia="zh-Hans" w:bidi="ar-SA"/>
        </w:rPr>
        <w:t>总体</w:t>
      </w:r>
      <w:r>
        <w:rPr>
          <w:rFonts w:hint="default" w:ascii="Times New Roman" w:hAnsi="Times New Roman" w:eastAsia="仿宋_GB2312" w:cs="Times New Roman"/>
          <w:kern w:val="2"/>
          <w:sz w:val="32"/>
          <w:szCs w:val="32"/>
          <w:lang w:val="en-US" w:eastAsia="zh-CN" w:bidi="ar-SA"/>
        </w:rPr>
        <w:t>偏差率为</w:t>
      </w:r>
      <w:r>
        <w:rPr>
          <w:rFonts w:hint="eastAsia" w:ascii="Times New Roman" w:hAnsi="Times New Roman" w:eastAsia="仿宋_GB2312" w:cs="Times New Roman"/>
          <w:kern w:val="2"/>
          <w:sz w:val="32"/>
          <w:szCs w:val="32"/>
          <w:lang w:val="en-US" w:eastAsia="zh-CN" w:bidi="ar-SA"/>
        </w:rPr>
        <w:t>0</w:t>
      </w:r>
      <w:r>
        <w:rPr>
          <w:rFonts w:hint="default" w:ascii="Times New Roman" w:hAnsi="Times New Roman" w:eastAsia="仿宋_GB2312" w:cs="Times New Roman"/>
          <w:kern w:val="2"/>
          <w:sz w:val="32"/>
          <w:szCs w:val="32"/>
          <w:lang w:val="en-US" w:eastAsia="zh-CN" w:bidi="ar-SA"/>
        </w:rPr>
        <w:t>%。</w:t>
      </w:r>
    </w:p>
    <w:p w14:paraId="7554504C">
      <w:pPr>
        <w:spacing w:line="560" w:lineRule="exact"/>
        <w:ind w:firstLine="640" w:firstLineChars="200"/>
        <w:rPr>
          <w:rStyle w:val="18"/>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黑体" w:cs="Times New Roman"/>
          <w:sz w:val="32"/>
          <w:szCs w:val="32"/>
        </w:rPr>
        <w:t>主要经验及做法、存在的问题及原因分析</w:t>
      </w:r>
    </w:p>
    <w:p w14:paraId="2D088245">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14:paraId="1C105EBF">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w:t>
      </w:r>
      <w:r>
        <w:rPr>
          <w:rFonts w:hint="eastAsia" w:eastAsia="仿宋_GB2312" w:cs="Times New Roman"/>
          <w:sz w:val="32"/>
          <w:szCs w:val="32"/>
          <w:lang w:eastAsia="zh-CN"/>
        </w:rPr>
        <w:t>由各科室提交各项目</w:t>
      </w:r>
      <w:r>
        <w:rPr>
          <w:rFonts w:hint="default" w:ascii="Times New Roman" w:hAnsi="Times New Roman" w:eastAsia="仿宋_GB2312" w:cs="Times New Roman"/>
          <w:sz w:val="32"/>
          <w:szCs w:val="32"/>
        </w:rPr>
        <w:t>计划</w:t>
      </w:r>
      <w:r>
        <w:rPr>
          <w:rFonts w:hint="eastAsia" w:eastAsia="仿宋_GB2312" w:cs="Times New Roman"/>
          <w:sz w:val="32"/>
          <w:szCs w:val="32"/>
          <w:lang w:eastAsia="zh-CN"/>
        </w:rPr>
        <w:t>，分管领导主要领导审核后开展</w:t>
      </w:r>
      <w:r>
        <w:rPr>
          <w:rFonts w:hint="default" w:ascii="Times New Roman" w:hAnsi="Times New Roman" w:eastAsia="仿宋_GB2312" w:cs="Times New Roman"/>
          <w:sz w:val="32"/>
          <w:szCs w:val="32"/>
        </w:rPr>
        <w:t>。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7421576C">
      <w:pPr>
        <w:pStyle w:val="10"/>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严格坚持先做事、后验收、再拨付的原则，</w:t>
      </w:r>
      <w:r>
        <w:rPr>
          <w:rFonts w:hint="eastAsia" w:ascii="Times New Roman" w:hAnsi="Times New Roman" w:eastAsia="仿宋_GB2312" w:cs="Times New Roman"/>
          <w:b w:val="0"/>
          <w:bCs w:val="0"/>
          <w:kern w:val="2"/>
          <w:lang w:eastAsia="zh-CN"/>
        </w:rPr>
        <w:t>杜绝</w:t>
      </w:r>
      <w:r>
        <w:rPr>
          <w:rFonts w:hint="default" w:ascii="Times New Roman" w:hAnsi="Times New Roman" w:eastAsia="仿宋_GB2312" w:cs="Times New Roman"/>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6A259FB7">
      <w:pPr>
        <w:keepNext/>
        <w:keepLines/>
        <w:numPr>
          <w:ilvl w:val="0"/>
          <w:numId w:val="5"/>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14:paraId="14A3840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134F10D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14:paraId="5D86FB67">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六、</w:t>
      </w:r>
      <w:r>
        <w:rPr>
          <w:rFonts w:hint="default" w:ascii="Times New Roman" w:hAnsi="Times New Roman" w:eastAsia="黑体" w:cs="Times New Roman"/>
          <w:sz w:val="32"/>
          <w:szCs w:val="32"/>
        </w:rPr>
        <w:t>有关建议</w:t>
      </w:r>
    </w:p>
    <w:p w14:paraId="1BE0218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14:paraId="15A040D9">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7866751C">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rPr>
        <w:t>其他需要说</w:t>
      </w:r>
      <w:bookmarkStart w:id="3" w:name="page8"/>
      <w:bookmarkEnd w:id="3"/>
      <w:r>
        <w:rPr>
          <w:rFonts w:hint="default" w:ascii="Times New Roman" w:hAnsi="Times New Roman" w:eastAsia="黑体" w:cs="Times New Roman"/>
          <w:sz w:val="32"/>
          <w:szCs w:val="32"/>
        </w:rPr>
        <w:t>明的问题</w:t>
      </w:r>
    </w:p>
    <w:p w14:paraId="2FBA1032">
      <w:pPr>
        <w:pStyle w:val="13"/>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14:paraId="5CEF65A7">
      <w:pPr>
        <w:pStyle w:val="13"/>
        <w:spacing w:after="0" w:line="560" w:lineRule="exact"/>
        <w:ind w:left="0" w:leftChars="0" w:firstLine="640"/>
        <w:rPr>
          <w:rFonts w:hint="default" w:ascii="Times New Roman" w:hAnsi="Times New Roman" w:eastAsia="仿宋_GB2312" w:cs="Times New Roman"/>
          <w:sz w:val="32"/>
          <w:szCs w:val="32"/>
        </w:rPr>
      </w:pPr>
    </w:p>
    <w:p w14:paraId="36E42735">
      <w:pPr>
        <w:pStyle w:val="13"/>
        <w:spacing w:after="0" w:line="560" w:lineRule="exact"/>
        <w:ind w:left="0" w:leftChars="0" w:firstLine="640"/>
        <w:rPr>
          <w:rFonts w:hint="default" w:ascii="Times New Roman" w:hAnsi="Times New Roman" w:eastAsia="仿宋_GB2312" w:cs="Times New Roman"/>
          <w:sz w:val="32"/>
          <w:szCs w:val="32"/>
        </w:rPr>
      </w:pPr>
    </w:p>
    <w:p w14:paraId="5FDF4108">
      <w:pPr>
        <w:pStyle w:val="13"/>
        <w:spacing w:after="0" w:line="560" w:lineRule="exact"/>
        <w:ind w:left="0" w:leftChars="0" w:firstLine="0" w:firstLineChars="0"/>
        <w:rPr>
          <w:rFonts w:hint="default" w:ascii="Times New Roman" w:hAnsi="Times New Roman" w:eastAsia="仿宋_GB2312" w:cs="Times New Roman"/>
          <w:sz w:val="32"/>
          <w:szCs w:val="32"/>
        </w:rPr>
      </w:pPr>
    </w:p>
    <w:p w14:paraId="085D3903">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2BDF36B6">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14:paraId="4C902328">
      <w:pPr>
        <w:pStyle w:val="19"/>
        <w:ind w:firstLine="562"/>
        <w:jc w:val="center"/>
        <w:rPr>
          <w:rFonts w:hint="eastAsia" w:ascii="仿宋_GB2312" w:hAnsi="仿宋_GB2312" w:eastAsia="仿宋_GB2312" w:cs="仿宋_GB2312"/>
          <w:b/>
          <w:bCs/>
          <w:sz w:val="28"/>
          <w:szCs w:val="40"/>
        </w:rPr>
      </w:pPr>
      <w:bookmarkStart w:id="4" w:name="_Toc30064_WPSOffice_Level1"/>
      <w:bookmarkStart w:id="5" w:name="_Toc26499_WPSOffice_Level2"/>
      <w:r>
        <w:rPr>
          <w:rFonts w:hint="default" w:ascii="仿宋_GB2312" w:hAnsi="仿宋_GB2312" w:eastAsia="仿宋_GB2312" w:cs="仿宋_GB2312"/>
          <w:b/>
          <w:bCs/>
          <w:sz w:val="28"/>
          <w:szCs w:val="40"/>
        </w:rPr>
        <w:t>2024年重大传染病防控</w:t>
      </w:r>
      <w:r>
        <w:rPr>
          <w:rFonts w:hint="eastAsia" w:ascii="仿宋_GB2312" w:hAnsi="仿宋_GB2312" w:eastAsia="仿宋_GB2312" w:cs="仿宋_GB2312"/>
          <w:b/>
          <w:bCs/>
          <w:sz w:val="28"/>
          <w:szCs w:val="40"/>
          <w:lang w:eastAsia="zh-CN"/>
        </w:rPr>
        <w:t>项目</w:t>
      </w:r>
      <w:r>
        <w:rPr>
          <w:rFonts w:hint="eastAsia" w:ascii="仿宋_GB2312" w:hAnsi="仿宋_GB2312" w:eastAsia="仿宋_GB2312" w:cs="仿宋_GB2312"/>
          <w:b/>
          <w:bCs/>
          <w:sz w:val="28"/>
          <w:szCs w:val="40"/>
        </w:rPr>
        <w:t>绩效评价指标体系及综合评分表</w:t>
      </w:r>
      <w:bookmarkEnd w:id="4"/>
      <w:bookmarkEnd w:id="5"/>
    </w:p>
    <w:tbl>
      <w:tblPr>
        <w:tblStyle w:val="14"/>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59"/>
        <w:gridCol w:w="6"/>
      </w:tblGrid>
      <w:tr w14:paraId="3FB631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552" w:hRule="atLeast"/>
          <w:tblHeader/>
          <w:jc w:val="center"/>
        </w:trPr>
        <w:tc>
          <w:tcPr>
            <w:tcW w:w="1002" w:type="dxa"/>
            <w:shd w:val="clear" w:color="auto" w:fill="FFFFFF"/>
            <w:vAlign w:val="center"/>
          </w:tcPr>
          <w:p w14:paraId="70CAF3C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1000" w:type="dxa"/>
            <w:shd w:val="clear" w:color="auto" w:fill="FFFFFF"/>
            <w:vAlign w:val="center"/>
          </w:tcPr>
          <w:p w14:paraId="299582E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1071" w:type="dxa"/>
            <w:shd w:val="clear" w:color="auto" w:fill="FFFFFF"/>
            <w:vAlign w:val="center"/>
          </w:tcPr>
          <w:p w14:paraId="3485E28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1725" w:type="dxa"/>
            <w:shd w:val="clear" w:color="auto" w:fill="FFFFFF"/>
            <w:vAlign w:val="center"/>
          </w:tcPr>
          <w:p w14:paraId="5FC0D39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5216" w:type="dxa"/>
            <w:shd w:val="clear" w:color="auto" w:fill="FFFFFF"/>
            <w:vAlign w:val="center"/>
          </w:tcPr>
          <w:p w14:paraId="7DF0681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1304" w:type="dxa"/>
            <w:gridSpan w:val="2"/>
            <w:shd w:val="clear" w:color="auto" w:fill="FFFFFF"/>
            <w:vAlign w:val="center"/>
          </w:tcPr>
          <w:p w14:paraId="398C2BF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1365" w:type="dxa"/>
            <w:gridSpan w:val="2"/>
            <w:shd w:val="clear" w:color="auto" w:fill="FFFFFF"/>
            <w:vAlign w:val="center"/>
          </w:tcPr>
          <w:p w14:paraId="344DC98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14:paraId="7698AD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14:paraId="3123C6C2">
            <w:pPr>
              <w:widowControl/>
              <w:spacing w:line="0" w:lineRule="atLeast"/>
              <w:jc w:val="center"/>
              <w:rPr>
                <w:rFonts w:hint="default" w:ascii="Times New Roman" w:hAnsi="Times New Roman" w:eastAsia="仿宋_GB2312" w:cs="Times New Roman"/>
                <w:color w:val="000000"/>
                <w:kern w:val="0"/>
                <w:sz w:val="18"/>
                <w:szCs w:val="18"/>
              </w:rPr>
            </w:pPr>
          </w:p>
          <w:p w14:paraId="206EBE43">
            <w:pPr>
              <w:widowControl/>
              <w:spacing w:line="0" w:lineRule="atLeast"/>
              <w:jc w:val="center"/>
              <w:rPr>
                <w:rFonts w:hint="default" w:ascii="Times New Roman" w:hAnsi="Times New Roman" w:eastAsia="仿宋_GB2312" w:cs="Times New Roman"/>
                <w:color w:val="000000"/>
                <w:kern w:val="0"/>
                <w:sz w:val="18"/>
                <w:szCs w:val="18"/>
              </w:rPr>
            </w:pPr>
          </w:p>
          <w:p w14:paraId="5F59A24A">
            <w:pPr>
              <w:widowControl/>
              <w:spacing w:line="0" w:lineRule="atLeast"/>
              <w:jc w:val="center"/>
              <w:rPr>
                <w:rFonts w:hint="default" w:ascii="Times New Roman" w:hAnsi="Times New Roman" w:eastAsia="仿宋_GB2312" w:cs="Times New Roman"/>
                <w:color w:val="000000"/>
                <w:kern w:val="0"/>
                <w:sz w:val="18"/>
                <w:szCs w:val="18"/>
              </w:rPr>
            </w:pPr>
          </w:p>
          <w:p w14:paraId="7CCB9A6F">
            <w:pPr>
              <w:widowControl/>
              <w:spacing w:line="0" w:lineRule="atLeast"/>
              <w:jc w:val="center"/>
              <w:rPr>
                <w:rFonts w:hint="default" w:ascii="Times New Roman" w:hAnsi="Times New Roman" w:eastAsia="仿宋_GB2312" w:cs="Times New Roman"/>
                <w:color w:val="000000"/>
                <w:kern w:val="0"/>
                <w:sz w:val="18"/>
                <w:szCs w:val="18"/>
              </w:rPr>
            </w:pPr>
          </w:p>
          <w:p w14:paraId="345A1635">
            <w:pPr>
              <w:widowControl/>
              <w:spacing w:line="0" w:lineRule="atLeast"/>
              <w:jc w:val="center"/>
              <w:rPr>
                <w:rFonts w:hint="default" w:ascii="Times New Roman" w:hAnsi="Times New Roman" w:eastAsia="仿宋_GB2312" w:cs="Times New Roman"/>
                <w:color w:val="000000"/>
                <w:kern w:val="0"/>
                <w:sz w:val="18"/>
                <w:szCs w:val="18"/>
              </w:rPr>
            </w:pPr>
          </w:p>
          <w:p w14:paraId="5F208EA0">
            <w:pPr>
              <w:widowControl/>
              <w:spacing w:line="0" w:lineRule="atLeast"/>
              <w:jc w:val="center"/>
              <w:rPr>
                <w:rFonts w:hint="default" w:ascii="Times New Roman" w:hAnsi="Times New Roman" w:eastAsia="仿宋_GB2312" w:cs="Times New Roman"/>
                <w:color w:val="000000"/>
                <w:kern w:val="0"/>
                <w:sz w:val="18"/>
                <w:szCs w:val="18"/>
              </w:rPr>
            </w:pPr>
          </w:p>
          <w:p w14:paraId="7955B6B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1000" w:type="dxa"/>
            <w:vMerge w:val="restart"/>
            <w:shd w:val="clear" w:color="auto" w:fill="FFFFFF"/>
            <w:vAlign w:val="center"/>
          </w:tcPr>
          <w:p w14:paraId="6489A60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1071" w:type="dxa"/>
            <w:shd w:val="clear" w:color="auto" w:fill="FFFFFF"/>
            <w:vAlign w:val="center"/>
          </w:tcPr>
          <w:p w14:paraId="7DBB57E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14:paraId="58F3D03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1725" w:type="dxa"/>
            <w:shd w:val="clear" w:color="auto" w:fill="FFFFFF"/>
            <w:vAlign w:val="center"/>
          </w:tcPr>
          <w:p w14:paraId="2A220CC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5216" w:type="dxa"/>
            <w:shd w:val="clear" w:color="auto" w:fill="FFFFFF"/>
            <w:vAlign w:val="center"/>
          </w:tcPr>
          <w:p w14:paraId="220910B4">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1304" w:type="dxa"/>
            <w:gridSpan w:val="2"/>
            <w:shd w:val="clear" w:color="auto" w:fill="FFFFFF"/>
            <w:vAlign w:val="center"/>
          </w:tcPr>
          <w:p w14:paraId="140EA84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gridSpan w:val="2"/>
            <w:shd w:val="clear" w:color="auto" w:fill="FFFFFF"/>
            <w:vAlign w:val="center"/>
          </w:tcPr>
          <w:p w14:paraId="23E3E986">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default" w:ascii="Times New Roman" w:hAnsi="Times New Roman" w:eastAsia="仿宋_GB2312" w:cs="Times New Roman"/>
                <w:b/>
                <w:bCs/>
                <w:color w:val="000000"/>
                <w:kern w:val="0"/>
                <w:sz w:val="18"/>
                <w:szCs w:val="18"/>
              </w:rPr>
              <w:t>3</w:t>
            </w:r>
          </w:p>
        </w:tc>
      </w:tr>
      <w:tr w14:paraId="3278D1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4B789CE9">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1D227E48">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64A6334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14:paraId="600882E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1725" w:type="dxa"/>
            <w:shd w:val="clear" w:color="auto" w:fill="FFFFFF"/>
            <w:vAlign w:val="center"/>
          </w:tcPr>
          <w:p w14:paraId="4F29A99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5216" w:type="dxa"/>
            <w:shd w:val="clear" w:color="auto" w:fill="FFFFFF"/>
            <w:vAlign w:val="center"/>
          </w:tcPr>
          <w:p w14:paraId="6CE3E6B0">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1304" w:type="dxa"/>
            <w:gridSpan w:val="2"/>
            <w:shd w:val="clear" w:color="auto" w:fill="FFFFFF"/>
            <w:vAlign w:val="center"/>
          </w:tcPr>
          <w:p w14:paraId="2E1C225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gridSpan w:val="2"/>
            <w:shd w:val="clear" w:color="auto" w:fill="FFFFFF"/>
            <w:vAlign w:val="center"/>
          </w:tcPr>
          <w:p w14:paraId="5948B4DE">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default" w:ascii="Times New Roman" w:hAnsi="Times New Roman" w:eastAsia="仿宋_GB2312" w:cs="Times New Roman"/>
                <w:b/>
                <w:bCs/>
                <w:color w:val="000000"/>
                <w:kern w:val="0"/>
                <w:sz w:val="18"/>
                <w:szCs w:val="18"/>
              </w:rPr>
              <w:t>3</w:t>
            </w:r>
          </w:p>
        </w:tc>
      </w:tr>
      <w:tr w14:paraId="4CD846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6AF6B529">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1AFAC70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1071" w:type="dxa"/>
            <w:shd w:val="clear" w:color="auto" w:fill="FFFFFF"/>
            <w:vAlign w:val="center"/>
          </w:tcPr>
          <w:p w14:paraId="424BC3B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14:paraId="14F27C6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5" w:type="dxa"/>
            <w:shd w:val="clear" w:color="000000" w:fill="FFFFFF"/>
            <w:vAlign w:val="center"/>
          </w:tcPr>
          <w:p w14:paraId="5730AFD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14:paraId="60633613">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14:paraId="06BE79A3">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1304" w:type="dxa"/>
            <w:gridSpan w:val="2"/>
            <w:shd w:val="clear" w:color="000000" w:fill="FFFFFF"/>
            <w:vAlign w:val="center"/>
          </w:tcPr>
          <w:p w14:paraId="0B3B02E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gridSpan w:val="2"/>
            <w:shd w:val="clear" w:color="000000" w:fill="FFFFFF"/>
            <w:vAlign w:val="center"/>
          </w:tcPr>
          <w:p w14:paraId="0B4BF462">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default" w:ascii="Times New Roman" w:hAnsi="Times New Roman" w:eastAsia="仿宋_GB2312" w:cs="Times New Roman"/>
                <w:b/>
                <w:bCs/>
                <w:color w:val="000000"/>
                <w:kern w:val="0"/>
                <w:sz w:val="18"/>
                <w:szCs w:val="18"/>
              </w:rPr>
              <w:t>3</w:t>
            </w:r>
          </w:p>
        </w:tc>
      </w:tr>
      <w:tr w14:paraId="163A2F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14:paraId="3742946B">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23116DF3">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480E480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14:paraId="219197A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1725" w:type="dxa"/>
            <w:shd w:val="clear" w:color="000000" w:fill="FFFFFF"/>
            <w:vAlign w:val="center"/>
          </w:tcPr>
          <w:p w14:paraId="76CCBC2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5216" w:type="dxa"/>
            <w:shd w:val="clear" w:color="000000" w:fill="FFFFFF"/>
            <w:vAlign w:val="center"/>
          </w:tcPr>
          <w:p w14:paraId="55AA81A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1304" w:type="dxa"/>
            <w:gridSpan w:val="2"/>
            <w:shd w:val="clear" w:color="000000" w:fill="FFFFFF"/>
            <w:vAlign w:val="center"/>
          </w:tcPr>
          <w:p w14:paraId="00B36DD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gridSpan w:val="2"/>
            <w:shd w:val="clear" w:color="000000" w:fill="FFFFFF"/>
            <w:vAlign w:val="center"/>
          </w:tcPr>
          <w:p w14:paraId="538EAC6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r>
      <w:tr w14:paraId="187CB0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14:paraId="1F149789">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285E82E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14:paraId="610E5898">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14:paraId="4E8279C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14:paraId="78E8BF7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1725" w:type="dxa"/>
            <w:shd w:val="clear" w:color="auto" w:fill="FFFFFF"/>
            <w:vAlign w:val="center"/>
          </w:tcPr>
          <w:p w14:paraId="25B851E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7AD96E0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1304" w:type="dxa"/>
            <w:gridSpan w:val="2"/>
            <w:shd w:val="clear" w:color="auto" w:fill="FFFFFF"/>
            <w:vAlign w:val="center"/>
          </w:tcPr>
          <w:p w14:paraId="2288BCB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gridSpan w:val="2"/>
            <w:shd w:val="clear" w:color="auto" w:fill="FFFFFF"/>
            <w:vAlign w:val="center"/>
          </w:tcPr>
          <w:p w14:paraId="7A5F188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02AE8D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14:paraId="29F73F2D">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434E1D4C">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00310C1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14:paraId="6C5B54C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5" w:type="dxa"/>
            <w:shd w:val="clear" w:color="auto" w:fill="FFFFFF"/>
            <w:vAlign w:val="center"/>
          </w:tcPr>
          <w:p w14:paraId="57479D3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40DC097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1304" w:type="dxa"/>
            <w:gridSpan w:val="2"/>
            <w:shd w:val="clear" w:color="auto" w:fill="FFFFFF"/>
            <w:vAlign w:val="center"/>
          </w:tcPr>
          <w:p w14:paraId="2A33C79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gridSpan w:val="2"/>
            <w:shd w:val="clear" w:color="auto" w:fill="FFFFFF"/>
            <w:vAlign w:val="center"/>
          </w:tcPr>
          <w:p w14:paraId="3D066FD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13130D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14:paraId="628C36DA">
            <w:pPr>
              <w:spacing w:line="0" w:lineRule="atLeast"/>
              <w:jc w:val="center"/>
              <w:rPr>
                <w:rFonts w:hint="default" w:ascii="Times New Roman" w:hAnsi="Times New Roman" w:eastAsia="仿宋_GB2312" w:cs="Times New Roman"/>
                <w:color w:val="000000"/>
                <w:kern w:val="0"/>
                <w:sz w:val="18"/>
                <w:szCs w:val="18"/>
              </w:rPr>
            </w:pPr>
          </w:p>
          <w:p w14:paraId="7B258415">
            <w:pPr>
              <w:spacing w:line="0" w:lineRule="atLeast"/>
              <w:jc w:val="center"/>
              <w:rPr>
                <w:rFonts w:hint="default" w:ascii="Times New Roman" w:hAnsi="Times New Roman" w:eastAsia="仿宋_GB2312" w:cs="Times New Roman"/>
                <w:color w:val="000000"/>
                <w:kern w:val="0"/>
                <w:sz w:val="18"/>
                <w:szCs w:val="18"/>
              </w:rPr>
            </w:pPr>
          </w:p>
          <w:p w14:paraId="277D9065">
            <w:pPr>
              <w:spacing w:line="0" w:lineRule="atLeast"/>
              <w:jc w:val="center"/>
              <w:rPr>
                <w:rFonts w:hint="default" w:ascii="Times New Roman" w:hAnsi="Times New Roman" w:eastAsia="仿宋_GB2312" w:cs="Times New Roman"/>
                <w:color w:val="000000"/>
                <w:kern w:val="0"/>
                <w:sz w:val="18"/>
                <w:szCs w:val="18"/>
              </w:rPr>
            </w:pPr>
          </w:p>
          <w:p w14:paraId="5B87911F">
            <w:pPr>
              <w:spacing w:line="0" w:lineRule="atLeast"/>
              <w:jc w:val="center"/>
              <w:rPr>
                <w:rFonts w:hint="default" w:ascii="Times New Roman" w:hAnsi="Times New Roman" w:eastAsia="仿宋_GB2312" w:cs="Times New Roman"/>
                <w:color w:val="000000"/>
                <w:kern w:val="0"/>
                <w:sz w:val="18"/>
                <w:szCs w:val="18"/>
              </w:rPr>
            </w:pPr>
          </w:p>
          <w:p w14:paraId="0C7B4F0C">
            <w:pPr>
              <w:spacing w:line="0" w:lineRule="atLeast"/>
              <w:jc w:val="center"/>
              <w:rPr>
                <w:rFonts w:hint="default" w:ascii="Times New Roman" w:hAnsi="Times New Roman" w:eastAsia="仿宋_GB2312" w:cs="Times New Roman"/>
                <w:color w:val="000000"/>
                <w:kern w:val="0"/>
                <w:sz w:val="18"/>
                <w:szCs w:val="18"/>
              </w:rPr>
            </w:pPr>
          </w:p>
          <w:p w14:paraId="3A25F8B2">
            <w:pPr>
              <w:spacing w:line="0" w:lineRule="atLeast"/>
              <w:jc w:val="center"/>
              <w:rPr>
                <w:rFonts w:hint="default" w:ascii="Times New Roman" w:hAnsi="Times New Roman" w:eastAsia="仿宋_GB2312" w:cs="Times New Roman"/>
                <w:color w:val="000000"/>
                <w:kern w:val="0"/>
                <w:sz w:val="18"/>
                <w:szCs w:val="18"/>
              </w:rPr>
            </w:pPr>
          </w:p>
          <w:p w14:paraId="6FCD28A1">
            <w:pPr>
              <w:spacing w:line="0" w:lineRule="atLeast"/>
              <w:jc w:val="center"/>
              <w:rPr>
                <w:rFonts w:hint="default" w:ascii="Times New Roman" w:hAnsi="Times New Roman" w:eastAsia="仿宋_GB2312" w:cs="Times New Roman"/>
                <w:color w:val="000000"/>
                <w:kern w:val="0"/>
                <w:sz w:val="18"/>
                <w:szCs w:val="18"/>
              </w:rPr>
            </w:pPr>
          </w:p>
          <w:p w14:paraId="5A66328E">
            <w:pPr>
              <w:spacing w:line="0" w:lineRule="atLeast"/>
              <w:jc w:val="center"/>
              <w:rPr>
                <w:rFonts w:hint="default" w:ascii="Times New Roman" w:hAnsi="Times New Roman" w:eastAsia="仿宋_GB2312" w:cs="Times New Roman"/>
                <w:color w:val="000000"/>
                <w:kern w:val="0"/>
                <w:sz w:val="18"/>
                <w:szCs w:val="18"/>
              </w:rPr>
            </w:pPr>
          </w:p>
          <w:p w14:paraId="0B869F61">
            <w:pPr>
              <w:spacing w:line="0" w:lineRule="atLeast"/>
              <w:jc w:val="center"/>
              <w:rPr>
                <w:rFonts w:hint="default" w:ascii="Times New Roman" w:hAnsi="Times New Roman" w:eastAsia="仿宋_GB2312" w:cs="Times New Roman"/>
                <w:color w:val="000000"/>
                <w:kern w:val="0"/>
                <w:sz w:val="18"/>
                <w:szCs w:val="18"/>
              </w:rPr>
            </w:pPr>
          </w:p>
          <w:p w14:paraId="434222C3">
            <w:pPr>
              <w:spacing w:line="0" w:lineRule="atLeast"/>
              <w:jc w:val="center"/>
              <w:rPr>
                <w:rFonts w:hint="default" w:ascii="Times New Roman" w:hAnsi="Times New Roman" w:eastAsia="仿宋_GB2312" w:cs="Times New Roman"/>
                <w:color w:val="000000"/>
                <w:kern w:val="0"/>
                <w:sz w:val="18"/>
                <w:szCs w:val="18"/>
              </w:rPr>
            </w:pPr>
          </w:p>
          <w:p w14:paraId="7AF2FDC8">
            <w:pPr>
              <w:spacing w:line="0" w:lineRule="atLeast"/>
              <w:jc w:val="center"/>
              <w:rPr>
                <w:rFonts w:hint="default" w:ascii="Times New Roman" w:hAnsi="Times New Roman" w:eastAsia="仿宋_GB2312" w:cs="Times New Roman"/>
                <w:color w:val="000000"/>
                <w:kern w:val="0"/>
                <w:sz w:val="18"/>
                <w:szCs w:val="18"/>
              </w:rPr>
            </w:pPr>
          </w:p>
          <w:p w14:paraId="6A322184">
            <w:pPr>
              <w:spacing w:line="0" w:lineRule="atLeast"/>
              <w:jc w:val="center"/>
              <w:rPr>
                <w:rFonts w:hint="default" w:ascii="Times New Roman" w:hAnsi="Times New Roman" w:eastAsia="仿宋_GB2312" w:cs="Times New Roman"/>
                <w:color w:val="000000"/>
                <w:kern w:val="0"/>
                <w:sz w:val="18"/>
                <w:szCs w:val="18"/>
              </w:rPr>
            </w:pPr>
          </w:p>
          <w:p w14:paraId="2B7465AB">
            <w:pPr>
              <w:spacing w:line="0" w:lineRule="atLeast"/>
              <w:jc w:val="center"/>
              <w:rPr>
                <w:rFonts w:hint="default" w:ascii="Times New Roman" w:hAnsi="Times New Roman" w:eastAsia="仿宋_GB2312" w:cs="Times New Roman"/>
                <w:color w:val="000000"/>
                <w:kern w:val="0"/>
                <w:sz w:val="18"/>
                <w:szCs w:val="18"/>
              </w:rPr>
            </w:pPr>
          </w:p>
          <w:p w14:paraId="6D347F9C">
            <w:pPr>
              <w:spacing w:line="0" w:lineRule="atLeast"/>
              <w:jc w:val="center"/>
              <w:rPr>
                <w:rFonts w:hint="default" w:ascii="Times New Roman" w:hAnsi="Times New Roman" w:eastAsia="仿宋_GB2312" w:cs="Times New Roman"/>
                <w:color w:val="000000"/>
                <w:kern w:val="0"/>
                <w:sz w:val="18"/>
                <w:szCs w:val="18"/>
              </w:rPr>
            </w:pPr>
          </w:p>
          <w:p w14:paraId="7F86C7D9">
            <w:pPr>
              <w:spacing w:line="0" w:lineRule="atLeast"/>
              <w:jc w:val="center"/>
              <w:rPr>
                <w:rFonts w:hint="default" w:ascii="Times New Roman" w:hAnsi="Times New Roman" w:eastAsia="仿宋_GB2312" w:cs="Times New Roman"/>
                <w:color w:val="000000"/>
                <w:kern w:val="0"/>
                <w:sz w:val="18"/>
                <w:szCs w:val="18"/>
              </w:rPr>
            </w:pPr>
          </w:p>
          <w:p w14:paraId="0FC8A38F">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14:paraId="7364A35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00" w:type="dxa"/>
            <w:vMerge w:val="restart"/>
            <w:shd w:val="clear" w:color="auto" w:fill="FFFFFF"/>
            <w:vAlign w:val="center"/>
          </w:tcPr>
          <w:p w14:paraId="03A8955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14:paraId="2C75AAE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1725" w:type="dxa"/>
            <w:shd w:val="clear" w:color="000000" w:fill="FFFFFF"/>
            <w:vAlign w:val="center"/>
          </w:tcPr>
          <w:p w14:paraId="09F59C3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5216" w:type="dxa"/>
            <w:shd w:val="clear" w:color="000000" w:fill="FFFFFF"/>
            <w:vAlign w:val="center"/>
          </w:tcPr>
          <w:p w14:paraId="064B6AD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14:paraId="4E6625B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14:paraId="5C39EE9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1304" w:type="dxa"/>
            <w:gridSpan w:val="2"/>
            <w:shd w:val="clear" w:color="000000" w:fill="FFFFFF"/>
            <w:vAlign w:val="center"/>
          </w:tcPr>
          <w:p w14:paraId="53F6E60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gridSpan w:val="2"/>
            <w:shd w:val="clear" w:color="000000" w:fill="FFFFFF"/>
            <w:vAlign w:val="center"/>
          </w:tcPr>
          <w:p w14:paraId="655C84D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108EB3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14:paraId="625D1946">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0BB0CAAC">
            <w:pPr>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596E4F8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1725" w:type="dxa"/>
            <w:shd w:val="clear" w:color="auto" w:fill="FFFFFF"/>
            <w:vAlign w:val="center"/>
          </w:tcPr>
          <w:p w14:paraId="0943DEE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5216" w:type="dxa"/>
            <w:shd w:val="clear" w:color="auto" w:fill="FFFFFF"/>
            <w:vAlign w:val="center"/>
          </w:tcPr>
          <w:p w14:paraId="783E727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1304" w:type="dxa"/>
            <w:gridSpan w:val="2"/>
            <w:shd w:val="clear" w:color="auto" w:fill="FFFFFF"/>
            <w:vAlign w:val="center"/>
          </w:tcPr>
          <w:p w14:paraId="6D4303F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gridSpan w:val="2"/>
            <w:shd w:val="clear" w:color="auto" w:fill="FFFFFF"/>
            <w:vAlign w:val="center"/>
          </w:tcPr>
          <w:p w14:paraId="690754A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639F92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0639EC58">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76559EB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14:paraId="52D65F3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14:paraId="145BBA6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1725" w:type="dxa"/>
            <w:shd w:val="clear" w:color="000000" w:fill="FFFFFF"/>
            <w:vAlign w:val="center"/>
          </w:tcPr>
          <w:p w14:paraId="390FCA6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5216" w:type="dxa"/>
            <w:shd w:val="clear" w:color="000000" w:fill="FFFFFF"/>
            <w:vAlign w:val="center"/>
          </w:tcPr>
          <w:p w14:paraId="7B5E221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1304" w:type="dxa"/>
            <w:gridSpan w:val="2"/>
            <w:shd w:val="clear" w:color="000000" w:fill="FFFFFF"/>
            <w:vAlign w:val="center"/>
          </w:tcPr>
          <w:p w14:paraId="03DF216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gridSpan w:val="2"/>
            <w:shd w:val="clear" w:color="000000" w:fill="FFFFFF"/>
            <w:vAlign w:val="center"/>
          </w:tcPr>
          <w:p w14:paraId="0157E6D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06B6E9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14:paraId="7E914B20">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7BF444F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14:paraId="4875A169">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14:paraId="5F898DC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14:paraId="7B069E4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1725" w:type="dxa"/>
            <w:shd w:val="clear" w:color="000000" w:fill="FFFFFF"/>
            <w:vAlign w:val="center"/>
          </w:tcPr>
          <w:p w14:paraId="53FD108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14:paraId="6DED9A9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1304" w:type="dxa"/>
            <w:gridSpan w:val="2"/>
            <w:shd w:val="clear" w:color="000000" w:fill="FFFFFF"/>
            <w:vAlign w:val="center"/>
          </w:tcPr>
          <w:p w14:paraId="4F0E4EA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gridSpan w:val="2"/>
            <w:shd w:val="clear" w:color="000000" w:fill="FFFFFF"/>
            <w:vAlign w:val="center"/>
          </w:tcPr>
          <w:p w14:paraId="3918CE0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0E0210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14:paraId="2F6AAC43">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75DCE270">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5007802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14:paraId="49373D7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1725" w:type="dxa"/>
            <w:shd w:val="clear" w:color="000000" w:fill="FFFFFF"/>
            <w:vAlign w:val="center"/>
          </w:tcPr>
          <w:p w14:paraId="4CABBD6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5216" w:type="dxa"/>
            <w:shd w:val="clear" w:color="000000" w:fill="FFFFFF"/>
            <w:vAlign w:val="center"/>
          </w:tcPr>
          <w:p w14:paraId="15DA9E6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1304" w:type="dxa"/>
            <w:gridSpan w:val="2"/>
            <w:shd w:val="clear" w:color="000000" w:fill="FFFFFF"/>
            <w:vAlign w:val="center"/>
          </w:tcPr>
          <w:p w14:paraId="7DAA0C8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gridSpan w:val="2"/>
            <w:shd w:val="clear" w:color="000000" w:fill="FFFFFF"/>
            <w:vAlign w:val="center"/>
          </w:tcPr>
          <w:p w14:paraId="5CA4637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3FEEB7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14:paraId="581AE54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1000" w:type="dxa"/>
            <w:shd w:val="clear" w:color="auto" w:fill="FFFFFF"/>
            <w:vAlign w:val="center"/>
          </w:tcPr>
          <w:p w14:paraId="2D16FF9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1071" w:type="dxa"/>
            <w:shd w:val="clear" w:color="auto" w:fill="FFFFFF"/>
            <w:vAlign w:val="center"/>
          </w:tcPr>
          <w:p w14:paraId="0C0E66E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1725" w:type="dxa"/>
            <w:shd w:val="clear" w:color="000000" w:fill="FFFFFF"/>
            <w:vAlign w:val="center"/>
          </w:tcPr>
          <w:p w14:paraId="7A182DA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5216" w:type="dxa"/>
            <w:shd w:val="clear" w:color="000000" w:fill="FFFFFF"/>
            <w:vAlign w:val="center"/>
          </w:tcPr>
          <w:p w14:paraId="5E2A6C4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1304" w:type="dxa"/>
            <w:gridSpan w:val="2"/>
            <w:shd w:val="clear" w:color="000000" w:fill="FFFFFF"/>
            <w:vAlign w:val="center"/>
          </w:tcPr>
          <w:p w14:paraId="6F716F3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gridSpan w:val="2"/>
            <w:shd w:val="clear" w:color="000000" w:fill="FFFFFF"/>
            <w:vAlign w:val="center"/>
          </w:tcPr>
          <w:p w14:paraId="2623F79F">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r w14:paraId="2F35FD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14:paraId="271EB3BC">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3408694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1071" w:type="dxa"/>
            <w:shd w:val="clear" w:color="auto" w:fill="FFFFFF"/>
            <w:vAlign w:val="center"/>
          </w:tcPr>
          <w:p w14:paraId="59AE6E3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1725" w:type="dxa"/>
            <w:shd w:val="clear" w:color="000000" w:fill="FFFFFF"/>
            <w:vAlign w:val="center"/>
          </w:tcPr>
          <w:p w14:paraId="50E7B56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5216" w:type="dxa"/>
            <w:shd w:val="clear" w:color="000000" w:fill="FFFFFF"/>
            <w:vAlign w:val="center"/>
          </w:tcPr>
          <w:p w14:paraId="2AC5E26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14:paraId="036BAFD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14:paraId="6A7578B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gridSpan w:val="2"/>
            <w:shd w:val="clear" w:color="000000" w:fill="FFFFFF"/>
            <w:vAlign w:val="center"/>
          </w:tcPr>
          <w:p w14:paraId="08DB4DC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r w14:paraId="1B8B99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14:paraId="082C0AB6">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54673E32">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1071" w:type="dxa"/>
            <w:shd w:val="clear" w:color="auto" w:fill="FFFFFF"/>
            <w:vAlign w:val="center"/>
          </w:tcPr>
          <w:p w14:paraId="0F5EB02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1725" w:type="dxa"/>
            <w:shd w:val="clear" w:color="000000" w:fill="FFFFFF"/>
            <w:vAlign w:val="center"/>
          </w:tcPr>
          <w:p w14:paraId="7147451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5216" w:type="dxa"/>
            <w:shd w:val="clear" w:color="000000" w:fill="FFFFFF"/>
            <w:vAlign w:val="center"/>
          </w:tcPr>
          <w:p w14:paraId="68987E0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1304" w:type="dxa"/>
            <w:gridSpan w:val="2"/>
            <w:shd w:val="clear" w:color="000000" w:fill="FFFFFF"/>
            <w:vAlign w:val="center"/>
          </w:tcPr>
          <w:p w14:paraId="63477F2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gridSpan w:val="2"/>
            <w:shd w:val="clear" w:color="000000" w:fill="FFFFFF"/>
            <w:vAlign w:val="center"/>
          </w:tcPr>
          <w:p w14:paraId="27A5FF5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r w14:paraId="422B15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289C58A2">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76B7B77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14:paraId="54CBB27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1725" w:type="dxa"/>
            <w:shd w:val="clear" w:color="000000" w:fill="FFFFFF"/>
            <w:vAlign w:val="center"/>
          </w:tcPr>
          <w:p w14:paraId="55D0E93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5216" w:type="dxa"/>
            <w:shd w:val="clear" w:color="000000" w:fill="FFFFFF"/>
            <w:vAlign w:val="center"/>
          </w:tcPr>
          <w:p w14:paraId="5003CE2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1304" w:type="dxa"/>
            <w:gridSpan w:val="2"/>
            <w:shd w:val="clear" w:color="000000" w:fill="FFFFFF"/>
            <w:vAlign w:val="center"/>
          </w:tcPr>
          <w:p w14:paraId="263AE2D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gridSpan w:val="2"/>
            <w:shd w:val="clear" w:color="000000" w:fill="FFFFFF"/>
            <w:vAlign w:val="center"/>
          </w:tcPr>
          <w:p w14:paraId="315958F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r w14:paraId="78944D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14:paraId="17624A7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1000" w:type="dxa"/>
            <w:vMerge w:val="restart"/>
            <w:shd w:val="clear" w:color="auto" w:fill="FFFFFF"/>
            <w:vAlign w:val="center"/>
          </w:tcPr>
          <w:p w14:paraId="3EE56A7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1071" w:type="dxa"/>
            <w:shd w:val="clear" w:color="auto" w:fill="FFFFFF"/>
            <w:vAlign w:val="center"/>
          </w:tcPr>
          <w:p w14:paraId="46EED3D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1725" w:type="dxa"/>
            <w:shd w:val="clear" w:color="auto" w:fill="FFFFFF"/>
            <w:vAlign w:val="center"/>
          </w:tcPr>
          <w:p w14:paraId="7AC90EE4">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5216" w:type="dxa"/>
            <w:shd w:val="clear" w:color="auto" w:fill="FFFFFF"/>
            <w:vAlign w:val="center"/>
          </w:tcPr>
          <w:p w14:paraId="25DCEC1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1304" w:type="dxa"/>
            <w:gridSpan w:val="2"/>
            <w:shd w:val="clear" w:color="auto" w:fill="FFFFFF"/>
            <w:vAlign w:val="center"/>
          </w:tcPr>
          <w:p w14:paraId="15DC814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gridSpan w:val="2"/>
            <w:shd w:val="clear" w:color="auto" w:fill="FFFFFF"/>
            <w:vAlign w:val="center"/>
          </w:tcPr>
          <w:p w14:paraId="10E34AF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r w14:paraId="30A06D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14:paraId="7EF582FC">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33263831">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2DC1FDF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highlight w:val="none"/>
              </w:rPr>
              <w:t>满意度</w:t>
            </w:r>
          </w:p>
        </w:tc>
        <w:tc>
          <w:tcPr>
            <w:tcW w:w="1725" w:type="dxa"/>
            <w:shd w:val="clear" w:color="000000" w:fill="FFFFFF"/>
            <w:vAlign w:val="center"/>
          </w:tcPr>
          <w:p w14:paraId="4A65400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5216" w:type="dxa"/>
            <w:shd w:val="clear" w:color="000000" w:fill="FFFFFF"/>
            <w:vAlign w:val="center"/>
          </w:tcPr>
          <w:p w14:paraId="78CF30D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1304" w:type="dxa"/>
            <w:gridSpan w:val="2"/>
            <w:shd w:val="clear" w:color="000000" w:fill="FFFFFF"/>
            <w:vAlign w:val="center"/>
          </w:tcPr>
          <w:p w14:paraId="2B70C3C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gridSpan w:val="2"/>
            <w:shd w:val="clear" w:color="000000" w:fill="FFFFFF"/>
            <w:vAlign w:val="center"/>
          </w:tcPr>
          <w:p w14:paraId="43F1A3B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r w14:paraId="03CC16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14:paraId="7D75379D">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合计</w:t>
            </w:r>
          </w:p>
        </w:tc>
        <w:tc>
          <w:tcPr>
            <w:tcW w:w="1299" w:type="dxa"/>
            <w:shd w:val="clear" w:color="000000" w:fill="FFFFFF"/>
            <w:vAlign w:val="center"/>
          </w:tcPr>
          <w:p w14:paraId="3406A55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fldChar w:fldCharType="begin"/>
            </w:r>
            <w:r>
              <w:rPr>
                <w:rFonts w:hint="default" w:ascii="Times New Roman" w:hAnsi="Times New Roman" w:eastAsia="仿宋_GB2312" w:cs="Times New Roman"/>
                <w:b/>
                <w:bCs/>
                <w:color w:val="000000"/>
                <w:kern w:val="0"/>
                <w:sz w:val="18"/>
                <w:szCs w:val="18"/>
              </w:rPr>
              <w:instrText xml:space="preserve"> = sum(F2:F18) \* MERGEFORMAT </w:instrText>
            </w:r>
            <w:r>
              <w:rPr>
                <w:rFonts w:hint="default" w:ascii="Times New Roman" w:hAnsi="Times New Roman" w:eastAsia="仿宋_GB2312" w:cs="Times New Roman"/>
                <w:b/>
                <w:bCs/>
                <w:color w:val="000000"/>
                <w:kern w:val="0"/>
                <w:sz w:val="18"/>
                <w:szCs w:val="18"/>
              </w:rPr>
              <w:fldChar w:fldCharType="separate"/>
            </w:r>
            <w:r>
              <w:rPr>
                <w:rFonts w:hint="default" w:ascii="Times New Roman" w:hAnsi="Times New Roman" w:eastAsia="仿宋_GB2312" w:cs="Times New Roman"/>
                <w:b/>
                <w:bCs/>
                <w:color w:val="000000"/>
                <w:kern w:val="0"/>
                <w:sz w:val="18"/>
                <w:szCs w:val="18"/>
              </w:rPr>
              <w:t>100</w:t>
            </w:r>
            <w:r>
              <w:rPr>
                <w:rFonts w:hint="default" w:ascii="Times New Roman" w:hAnsi="Times New Roman" w:eastAsia="仿宋_GB2312" w:cs="Times New Roman"/>
                <w:b/>
                <w:bCs/>
                <w:color w:val="000000"/>
                <w:kern w:val="0"/>
                <w:sz w:val="18"/>
                <w:szCs w:val="18"/>
              </w:rPr>
              <w:fldChar w:fldCharType="end"/>
            </w:r>
          </w:p>
        </w:tc>
        <w:tc>
          <w:tcPr>
            <w:tcW w:w="1359" w:type="dxa"/>
            <w:shd w:val="clear" w:color="000000" w:fill="FFFFFF"/>
            <w:vAlign w:val="center"/>
          </w:tcPr>
          <w:p w14:paraId="40576E5C">
            <w:pPr>
              <w:widowControl/>
              <w:spacing w:line="0" w:lineRule="atLeast"/>
              <w:jc w:val="center"/>
              <w:rPr>
                <w:rFonts w:hint="default" w:ascii="Times New Roman" w:hAnsi="Times New Roman" w:eastAsia="仿宋_GB2312" w:cs="Times New Roman"/>
                <w:b/>
                <w:bCs/>
                <w:color w:val="000000"/>
                <w:kern w:val="0"/>
                <w:sz w:val="18"/>
                <w:szCs w:val="18"/>
                <w:highlight w:val="yellow"/>
              </w:rPr>
            </w:pPr>
            <w:r>
              <w:rPr>
                <w:rFonts w:hint="default" w:ascii="Times New Roman" w:hAnsi="Times New Roman" w:eastAsia="仿宋_GB2312" w:cs="Times New Roman"/>
                <w:b/>
                <w:bCs/>
                <w:color w:val="000000"/>
                <w:kern w:val="0"/>
                <w:sz w:val="18"/>
                <w:szCs w:val="18"/>
              </w:rPr>
              <w:fldChar w:fldCharType="begin"/>
            </w:r>
            <w:r>
              <w:rPr>
                <w:rFonts w:hint="default" w:ascii="Times New Roman" w:hAnsi="Times New Roman" w:eastAsia="仿宋_GB2312" w:cs="Times New Roman"/>
                <w:b/>
                <w:bCs/>
                <w:color w:val="000000"/>
                <w:kern w:val="0"/>
                <w:sz w:val="18"/>
                <w:szCs w:val="18"/>
              </w:rPr>
              <w:instrText xml:space="preserve"> = sum(F2:F18) \* MERGEFORMAT </w:instrText>
            </w:r>
            <w:r>
              <w:rPr>
                <w:rFonts w:hint="default" w:ascii="Times New Roman" w:hAnsi="Times New Roman" w:eastAsia="仿宋_GB2312" w:cs="Times New Roman"/>
                <w:b/>
                <w:bCs/>
                <w:color w:val="000000"/>
                <w:kern w:val="0"/>
                <w:sz w:val="18"/>
                <w:szCs w:val="18"/>
              </w:rPr>
              <w:fldChar w:fldCharType="separate"/>
            </w:r>
            <w:r>
              <w:rPr>
                <w:rFonts w:hint="default" w:ascii="Times New Roman" w:hAnsi="Times New Roman" w:eastAsia="仿宋_GB2312" w:cs="Times New Roman"/>
                <w:b/>
                <w:bCs/>
                <w:color w:val="000000"/>
                <w:kern w:val="0"/>
                <w:sz w:val="18"/>
                <w:szCs w:val="18"/>
              </w:rPr>
              <w:t>100</w:t>
            </w:r>
            <w:r>
              <w:rPr>
                <w:rFonts w:hint="default" w:ascii="Times New Roman" w:hAnsi="Times New Roman" w:eastAsia="仿宋_GB2312" w:cs="Times New Roman"/>
                <w:b/>
                <w:bCs/>
                <w:color w:val="000000"/>
                <w:kern w:val="0"/>
                <w:sz w:val="18"/>
                <w:szCs w:val="18"/>
              </w:rPr>
              <w:fldChar w:fldCharType="end"/>
            </w:r>
          </w:p>
        </w:tc>
        <w:tc>
          <w:tcPr>
            <w:tcW w:w="6" w:type="dxa"/>
            <w:shd w:val="clear" w:color="000000" w:fill="FFFFFF"/>
            <w:vAlign w:val="center"/>
          </w:tcPr>
          <w:p w14:paraId="4CC6D935">
            <w:pPr>
              <w:widowControl/>
              <w:spacing w:line="0" w:lineRule="atLeast"/>
              <w:jc w:val="center"/>
            </w:pPr>
          </w:p>
        </w:tc>
      </w:tr>
    </w:tbl>
    <w:p w14:paraId="5A0A6123">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14:paraId="42433049">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tbl>
      <w:tblPr>
        <w:tblStyle w:val="14"/>
        <w:tblW w:w="137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065"/>
        <w:gridCol w:w="1065"/>
        <w:gridCol w:w="1068"/>
        <w:gridCol w:w="1143"/>
        <w:gridCol w:w="1064"/>
        <w:gridCol w:w="630"/>
        <w:gridCol w:w="1485"/>
        <w:gridCol w:w="1323"/>
        <w:gridCol w:w="857"/>
        <w:gridCol w:w="770"/>
        <w:gridCol w:w="873"/>
        <w:gridCol w:w="613"/>
        <w:gridCol w:w="698"/>
        <w:gridCol w:w="1071"/>
      </w:tblGrid>
      <w:tr w14:paraId="7231B1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5" w:hRule="atLeast"/>
        </w:trPr>
        <w:tc>
          <w:tcPr>
            <w:tcW w:w="13725" w:type="dxa"/>
            <w:gridSpan w:val="14"/>
            <w:tcBorders>
              <w:top w:val="nil"/>
              <w:left w:val="nil"/>
              <w:bottom w:val="nil"/>
              <w:right w:val="nil"/>
            </w:tcBorders>
            <w:shd w:val="clear" w:color="auto" w:fill="auto"/>
            <w:tcMar>
              <w:top w:w="15" w:type="dxa"/>
              <w:left w:w="15" w:type="dxa"/>
              <w:right w:w="15" w:type="dxa"/>
            </w:tcMar>
            <w:vAlign w:val="center"/>
          </w:tcPr>
          <w:p w14:paraId="5AFBBF95">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14:paraId="39E8C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13725" w:type="dxa"/>
            <w:gridSpan w:val="14"/>
            <w:tcBorders>
              <w:top w:val="nil"/>
              <w:left w:val="nil"/>
              <w:bottom w:val="nil"/>
              <w:right w:val="nil"/>
            </w:tcBorders>
            <w:shd w:val="clear" w:color="auto" w:fill="auto"/>
            <w:tcMar>
              <w:top w:w="15" w:type="dxa"/>
              <w:left w:w="15" w:type="dxa"/>
              <w:right w:w="15" w:type="dxa"/>
            </w:tcMar>
            <w:vAlign w:val="center"/>
          </w:tcPr>
          <w:p w14:paraId="59D7F6C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(2024年度)</w:t>
            </w:r>
          </w:p>
        </w:tc>
      </w:tr>
      <w:tr w14:paraId="34B0B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A89DC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11595"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C2A74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2024年重大传染病防控</w:t>
            </w:r>
          </w:p>
        </w:tc>
      </w:tr>
      <w:tr w14:paraId="591E79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C67B0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主管部门</w:t>
            </w:r>
          </w:p>
        </w:tc>
        <w:tc>
          <w:tcPr>
            <w:tcW w:w="539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6BBA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奇台县疾病预防控制中心</w:t>
            </w:r>
          </w:p>
        </w:tc>
        <w:tc>
          <w:tcPr>
            <w:tcW w:w="21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5859B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实施单位</w:t>
            </w:r>
          </w:p>
        </w:tc>
        <w:tc>
          <w:tcPr>
            <w:tcW w:w="402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FEED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奇台县疾病预防控制中心</w:t>
            </w:r>
          </w:p>
        </w:tc>
      </w:tr>
      <w:tr w14:paraId="351D5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213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AEB8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（万元）</w:t>
            </w:r>
          </w:p>
        </w:tc>
        <w:tc>
          <w:tcPr>
            <w:tcW w:w="22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4E458E">
            <w:pPr>
              <w:jc w:val="center"/>
              <w:rPr>
                <w:rFonts w:hint="eastAsia" w:ascii="宋体" w:hAnsi="宋体" w:eastAsia="宋体" w:cs="宋体"/>
                <w:i w:val="0"/>
                <w:color w:val="000000"/>
                <w:sz w:val="20"/>
                <w:szCs w:val="20"/>
                <w:u w:val="none"/>
              </w:rPr>
            </w:pPr>
          </w:p>
        </w:tc>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7C063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年初预算数</w:t>
            </w:r>
          </w:p>
        </w:tc>
        <w:tc>
          <w:tcPr>
            <w:tcW w:w="21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AEAE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全年预算数</w:t>
            </w:r>
          </w:p>
        </w:tc>
        <w:tc>
          <w:tcPr>
            <w:tcW w:w="21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7D806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全年执行数</w:t>
            </w:r>
          </w:p>
        </w:tc>
        <w:tc>
          <w:tcPr>
            <w:tcW w:w="16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6872C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13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A654F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执行率</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EC7E8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r>
      <w:tr w14:paraId="0802F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21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BF1E63">
            <w:pPr>
              <w:jc w:val="center"/>
              <w:rPr>
                <w:rFonts w:hint="eastAsia" w:ascii="宋体" w:hAnsi="宋体" w:eastAsia="宋体" w:cs="宋体"/>
                <w:i w:val="0"/>
                <w:color w:val="000000"/>
                <w:sz w:val="20"/>
                <w:szCs w:val="20"/>
                <w:u w:val="none"/>
              </w:rPr>
            </w:pPr>
          </w:p>
        </w:tc>
        <w:tc>
          <w:tcPr>
            <w:tcW w:w="22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A9381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年度资金总额</w:t>
            </w:r>
          </w:p>
        </w:tc>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FE879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122.22</w:t>
            </w:r>
          </w:p>
        </w:tc>
        <w:tc>
          <w:tcPr>
            <w:tcW w:w="21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3FAD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139.22</w:t>
            </w:r>
          </w:p>
        </w:tc>
        <w:tc>
          <w:tcPr>
            <w:tcW w:w="21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160D9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139.22</w:t>
            </w:r>
          </w:p>
        </w:tc>
        <w:tc>
          <w:tcPr>
            <w:tcW w:w="16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D8BF2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3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E6289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100.00%</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F5B37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10.00分</w:t>
            </w:r>
          </w:p>
        </w:tc>
      </w:tr>
      <w:tr w14:paraId="54293F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21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5D48C9">
            <w:pPr>
              <w:jc w:val="center"/>
              <w:rPr>
                <w:rFonts w:hint="eastAsia" w:ascii="宋体" w:hAnsi="宋体" w:eastAsia="宋体" w:cs="宋体"/>
                <w:i w:val="0"/>
                <w:color w:val="000000"/>
                <w:sz w:val="20"/>
                <w:szCs w:val="20"/>
                <w:u w:val="none"/>
              </w:rPr>
            </w:pPr>
          </w:p>
        </w:tc>
        <w:tc>
          <w:tcPr>
            <w:tcW w:w="22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8BF6F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其中：当年财政拨款</w:t>
            </w:r>
          </w:p>
        </w:tc>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1FB9A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122.22</w:t>
            </w:r>
          </w:p>
        </w:tc>
        <w:tc>
          <w:tcPr>
            <w:tcW w:w="21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27C41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139.22</w:t>
            </w:r>
          </w:p>
        </w:tc>
        <w:tc>
          <w:tcPr>
            <w:tcW w:w="21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B82E9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139.22</w:t>
            </w:r>
          </w:p>
        </w:tc>
        <w:tc>
          <w:tcPr>
            <w:tcW w:w="16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73566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3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403B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64BC2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14:paraId="46F510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21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F43256">
            <w:pPr>
              <w:jc w:val="center"/>
              <w:rPr>
                <w:rFonts w:hint="eastAsia" w:ascii="宋体" w:hAnsi="宋体" w:eastAsia="宋体" w:cs="宋体"/>
                <w:i w:val="0"/>
                <w:color w:val="000000"/>
                <w:sz w:val="20"/>
                <w:szCs w:val="20"/>
                <w:u w:val="none"/>
              </w:rPr>
            </w:pPr>
          </w:p>
        </w:tc>
        <w:tc>
          <w:tcPr>
            <w:tcW w:w="22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2D1A2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上年结转资金</w:t>
            </w:r>
          </w:p>
        </w:tc>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8FA835">
            <w:pPr>
              <w:jc w:val="center"/>
              <w:rPr>
                <w:rFonts w:hint="eastAsia" w:ascii="宋体" w:hAnsi="宋体" w:eastAsia="宋体" w:cs="宋体"/>
                <w:i w:val="0"/>
                <w:color w:val="000000"/>
                <w:sz w:val="20"/>
                <w:szCs w:val="20"/>
                <w:u w:val="none"/>
              </w:rPr>
            </w:pPr>
          </w:p>
        </w:tc>
        <w:tc>
          <w:tcPr>
            <w:tcW w:w="21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65A90">
            <w:pPr>
              <w:jc w:val="center"/>
              <w:rPr>
                <w:rFonts w:hint="eastAsia" w:ascii="宋体" w:hAnsi="宋体" w:eastAsia="宋体" w:cs="宋体"/>
                <w:i w:val="0"/>
                <w:color w:val="000000"/>
                <w:sz w:val="20"/>
                <w:szCs w:val="20"/>
                <w:u w:val="none"/>
              </w:rPr>
            </w:pPr>
          </w:p>
        </w:tc>
        <w:tc>
          <w:tcPr>
            <w:tcW w:w="21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E8B3D1">
            <w:pPr>
              <w:jc w:val="center"/>
              <w:rPr>
                <w:rFonts w:hint="eastAsia" w:ascii="宋体" w:hAnsi="宋体" w:eastAsia="宋体" w:cs="宋体"/>
                <w:i w:val="0"/>
                <w:color w:val="000000"/>
                <w:sz w:val="20"/>
                <w:szCs w:val="20"/>
                <w:u w:val="none"/>
              </w:rPr>
            </w:pPr>
          </w:p>
        </w:tc>
        <w:tc>
          <w:tcPr>
            <w:tcW w:w="16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1C98B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3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D940D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9B26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14:paraId="18D043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21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4E4E97">
            <w:pPr>
              <w:jc w:val="center"/>
              <w:rPr>
                <w:rFonts w:hint="eastAsia" w:ascii="宋体" w:hAnsi="宋体" w:eastAsia="宋体" w:cs="宋体"/>
                <w:i w:val="0"/>
                <w:color w:val="000000"/>
                <w:sz w:val="20"/>
                <w:szCs w:val="20"/>
                <w:u w:val="none"/>
              </w:rPr>
            </w:pPr>
          </w:p>
        </w:tc>
        <w:tc>
          <w:tcPr>
            <w:tcW w:w="22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ECD3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其他资金</w:t>
            </w:r>
          </w:p>
        </w:tc>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3A223A">
            <w:pPr>
              <w:jc w:val="center"/>
              <w:rPr>
                <w:rFonts w:hint="eastAsia" w:ascii="宋体" w:hAnsi="宋体" w:eastAsia="宋体" w:cs="宋体"/>
                <w:i w:val="0"/>
                <w:color w:val="000000"/>
                <w:sz w:val="20"/>
                <w:szCs w:val="20"/>
                <w:u w:val="none"/>
              </w:rPr>
            </w:pPr>
          </w:p>
        </w:tc>
        <w:tc>
          <w:tcPr>
            <w:tcW w:w="21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C18B5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21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ED1E7">
            <w:pPr>
              <w:jc w:val="center"/>
              <w:rPr>
                <w:rFonts w:hint="eastAsia" w:ascii="宋体" w:hAnsi="宋体" w:eastAsia="宋体" w:cs="宋体"/>
                <w:i w:val="0"/>
                <w:color w:val="000000"/>
                <w:sz w:val="20"/>
                <w:szCs w:val="20"/>
                <w:u w:val="none"/>
              </w:rPr>
            </w:pPr>
          </w:p>
        </w:tc>
        <w:tc>
          <w:tcPr>
            <w:tcW w:w="16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C0D39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3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19DCE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C6CD9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14:paraId="471E03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A45F1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年度总体目标</w:t>
            </w:r>
          </w:p>
        </w:tc>
        <w:tc>
          <w:tcPr>
            <w:tcW w:w="645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70E6D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预期目标</w:t>
            </w:r>
          </w:p>
        </w:tc>
        <w:tc>
          <w:tcPr>
            <w:tcW w:w="6205"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6BF5A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实际完成情况</w:t>
            </w:r>
          </w:p>
        </w:tc>
      </w:tr>
      <w:tr w14:paraId="7C68A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40" w:hRule="atLeast"/>
        </w:trPr>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FDA23">
            <w:pPr>
              <w:jc w:val="center"/>
              <w:rPr>
                <w:rFonts w:hint="eastAsia" w:ascii="宋体" w:hAnsi="宋体" w:eastAsia="宋体" w:cs="宋体"/>
                <w:i w:val="0"/>
                <w:color w:val="000000"/>
                <w:sz w:val="20"/>
                <w:szCs w:val="20"/>
                <w:u w:val="none"/>
              </w:rPr>
            </w:pPr>
          </w:p>
        </w:tc>
        <w:tc>
          <w:tcPr>
            <w:tcW w:w="645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7D7D955">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进一步完善重点传染病防控体系，加强传染病联防联控，规范各项工作开展；提高疾控机构在麻疹、流感、手足口、布病等传染病的发现及调查处置能力，全年完成了布病血清检查人数1603人，艾滋病重点人群综合干预人数509人，艾滋病患者病例报告质量率100%，肺结核可疑患者检查任务完成率100%，儿童接种信息完整率100%的目标，有效促进了项目质控工作顺利的开展，提高了网络直报数据准确性，提高了项目工作质量，提高了重点人群自我防病意识，有效阻断了传播途径，减少了病例继发传播。</w:t>
            </w:r>
          </w:p>
        </w:tc>
        <w:tc>
          <w:tcPr>
            <w:tcW w:w="6205"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82CE0F1">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传染病的发现及调查处置能力的目标，布病血清检查人数1603人，艾滋病重点人群综合干预人数509人，艾滋病患者病例报告质量率100%，肺结核可疑患者检查任务完成率100%，儿童接种信息完整率100%，促进了项目质控工作顺利开展，网络直报数据准确性，提高项目工作质量，有效提高了重点人群自我防病意识，阻断传播途径，减少病例继发传播。</w:t>
            </w:r>
          </w:p>
        </w:tc>
      </w:tr>
      <w:tr w14:paraId="378E1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A2DF0C">
            <w:pPr>
              <w:jc w:val="center"/>
              <w:rPr>
                <w:rFonts w:hint="eastAsia" w:ascii="宋体" w:hAnsi="宋体" w:eastAsia="宋体" w:cs="宋体"/>
                <w:i w:val="0"/>
                <w:color w:val="000000"/>
                <w:sz w:val="20"/>
                <w:szCs w:val="20"/>
                <w:u w:val="none"/>
              </w:rPr>
            </w:pPr>
          </w:p>
        </w:tc>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17431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一级指标</w:t>
            </w:r>
          </w:p>
        </w:tc>
        <w:tc>
          <w:tcPr>
            <w:tcW w:w="106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7899D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二级指标</w:t>
            </w:r>
          </w:p>
        </w:tc>
        <w:tc>
          <w:tcPr>
            <w:tcW w:w="283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3F5D1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三级指标</w:t>
            </w:r>
          </w:p>
        </w:tc>
        <w:tc>
          <w:tcPr>
            <w:tcW w:w="14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3B9B0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年度指标值</w:t>
            </w:r>
          </w:p>
        </w:tc>
        <w:tc>
          <w:tcPr>
            <w:tcW w:w="132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749B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实际完成值</w:t>
            </w:r>
          </w:p>
        </w:tc>
        <w:tc>
          <w:tcPr>
            <w:tcW w:w="16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1378C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148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33711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c>
          <w:tcPr>
            <w:tcW w:w="176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47899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偏差原因分析及改进措施</w:t>
            </w:r>
          </w:p>
        </w:tc>
      </w:tr>
      <w:tr w14:paraId="406D2D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D13381">
            <w:pPr>
              <w:jc w:val="center"/>
              <w:rPr>
                <w:rFonts w:hint="eastAsia" w:ascii="宋体" w:hAnsi="宋体" w:eastAsia="宋体" w:cs="宋体"/>
                <w:i w:val="0"/>
                <w:color w:val="000000"/>
                <w:sz w:val="20"/>
                <w:szCs w:val="20"/>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C711BA">
            <w:pPr>
              <w:jc w:val="center"/>
              <w:rPr>
                <w:rFonts w:hint="eastAsia" w:ascii="宋体" w:hAnsi="宋体" w:eastAsia="宋体" w:cs="宋体"/>
                <w:i w:val="0"/>
                <w:color w:val="000000"/>
                <w:sz w:val="20"/>
                <w:szCs w:val="20"/>
                <w:u w:val="none"/>
              </w:rPr>
            </w:pPr>
          </w:p>
        </w:tc>
        <w:tc>
          <w:tcPr>
            <w:tcW w:w="10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D96CD4">
            <w:pPr>
              <w:jc w:val="center"/>
              <w:rPr>
                <w:rFonts w:hint="eastAsia" w:ascii="宋体" w:hAnsi="宋体" w:eastAsia="宋体" w:cs="宋体"/>
                <w:i w:val="0"/>
                <w:color w:val="000000"/>
                <w:sz w:val="20"/>
                <w:szCs w:val="20"/>
                <w:u w:val="none"/>
              </w:rPr>
            </w:pPr>
          </w:p>
        </w:tc>
        <w:tc>
          <w:tcPr>
            <w:tcW w:w="283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8301F8">
            <w:pPr>
              <w:jc w:val="center"/>
              <w:rPr>
                <w:rFonts w:hint="eastAsia" w:ascii="宋体" w:hAnsi="宋体" w:eastAsia="宋体" w:cs="宋体"/>
                <w:i w:val="0"/>
                <w:color w:val="000000"/>
                <w:sz w:val="20"/>
                <w:szCs w:val="20"/>
                <w:u w:val="none"/>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F27664">
            <w:pPr>
              <w:jc w:val="center"/>
              <w:rPr>
                <w:rFonts w:hint="eastAsia" w:ascii="宋体" w:hAnsi="宋体" w:eastAsia="宋体" w:cs="宋体"/>
                <w:i w:val="0"/>
                <w:color w:val="000000"/>
                <w:sz w:val="20"/>
                <w:szCs w:val="20"/>
                <w:u w:val="none"/>
              </w:rPr>
            </w:pPr>
          </w:p>
        </w:tc>
        <w:tc>
          <w:tcPr>
            <w:tcW w:w="13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79ACAC">
            <w:pPr>
              <w:jc w:val="center"/>
              <w:rPr>
                <w:rFonts w:hint="eastAsia" w:ascii="宋体" w:hAnsi="宋体" w:eastAsia="宋体" w:cs="宋体"/>
                <w:i w:val="0"/>
                <w:color w:val="000000"/>
                <w:sz w:val="20"/>
                <w:szCs w:val="20"/>
                <w:u w:val="none"/>
              </w:rPr>
            </w:pPr>
          </w:p>
        </w:tc>
        <w:tc>
          <w:tcPr>
            <w:tcW w:w="16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B6BC32">
            <w:pPr>
              <w:jc w:val="center"/>
              <w:rPr>
                <w:rFonts w:hint="eastAsia" w:ascii="宋体" w:hAnsi="宋体" w:eastAsia="宋体" w:cs="宋体"/>
                <w:i w:val="0"/>
                <w:color w:val="000000"/>
                <w:sz w:val="20"/>
                <w:szCs w:val="20"/>
                <w:u w:val="none"/>
              </w:rPr>
            </w:pPr>
          </w:p>
        </w:tc>
        <w:tc>
          <w:tcPr>
            <w:tcW w:w="148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7482EA">
            <w:pPr>
              <w:jc w:val="center"/>
              <w:rPr>
                <w:rFonts w:hint="eastAsia" w:ascii="宋体" w:hAnsi="宋体" w:eastAsia="宋体" w:cs="宋体"/>
                <w:i w:val="0"/>
                <w:color w:val="000000"/>
                <w:sz w:val="20"/>
                <w:szCs w:val="20"/>
                <w:u w:val="none"/>
              </w:rPr>
            </w:pPr>
          </w:p>
        </w:tc>
        <w:tc>
          <w:tcPr>
            <w:tcW w:w="176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09226E">
            <w:pPr>
              <w:jc w:val="center"/>
              <w:rPr>
                <w:rFonts w:hint="eastAsia" w:ascii="宋体" w:hAnsi="宋体" w:eastAsia="宋体" w:cs="宋体"/>
                <w:i w:val="0"/>
                <w:color w:val="000000"/>
                <w:sz w:val="20"/>
                <w:szCs w:val="20"/>
                <w:u w:val="none"/>
              </w:rPr>
            </w:pPr>
          </w:p>
        </w:tc>
      </w:tr>
      <w:tr w14:paraId="69AADF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0" w:hRule="atLeast"/>
        </w:trPr>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EAD3C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年度绩效指标完成情况</w:t>
            </w:r>
          </w:p>
        </w:tc>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7DB4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10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7E0DC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83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B01656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布病高危人群血清检查人数</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BB703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&gt;=1603人</w:t>
            </w:r>
          </w:p>
        </w:tc>
        <w:tc>
          <w:tcPr>
            <w:tcW w:w="13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2D231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=1603人</w:t>
            </w: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6D560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48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B3FDA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06B338">
            <w:pPr>
              <w:jc w:val="center"/>
              <w:rPr>
                <w:rFonts w:hint="eastAsia" w:ascii="宋体" w:hAnsi="宋体" w:eastAsia="宋体" w:cs="宋体"/>
                <w:i w:val="0"/>
                <w:color w:val="000000"/>
                <w:sz w:val="20"/>
                <w:szCs w:val="20"/>
                <w:u w:val="none"/>
              </w:rPr>
            </w:pPr>
          </w:p>
        </w:tc>
      </w:tr>
      <w:tr w14:paraId="56829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0" w:hRule="atLeast"/>
        </w:trPr>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8C1945">
            <w:pPr>
              <w:jc w:val="center"/>
              <w:rPr>
                <w:rFonts w:hint="eastAsia" w:ascii="宋体" w:hAnsi="宋体" w:eastAsia="宋体" w:cs="宋体"/>
                <w:i w:val="0"/>
                <w:color w:val="000000"/>
                <w:sz w:val="20"/>
                <w:szCs w:val="20"/>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B05230">
            <w:pPr>
              <w:jc w:val="center"/>
              <w:rPr>
                <w:rFonts w:hint="eastAsia" w:ascii="宋体" w:hAnsi="宋体" w:eastAsia="宋体" w:cs="宋体"/>
                <w:i w:val="0"/>
                <w:color w:val="000000"/>
                <w:sz w:val="20"/>
                <w:szCs w:val="20"/>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10530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83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A5EC6F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艾滋病重点人群综合干预人数</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0C68B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&gt;=509人</w:t>
            </w:r>
          </w:p>
        </w:tc>
        <w:tc>
          <w:tcPr>
            <w:tcW w:w="13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ECC73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=509人</w:t>
            </w: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3CB0A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48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72A40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2B4700">
            <w:pPr>
              <w:jc w:val="center"/>
              <w:rPr>
                <w:rFonts w:hint="eastAsia" w:ascii="宋体" w:hAnsi="宋体" w:eastAsia="宋体" w:cs="宋体"/>
                <w:i w:val="0"/>
                <w:color w:val="000000"/>
                <w:sz w:val="20"/>
                <w:szCs w:val="20"/>
                <w:u w:val="none"/>
              </w:rPr>
            </w:pPr>
          </w:p>
        </w:tc>
      </w:tr>
      <w:tr w14:paraId="63D7CF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trPr>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1546C">
            <w:pPr>
              <w:jc w:val="center"/>
              <w:rPr>
                <w:rFonts w:hint="eastAsia" w:ascii="宋体" w:hAnsi="宋体" w:eastAsia="宋体" w:cs="宋体"/>
                <w:i w:val="0"/>
                <w:color w:val="000000"/>
                <w:sz w:val="20"/>
                <w:szCs w:val="20"/>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C9831">
            <w:pPr>
              <w:jc w:val="center"/>
              <w:rPr>
                <w:rFonts w:hint="eastAsia" w:ascii="宋体" w:hAnsi="宋体" w:eastAsia="宋体" w:cs="宋体"/>
                <w:i w:val="0"/>
                <w:color w:val="000000"/>
                <w:sz w:val="20"/>
                <w:szCs w:val="20"/>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1C8F7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283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B08C1B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艾滋病患者病例报告质量率</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B3395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&gt;=100%</w:t>
            </w:r>
          </w:p>
        </w:tc>
        <w:tc>
          <w:tcPr>
            <w:tcW w:w="13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DD76A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EB38F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48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3FFB6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E8CFCF">
            <w:pPr>
              <w:jc w:val="center"/>
              <w:rPr>
                <w:rFonts w:hint="eastAsia" w:ascii="宋体" w:hAnsi="宋体" w:eastAsia="宋体" w:cs="宋体"/>
                <w:i w:val="0"/>
                <w:color w:val="000000"/>
                <w:sz w:val="20"/>
                <w:szCs w:val="20"/>
                <w:u w:val="none"/>
              </w:rPr>
            </w:pPr>
          </w:p>
        </w:tc>
      </w:tr>
      <w:tr w14:paraId="6B29B3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0" w:hRule="atLeast"/>
        </w:trPr>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04B6E1">
            <w:pPr>
              <w:jc w:val="center"/>
              <w:rPr>
                <w:rFonts w:hint="eastAsia" w:ascii="宋体" w:hAnsi="宋体" w:eastAsia="宋体" w:cs="宋体"/>
                <w:i w:val="0"/>
                <w:color w:val="000000"/>
                <w:sz w:val="20"/>
                <w:szCs w:val="20"/>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3340CE">
            <w:pPr>
              <w:jc w:val="center"/>
              <w:rPr>
                <w:rFonts w:hint="eastAsia" w:ascii="宋体" w:hAnsi="宋体" w:eastAsia="宋体" w:cs="宋体"/>
                <w:i w:val="0"/>
                <w:color w:val="000000"/>
                <w:sz w:val="20"/>
                <w:szCs w:val="20"/>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CA76E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283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C847D3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肺结核可疑患者检查任务完成率</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3F3A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&gt;=100%</w:t>
            </w:r>
          </w:p>
        </w:tc>
        <w:tc>
          <w:tcPr>
            <w:tcW w:w="13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2C383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5F12F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48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185B5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913613">
            <w:pPr>
              <w:jc w:val="center"/>
              <w:rPr>
                <w:rFonts w:hint="eastAsia" w:ascii="宋体" w:hAnsi="宋体" w:eastAsia="宋体" w:cs="宋体"/>
                <w:i w:val="0"/>
                <w:color w:val="000000"/>
                <w:sz w:val="20"/>
                <w:szCs w:val="20"/>
                <w:u w:val="none"/>
              </w:rPr>
            </w:pPr>
          </w:p>
        </w:tc>
      </w:tr>
      <w:tr w14:paraId="561988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trPr>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FA1063">
            <w:pPr>
              <w:jc w:val="center"/>
              <w:rPr>
                <w:rFonts w:hint="eastAsia" w:ascii="宋体" w:hAnsi="宋体" w:eastAsia="宋体" w:cs="宋体"/>
                <w:i w:val="0"/>
                <w:color w:val="000000"/>
                <w:sz w:val="20"/>
                <w:szCs w:val="20"/>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046840">
            <w:pPr>
              <w:jc w:val="center"/>
              <w:rPr>
                <w:rFonts w:hint="eastAsia" w:ascii="宋体" w:hAnsi="宋体" w:eastAsia="宋体" w:cs="宋体"/>
                <w:i w:val="0"/>
                <w:color w:val="000000"/>
                <w:sz w:val="20"/>
                <w:szCs w:val="20"/>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C9A6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283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FA0C6D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儿童接种信息完整率</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C62BE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&gt;=100%</w:t>
            </w:r>
          </w:p>
        </w:tc>
        <w:tc>
          <w:tcPr>
            <w:tcW w:w="13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5CC3B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BA63D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48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71850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726791">
            <w:pPr>
              <w:jc w:val="center"/>
              <w:rPr>
                <w:rFonts w:hint="eastAsia" w:ascii="宋体" w:hAnsi="宋体" w:eastAsia="宋体" w:cs="宋体"/>
                <w:i w:val="0"/>
                <w:color w:val="000000"/>
                <w:sz w:val="20"/>
                <w:szCs w:val="20"/>
                <w:u w:val="none"/>
              </w:rPr>
            </w:pPr>
          </w:p>
        </w:tc>
      </w:tr>
      <w:tr w14:paraId="731CDD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trPr>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1E1C28">
            <w:pPr>
              <w:jc w:val="center"/>
              <w:rPr>
                <w:rFonts w:hint="eastAsia" w:ascii="宋体" w:hAnsi="宋体" w:eastAsia="宋体" w:cs="宋体"/>
                <w:i w:val="0"/>
                <w:color w:val="000000"/>
                <w:sz w:val="20"/>
                <w:szCs w:val="20"/>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BA0F9A">
            <w:pPr>
              <w:jc w:val="center"/>
              <w:rPr>
                <w:rFonts w:hint="eastAsia" w:ascii="宋体" w:hAnsi="宋体" w:eastAsia="宋体" w:cs="宋体"/>
                <w:i w:val="0"/>
                <w:color w:val="000000"/>
                <w:sz w:val="20"/>
                <w:szCs w:val="20"/>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1EEF1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283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B421AC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资金到时位及时率</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977C7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&gt;=100%</w:t>
            </w:r>
          </w:p>
        </w:tc>
        <w:tc>
          <w:tcPr>
            <w:tcW w:w="13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8BF84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A3600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48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16782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444B82">
            <w:pPr>
              <w:jc w:val="center"/>
              <w:rPr>
                <w:rFonts w:hint="eastAsia" w:ascii="宋体" w:hAnsi="宋体" w:eastAsia="宋体" w:cs="宋体"/>
                <w:i w:val="0"/>
                <w:color w:val="000000"/>
                <w:sz w:val="20"/>
                <w:szCs w:val="20"/>
                <w:u w:val="none"/>
              </w:rPr>
            </w:pPr>
          </w:p>
        </w:tc>
      </w:tr>
      <w:tr w14:paraId="1B92AE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trPr>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54120A">
            <w:pPr>
              <w:jc w:val="center"/>
              <w:rPr>
                <w:rFonts w:hint="eastAsia" w:ascii="宋体" w:hAnsi="宋体" w:eastAsia="宋体" w:cs="宋体"/>
                <w:i w:val="0"/>
                <w:color w:val="000000"/>
                <w:sz w:val="20"/>
                <w:szCs w:val="20"/>
                <w:u w:val="none"/>
              </w:rPr>
            </w:pPr>
          </w:p>
        </w:tc>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F8BB3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10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80B3E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283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573FF8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项目预算控制率</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4ABD0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&lt;=100%</w:t>
            </w:r>
          </w:p>
        </w:tc>
        <w:tc>
          <w:tcPr>
            <w:tcW w:w="13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9D436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EDBE6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48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9F149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22602">
            <w:pPr>
              <w:jc w:val="center"/>
              <w:rPr>
                <w:rFonts w:hint="eastAsia" w:ascii="宋体" w:hAnsi="宋体" w:eastAsia="宋体" w:cs="宋体"/>
                <w:i w:val="0"/>
                <w:color w:val="000000"/>
                <w:sz w:val="20"/>
                <w:szCs w:val="20"/>
                <w:u w:val="none"/>
              </w:rPr>
            </w:pPr>
          </w:p>
        </w:tc>
      </w:tr>
      <w:tr w14:paraId="6FDD0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0" w:hRule="atLeast"/>
        </w:trPr>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F3351C">
            <w:pPr>
              <w:jc w:val="center"/>
              <w:rPr>
                <w:rFonts w:hint="eastAsia" w:ascii="宋体" w:hAnsi="宋体" w:eastAsia="宋体" w:cs="宋体"/>
                <w:i w:val="0"/>
                <w:color w:val="000000"/>
                <w:sz w:val="20"/>
                <w:szCs w:val="20"/>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9DA025">
            <w:pPr>
              <w:jc w:val="center"/>
              <w:rPr>
                <w:rFonts w:hint="eastAsia" w:ascii="宋体" w:hAnsi="宋体" w:eastAsia="宋体" w:cs="宋体"/>
                <w:i w:val="0"/>
                <w:color w:val="000000"/>
                <w:sz w:val="20"/>
                <w:szCs w:val="20"/>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E2311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社会成本指标</w:t>
            </w:r>
          </w:p>
        </w:tc>
        <w:tc>
          <w:tcPr>
            <w:tcW w:w="283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7FC5D20">
            <w:pPr>
              <w:jc w:val="left"/>
              <w:rPr>
                <w:rFonts w:hint="eastAsia" w:ascii="宋体" w:hAnsi="宋体" w:eastAsia="宋体" w:cs="宋体"/>
                <w:i w:val="0"/>
                <w:color w:val="000000"/>
                <w:sz w:val="20"/>
                <w:szCs w:val="20"/>
                <w:u w:val="none"/>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ECCE29">
            <w:pPr>
              <w:jc w:val="center"/>
              <w:rPr>
                <w:rFonts w:hint="eastAsia" w:ascii="宋体" w:hAnsi="宋体" w:eastAsia="宋体" w:cs="宋体"/>
                <w:i w:val="0"/>
                <w:color w:val="000000"/>
                <w:sz w:val="20"/>
                <w:szCs w:val="20"/>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544249">
            <w:pPr>
              <w:jc w:val="center"/>
              <w:rPr>
                <w:rFonts w:hint="eastAsia" w:ascii="宋体" w:hAnsi="宋体" w:eastAsia="宋体" w:cs="宋体"/>
                <w:i w:val="0"/>
                <w:color w:val="000000"/>
                <w:sz w:val="20"/>
                <w:szCs w:val="20"/>
                <w:u w:val="none"/>
              </w:rPr>
            </w:pP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171070">
            <w:pPr>
              <w:jc w:val="center"/>
              <w:rPr>
                <w:rFonts w:hint="eastAsia" w:ascii="宋体" w:hAnsi="宋体" w:eastAsia="宋体" w:cs="宋体"/>
                <w:i w:val="0"/>
                <w:color w:val="000000"/>
                <w:sz w:val="20"/>
                <w:szCs w:val="20"/>
                <w:u w:val="none"/>
              </w:rPr>
            </w:pPr>
          </w:p>
        </w:tc>
        <w:tc>
          <w:tcPr>
            <w:tcW w:w="148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14033E">
            <w:pPr>
              <w:jc w:val="center"/>
              <w:rPr>
                <w:rFonts w:hint="eastAsia" w:ascii="宋体" w:hAnsi="宋体" w:eastAsia="宋体" w:cs="宋体"/>
                <w:i w:val="0"/>
                <w:color w:val="000000"/>
                <w:sz w:val="20"/>
                <w:szCs w:val="20"/>
                <w:u w:val="none"/>
              </w:rPr>
            </w:pP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0ED1EC">
            <w:pPr>
              <w:jc w:val="center"/>
              <w:rPr>
                <w:rFonts w:hint="eastAsia" w:ascii="宋体" w:hAnsi="宋体" w:eastAsia="宋体" w:cs="宋体"/>
                <w:i w:val="0"/>
                <w:color w:val="000000"/>
                <w:sz w:val="20"/>
                <w:szCs w:val="20"/>
                <w:u w:val="none"/>
              </w:rPr>
            </w:pPr>
          </w:p>
        </w:tc>
      </w:tr>
      <w:tr w14:paraId="086961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0" w:hRule="atLeast"/>
        </w:trPr>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2538B7">
            <w:pPr>
              <w:jc w:val="center"/>
              <w:rPr>
                <w:rFonts w:hint="eastAsia" w:ascii="宋体" w:hAnsi="宋体" w:eastAsia="宋体" w:cs="宋体"/>
                <w:i w:val="0"/>
                <w:color w:val="000000"/>
                <w:sz w:val="20"/>
                <w:szCs w:val="20"/>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1D1FD2">
            <w:pPr>
              <w:jc w:val="center"/>
              <w:rPr>
                <w:rFonts w:hint="eastAsia" w:ascii="宋体" w:hAnsi="宋体" w:eastAsia="宋体" w:cs="宋体"/>
                <w:i w:val="0"/>
                <w:color w:val="000000"/>
                <w:sz w:val="20"/>
                <w:szCs w:val="20"/>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A2EF5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生态环境成本指标</w:t>
            </w:r>
          </w:p>
        </w:tc>
        <w:tc>
          <w:tcPr>
            <w:tcW w:w="283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6645EE6">
            <w:pPr>
              <w:jc w:val="left"/>
              <w:rPr>
                <w:rFonts w:hint="eastAsia" w:ascii="宋体" w:hAnsi="宋体" w:eastAsia="宋体" w:cs="宋体"/>
                <w:i w:val="0"/>
                <w:color w:val="000000"/>
                <w:sz w:val="20"/>
                <w:szCs w:val="20"/>
                <w:u w:val="none"/>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0EF5B5">
            <w:pPr>
              <w:jc w:val="center"/>
              <w:rPr>
                <w:rFonts w:hint="eastAsia" w:ascii="宋体" w:hAnsi="宋体" w:eastAsia="宋体" w:cs="宋体"/>
                <w:i w:val="0"/>
                <w:color w:val="000000"/>
                <w:sz w:val="20"/>
                <w:szCs w:val="20"/>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41F621">
            <w:pPr>
              <w:jc w:val="center"/>
              <w:rPr>
                <w:rFonts w:hint="eastAsia" w:ascii="宋体" w:hAnsi="宋体" w:eastAsia="宋体" w:cs="宋体"/>
                <w:i w:val="0"/>
                <w:color w:val="000000"/>
                <w:sz w:val="20"/>
                <w:szCs w:val="20"/>
                <w:u w:val="none"/>
              </w:rPr>
            </w:pP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518613">
            <w:pPr>
              <w:jc w:val="center"/>
              <w:rPr>
                <w:rFonts w:hint="eastAsia" w:ascii="宋体" w:hAnsi="宋体" w:eastAsia="宋体" w:cs="宋体"/>
                <w:i w:val="0"/>
                <w:color w:val="000000"/>
                <w:sz w:val="20"/>
                <w:szCs w:val="20"/>
                <w:u w:val="none"/>
              </w:rPr>
            </w:pPr>
          </w:p>
        </w:tc>
        <w:tc>
          <w:tcPr>
            <w:tcW w:w="148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80EBFC">
            <w:pPr>
              <w:jc w:val="center"/>
              <w:rPr>
                <w:rFonts w:hint="eastAsia" w:ascii="宋体" w:hAnsi="宋体" w:eastAsia="宋体" w:cs="宋体"/>
                <w:i w:val="0"/>
                <w:color w:val="000000"/>
                <w:sz w:val="20"/>
                <w:szCs w:val="20"/>
                <w:u w:val="none"/>
              </w:rPr>
            </w:pP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7745E2">
            <w:pPr>
              <w:jc w:val="center"/>
              <w:rPr>
                <w:rFonts w:hint="eastAsia" w:ascii="宋体" w:hAnsi="宋体" w:eastAsia="宋体" w:cs="宋体"/>
                <w:i w:val="0"/>
                <w:color w:val="000000"/>
                <w:sz w:val="20"/>
                <w:szCs w:val="20"/>
                <w:u w:val="none"/>
              </w:rPr>
            </w:pPr>
          </w:p>
        </w:tc>
      </w:tr>
      <w:tr w14:paraId="7D5575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0" w:hRule="atLeast"/>
        </w:trPr>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1FC8D7">
            <w:pPr>
              <w:jc w:val="center"/>
              <w:rPr>
                <w:rFonts w:hint="eastAsia" w:ascii="宋体" w:hAnsi="宋体" w:eastAsia="宋体" w:cs="宋体"/>
                <w:i w:val="0"/>
                <w:color w:val="000000"/>
                <w:sz w:val="20"/>
                <w:szCs w:val="20"/>
                <w:u w:val="none"/>
              </w:rPr>
            </w:pPr>
          </w:p>
        </w:tc>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5C616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10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50980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经济效益指标</w:t>
            </w:r>
          </w:p>
        </w:tc>
        <w:tc>
          <w:tcPr>
            <w:tcW w:w="283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D5C04DC">
            <w:pPr>
              <w:jc w:val="left"/>
              <w:rPr>
                <w:rFonts w:hint="eastAsia" w:ascii="宋体" w:hAnsi="宋体" w:eastAsia="宋体" w:cs="宋体"/>
                <w:i w:val="0"/>
                <w:color w:val="000000"/>
                <w:sz w:val="20"/>
                <w:szCs w:val="20"/>
                <w:u w:val="none"/>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5760C4">
            <w:pPr>
              <w:jc w:val="center"/>
              <w:rPr>
                <w:rFonts w:hint="eastAsia" w:ascii="宋体" w:hAnsi="宋体" w:eastAsia="宋体" w:cs="宋体"/>
                <w:i w:val="0"/>
                <w:color w:val="000000"/>
                <w:sz w:val="20"/>
                <w:szCs w:val="20"/>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A42B48">
            <w:pPr>
              <w:jc w:val="center"/>
              <w:rPr>
                <w:rFonts w:hint="eastAsia" w:ascii="宋体" w:hAnsi="宋体" w:eastAsia="宋体" w:cs="宋体"/>
                <w:i w:val="0"/>
                <w:color w:val="000000"/>
                <w:sz w:val="20"/>
                <w:szCs w:val="20"/>
                <w:u w:val="none"/>
              </w:rPr>
            </w:pP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991B8">
            <w:pPr>
              <w:jc w:val="center"/>
              <w:rPr>
                <w:rFonts w:hint="eastAsia" w:ascii="宋体" w:hAnsi="宋体" w:eastAsia="宋体" w:cs="宋体"/>
                <w:i w:val="0"/>
                <w:color w:val="000000"/>
                <w:sz w:val="20"/>
                <w:szCs w:val="20"/>
                <w:u w:val="none"/>
              </w:rPr>
            </w:pPr>
          </w:p>
        </w:tc>
        <w:tc>
          <w:tcPr>
            <w:tcW w:w="148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205ABC">
            <w:pPr>
              <w:jc w:val="center"/>
              <w:rPr>
                <w:rFonts w:hint="eastAsia" w:ascii="宋体" w:hAnsi="宋体" w:eastAsia="宋体" w:cs="宋体"/>
                <w:i w:val="0"/>
                <w:color w:val="000000"/>
                <w:sz w:val="20"/>
                <w:szCs w:val="20"/>
                <w:u w:val="none"/>
              </w:rPr>
            </w:pP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4182CC">
            <w:pPr>
              <w:jc w:val="center"/>
              <w:rPr>
                <w:rFonts w:hint="eastAsia" w:ascii="宋体" w:hAnsi="宋体" w:eastAsia="宋体" w:cs="宋体"/>
                <w:i w:val="0"/>
                <w:color w:val="000000"/>
                <w:sz w:val="20"/>
                <w:szCs w:val="20"/>
                <w:u w:val="none"/>
              </w:rPr>
            </w:pPr>
          </w:p>
        </w:tc>
      </w:tr>
      <w:tr w14:paraId="4823FF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trPr>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F0C93D">
            <w:pPr>
              <w:jc w:val="center"/>
              <w:rPr>
                <w:rFonts w:hint="eastAsia" w:ascii="宋体" w:hAnsi="宋体" w:eastAsia="宋体" w:cs="宋体"/>
                <w:i w:val="0"/>
                <w:color w:val="000000"/>
                <w:sz w:val="20"/>
                <w:szCs w:val="20"/>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82C97A">
            <w:pPr>
              <w:jc w:val="center"/>
              <w:rPr>
                <w:rFonts w:hint="eastAsia" w:ascii="宋体" w:hAnsi="宋体" w:eastAsia="宋体" w:cs="宋体"/>
                <w:i w:val="0"/>
                <w:color w:val="000000"/>
                <w:sz w:val="20"/>
                <w:szCs w:val="20"/>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7F5FD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283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20C9DC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提升群众防病保健康意识</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3AAD4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有效提升</w:t>
            </w:r>
          </w:p>
        </w:tc>
        <w:tc>
          <w:tcPr>
            <w:tcW w:w="13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B739A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有效提升</w:t>
            </w: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A843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48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D661C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31C633">
            <w:pPr>
              <w:jc w:val="center"/>
              <w:rPr>
                <w:rFonts w:hint="eastAsia" w:ascii="宋体" w:hAnsi="宋体" w:eastAsia="宋体" w:cs="宋体"/>
                <w:i w:val="0"/>
                <w:color w:val="000000"/>
                <w:sz w:val="20"/>
                <w:szCs w:val="20"/>
                <w:u w:val="none"/>
              </w:rPr>
            </w:pPr>
          </w:p>
        </w:tc>
      </w:tr>
      <w:tr w14:paraId="4BEEBD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trPr>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EE6D04">
            <w:pPr>
              <w:jc w:val="center"/>
              <w:rPr>
                <w:rFonts w:hint="eastAsia" w:ascii="宋体" w:hAnsi="宋体" w:eastAsia="宋体" w:cs="宋体"/>
                <w:i w:val="0"/>
                <w:color w:val="000000"/>
                <w:sz w:val="20"/>
                <w:szCs w:val="20"/>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3AB7BD">
            <w:pPr>
              <w:jc w:val="center"/>
              <w:rPr>
                <w:rFonts w:hint="eastAsia" w:ascii="宋体" w:hAnsi="宋体" w:eastAsia="宋体" w:cs="宋体"/>
                <w:i w:val="0"/>
                <w:color w:val="000000"/>
                <w:sz w:val="20"/>
                <w:szCs w:val="20"/>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D339B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生态效益指标</w:t>
            </w:r>
          </w:p>
        </w:tc>
        <w:tc>
          <w:tcPr>
            <w:tcW w:w="283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C8B964A">
            <w:pPr>
              <w:jc w:val="left"/>
              <w:rPr>
                <w:rFonts w:hint="eastAsia" w:ascii="宋体" w:hAnsi="宋体" w:eastAsia="宋体" w:cs="宋体"/>
                <w:i w:val="0"/>
                <w:color w:val="000000"/>
                <w:sz w:val="20"/>
                <w:szCs w:val="20"/>
                <w:u w:val="none"/>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6D7A3E">
            <w:pPr>
              <w:jc w:val="center"/>
              <w:rPr>
                <w:rFonts w:hint="eastAsia" w:ascii="宋体" w:hAnsi="宋体" w:eastAsia="宋体" w:cs="宋体"/>
                <w:i w:val="0"/>
                <w:color w:val="000000"/>
                <w:sz w:val="20"/>
                <w:szCs w:val="20"/>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0D3128">
            <w:pPr>
              <w:jc w:val="center"/>
              <w:rPr>
                <w:rFonts w:hint="eastAsia" w:ascii="宋体" w:hAnsi="宋体" w:eastAsia="宋体" w:cs="宋体"/>
                <w:i w:val="0"/>
                <w:color w:val="000000"/>
                <w:sz w:val="20"/>
                <w:szCs w:val="20"/>
                <w:u w:val="none"/>
              </w:rPr>
            </w:pP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41C480">
            <w:pPr>
              <w:jc w:val="center"/>
              <w:rPr>
                <w:rFonts w:hint="eastAsia" w:ascii="宋体" w:hAnsi="宋体" w:eastAsia="宋体" w:cs="宋体"/>
                <w:i w:val="0"/>
                <w:color w:val="000000"/>
                <w:sz w:val="20"/>
                <w:szCs w:val="20"/>
                <w:u w:val="none"/>
              </w:rPr>
            </w:pPr>
          </w:p>
        </w:tc>
        <w:tc>
          <w:tcPr>
            <w:tcW w:w="148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279298">
            <w:pPr>
              <w:jc w:val="center"/>
              <w:rPr>
                <w:rFonts w:hint="eastAsia" w:ascii="宋体" w:hAnsi="宋体" w:eastAsia="宋体" w:cs="宋体"/>
                <w:i w:val="0"/>
                <w:color w:val="000000"/>
                <w:sz w:val="20"/>
                <w:szCs w:val="20"/>
                <w:u w:val="none"/>
              </w:rPr>
            </w:pP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02BF8A">
            <w:pPr>
              <w:jc w:val="center"/>
              <w:rPr>
                <w:rFonts w:hint="eastAsia" w:ascii="宋体" w:hAnsi="宋体" w:eastAsia="宋体" w:cs="宋体"/>
                <w:i w:val="0"/>
                <w:color w:val="000000"/>
                <w:sz w:val="20"/>
                <w:szCs w:val="20"/>
                <w:u w:val="none"/>
              </w:rPr>
            </w:pPr>
          </w:p>
        </w:tc>
      </w:tr>
      <w:tr w14:paraId="4F3E99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0" w:hRule="atLeast"/>
        </w:trPr>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F41DA0">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A59DD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8AB4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283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28B491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目标人群满意度</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8F64C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13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8661A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=90%</w:t>
            </w: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9D76D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48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FF28B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4D728F">
            <w:pPr>
              <w:jc w:val="center"/>
              <w:rPr>
                <w:rFonts w:hint="eastAsia" w:ascii="宋体" w:hAnsi="宋体" w:eastAsia="宋体" w:cs="宋体"/>
                <w:i w:val="0"/>
                <w:color w:val="000000"/>
                <w:sz w:val="20"/>
                <w:szCs w:val="20"/>
                <w:u w:val="none"/>
              </w:rPr>
            </w:pPr>
          </w:p>
        </w:tc>
      </w:tr>
      <w:tr w14:paraId="231E1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8843"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3D11B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总分</w:t>
            </w: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D1E16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48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1B066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100.00分</w:t>
            </w: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4713C9">
            <w:pPr>
              <w:jc w:val="center"/>
              <w:rPr>
                <w:rFonts w:hint="eastAsia" w:ascii="宋体" w:hAnsi="宋体" w:eastAsia="宋体" w:cs="宋体"/>
                <w:i w:val="0"/>
                <w:color w:val="000000"/>
                <w:sz w:val="20"/>
                <w:szCs w:val="20"/>
                <w:u w:val="none"/>
              </w:rPr>
            </w:pPr>
          </w:p>
        </w:tc>
      </w:tr>
    </w:tbl>
    <w:p w14:paraId="7FBEE780">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7CB914C1">
        <w:pPr>
          <w:pStyle w:val="7"/>
          <w:jc w:val="center"/>
        </w:pPr>
        <w:r>
          <w:fldChar w:fldCharType="begin"/>
        </w:r>
        <w:r>
          <w:instrText xml:space="preserve">PAGE   \* MERGEFORMAT</w:instrText>
        </w:r>
        <w:r>
          <w:fldChar w:fldCharType="separate"/>
        </w:r>
        <w:r>
          <w:rPr>
            <w:lang w:val="zh-CN"/>
          </w:rPr>
          <w:t>13</w:t>
        </w:r>
        <w:r>
          <w:fldChar w:fldCharType="end"/>
        </w:r>
      </w:p>
    </w:sdtContent>
  </w:sdt>
  <w:p w14:paraId="06686807">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510197"/>
    <w:rsid w:val="026D5D13"/>
    <w:rsid w:val="027308D1"/>
    <w:rsid w:val="029D18FE"/>
    <w:rsid w:val="03840726"/>
    <w:rsid w:val="03AD56FF"/>
    <w:rsid w:val="03EC461B"/>
    <w:rsid w:val="03FB4811"/>
    <w:rsid w:val="060E19A1"/>
    <w:rsid w:val="071A5591"/>
    <w:rsid w:val="071F3F12"/>
    <w:rsid w:val="07397B77"/>
    <w:rsid w:val="07887F98"/>
    <w:rsid w:val="07A47C69"/>
    <w:rsid w:val="093459C2"/>
    <w:rsid w:val="098A070D"/>
    <w:rsid w:val="09921A8F"/>
    <w:rsid w:val="0AD007F3"/>
    <w:rsid w:val="0AF31A6F"/>
    <w:rsid w:val="0B66288D"/>
    <w:rsid w:val="0C086893"/>
    <w:rsid w:val="0D082A6E"/>
    <w:rsid w:val="0E3C619F"/>
    <w:rsid w:val="0EB208CB"/>
    <w:rsid w:val="0EBE37B1"/>
    <w:rsid w:val="0F6273CA"/>
    <w:rsid w:val="0FD414BD"/>
    <w:rsid w:val="100F38EC"/>
    <w:rsid w:val="1055071F"/>
    <w:rsid w:val="1080687F"/>
    <w:rsid w:val="10850BEB"/>
    <w:rsid w:val="11170296"/>
    <w:rsid w:val="113E18FB"/>
    <w:rsid w:val="1197088D"/>
    <w:rsid w:val="11C23522"/>
    <w:rsid w:val="1236294E"/>
    <w:rsid w:val="12C66037"/>
    <w:rsid w:val="12CD1ABC"/>
    <w:rsid w:val="13471461"/>
    <w:rsid w:val="138870D7"/>
    <w:rsid w:val="13B90F01"/>
    <w:rsid w:val="141F7B1A"/>
    <w:rsid w:val="15065161"/>
    <w:rsid w:val="151925FB"/>
    <w:rsid w:val="155E4C4D"/>
    <w:rsid w:val="167A3C2E"/>
    <w:rsid w:val="17036D97"/>
    <w:rsid w:val="17116635"/>
    <w:rsid w:val="173203B3"/>
    <w:rsid w:val="17796A37"/>
    <w:rsid w:val="17F42FA6"/>
    <w:rsid w:val="181066D2"/>
    <w:rsid w:val="198520D9"/>
    <w:rsid w:val="19E02B48"/>
    <w:rsid w:val="1A573C08"/>
    <w:rsid w:val="1B8925C1"/>
    <w:rsid w:val="1BB4382D"/>
    <w:rsid w:val="1C057453"/>
    <w:rsid w:val="1C671E73"/>
    <w:rsid w:val="1D322C47"/>
    <w:rsid w:val="1DBD2783"/>
    <w:rsid w:val="1DC72B83"/>
    <w:rsid w:val="1DCA53AD"/>
    <w:rsid w:val="1FB07E39"/>
    <w:rsid w:val="221A2D9D"/>
    <w:rsid w:val="22290DFD"/>
    <w:rsid w:val="229D3D9F"/>
    <w:rsid w:val="23616034"/>
    <w:rsid w:val="23696C97"/>
    <w:rsid w:val="24480FA2"/>
    <w:rsid w:val="246D5E0C"/>
    <w:rsid w:val="25227A45"/>
    <w:rsid w:val="26AC3A6A"/>
    <w:rsid w:val="26B32958"/>
    <w:rsid w:val="27613973"/>
    <w:rsid w:val="28D640C0"/>
    <w:rsid w:val="290278F8"/>
    <w:rsid w:val="292C13E6"/>
    <w:rsid w:val="2938369B"/>
    <w:rsid w:val="29D41720"/>
    <w:rsid w:val="2B9D7E25"/>
    <w:rsid w:val="2C520739"/>
    <w:rsid w:val="2C73307A"/>
    <w:rsid w:val="2C7C7A3B"/>
    <w:rsid w:val="2CAD7707"/>
    <w:rsid w:val="2D7F0129"/>
    <w:rsid w:val="2E2F16E8"/>
    <w:rsid w:val="2F0D2875"/>
    <w:rsid w:val="2F251EE7"/>
    <w:rsid w:val="2F364819"/>
    <w:rsid w:val="2F5A2847"/>
    <w:rsid w:val="2FD63906"/>
    <w:rsid w:val="301860A5"/>
    <w:rsid w:val="30F41420"/>
    <w:rsid w:val="33360AF7"/>
    <w:rsid w:val="33583B36"/>
    <w:rsid w:val="33BD4B5B"/>
    <w:rsid w:val="33F60224"/>
    <w:rsid w:val="346E228E"/>
    <w:rsid w:val="34DC0153"/>
    <w:rsid w:val="351F4CC9"/>
    <w:rsid w:val="36492EF5"/>
    <w:rsid w:val="368A07E1"/>
    <w:rsid w:val="37215DAE"/>
    <w:rsid w:val="37825413"/>
    <w:rsid w:val="37AC6B8C"/>
    <w:rsid w:val="38C35F7C"/>
    <w:rsid w:val="38CA40DD"/>
    <w:rsid w:val="38CC4D29"/>
    <w:rsid w:val="38CC7392"/>
    <w:rsid w:val="39126F81"/>
    <w:rsid w:val="39236D76"/>
    <w:rsid w:val="395F2B56"/>
    <w:rsid w:val="3A1C7BB8"/>
    <w:rsid w:val="3A813532"/>
    <w:rsid w:val="3AE54F0C"/>
    <w:rsid w:val="3B482032"/>
    <w:rsid w:val="3B944CEF"/>
    <w:rsid w:val="3BBA0580"/>
    <w:rsid w:val="3BECE841"/>
    <w:rsid w:val="3CDE204C"/>
    <w:rsid w:val="3D363C36"/>
    <w:rsid w:val="3D445ADD"/>
    <w:rsid w:val="3D6903DC"/>
    <w:rsid w:val="3DC33335"/>
    <w:rsid w:val="3DE33AC7"/>
    <w:rsid w:val="3E046F09"/>
    <w:rsid w:val="3E9C3F6D"/>
    <w:rsid w:val="3FF7797D"/>
    <w:rsid w:val="4055050E"/>
    <w:rsid w:val="40A63086"/>
    <w:rsid w:val="416314EB"/>
    <w:rsid w:val="4167171F"/>
    <w:rsid w:val="41872B1A"/>
    <w:rsid w:val="42F16CBA"/>
    <w:rsid w:val="449A547D"/>
    <w:rsid w:val="44FC29D3"/>
    <w:rsid w:val="46690BD8"/>
    <w:rsid w:val="477703DF"/>
    <w:rsid w:val="49F70BF1"/>
    <w:rsid w:val="4A653284"/>
    <w:rsid w:val="4A683124"/>
    <w:rsid w:val="4B4340EE"/>
    <w:rsid w:val="4BCD1A71"/>
    <w:rsid w:val="4CA562B0"/>
    <w:rsid w:val="4D473765"/>
    <w:rsid w:val="503D507A"/>
    <w:rsid w:val="51D21B7B"/>
    <w:rsid w:val="51FA74D0"/>
    <w:rsid w:val="52AA4A52"/>
    <w:rsid w:val="52D30FD8"/>
    <w:rsid w:val="53644591"/>
    <w:rsid w:val="539D3AD1"/>
    <w:rsid w:val="544577C9"/>
    <w:rsid w:val="54827E54"/>
    <w:rsid w:val="55CC557B"/>
    <w:rsid w:val="563263B8"/>
    <w:rsid w:val="56FE1B83"/>
    <w:rsid w:val="5709188F"/>
    <w:rsid w:val="58DA6DE7"/>
    <w:rsid w:val="58E95759"/>
    <w:rsid w:val="59161677"/>
    <w:rsid w:val="59943D66"/>
    <w:rsid w:val="59CA6781"/>
    <w:rsid w:val="59DE33D5"/>
    <w:rsid w:val="59E051FD"/>
    <w:rsid w:val="59E6355E"/>
    <w:rsid w:val="5B7637B7"/>
    <w:rsid w:val="5B7A7E47"/>
    <w:rsid w:val="5B821531"/>
    <w:rsid w:val="5BFF6039"/>
    <w:rsid w:val="5C2C4071"/>
    <w:rsid w:val="5C912CCF"/>
    <w:rsid w:val="5CC316EC"/>
    <w:rsid w:val="5D76A616"/>
    <w:rsid w:val="5D7F20B9"/>
    <w:rsid w:val="5DAC7D0E"/>
    <w:rsid w:val="5F3475DA"/>
    <w:rsid w:val="5F98B5AF"/>
    <w:rsid w:val="5FFE8511"/>
    <w:rsid w:val="5FFEACE2"/>
    <w:rsid w:val="609D5BF6"/>
    <w:rsid w:val="60D21A6C"/>
    <w:rsid w:val="61073070"/>
    <w:rsid w:val="610A1B19"/>
    <w:rsid w:val="61B9080E"/>
    <w:rsid w:val="61DF3FED"/>
    <w:rsid w:val="625B0BD3"/>
    <w:rsid w:val="62606CE8"/>
    <w:rsid w:val="62636437"/>
    <w:rsid w:val="62C97CA3"/>
    <w:rsid w:val="62D4615F"/>
    <w:rsid w:val="642B176B"/>
    <w:rsid w:val="643EE26D"/>
    <w:rsid w:val="64611F21"/>
    <w:rsid w:val="656019A0"/>
    <w:rsid w:val="657F7471"/>
    <w:rsid w:val="65F242EE"/>
    <w:rsid w:val="66067102"/>
    <w:rsid w:val="66150686"/>
    <w:rsid w:val="666D7E19"/>
    <w:rsid w:val="67BD0AA5"/>
    <w:rsid w:val="68376930"/>
    <w:rsid w:val="68EC66BA"/>
    <w:rsid w:val="68F91E38"/>
    <w:rsid w:val="69527756"/>
    <w:rsid w:val="698D2AB0"/>
    <w:rsid w:val="6A54583C"/>
    <w:rsid w:val="6A621C91"/>
    <w:rsid w:val="6B0410E5"/>
    <w:rsid w:val="6B3158B9"/>
    <w:rsid w:val="6B6F46A2"/>
    <w:rsid w:val="6B8C3EF9"/>
    <w:rsid w:val="6BA02A3F"/>
    <w:rsid w:val="6C105349"/>
    <w:rsid w:val="6C1E5A53"/>
    <w:rsid w:val="6D0D5CB9"/>
    <w:rsid w:val="6D360E41"/>
    <w:rsid w:val="6D792BC7"/>
    <w:rsid w:val="6DC62A25"/>
    <w:rsid w:val="6DF112E9"/>
    <w:rsid w:val="6E1870FB"/>
    <w:rsid w:val="6E213B40"/>
    <w:rsid w:val="6E694D8C"/>
    <w:rsid w:val="6EFF5225"/>
    <w:rsid w:val="6F386EAF"/>
    <w:rsid w:val="6F5C41AC"/>
    <w:rsid w:val="6FA25B56"/>
    <w:rsid w:val="6FAF6C78"/>
    <w:rsid w:val="6FFB08BF"/>
    <w:rsid w:val="716167CC"/>
    <w:rsid w:val="71870391"/>
    <w:rsid w:val="718A7AD1"/>
    <w:rsid w:val="719A6AD2"/>
    <w:rsid w:val="71D90A58"/>
    <w:rsid w:val="71FF19E4"/>
    <w:rsid w:val="72A44BC2"/>
    <w:rsid w:val="7317C656"/>
    <w:rsid w:val="734ED73F"/>
    <w:rsid w:val="735138C0"/>
    <w:rsid w:val="73C82B32"/>
    <w:rsid w:val="73F94DAE"/>
    <w:rsid w:val="74220495"/>
    <w:rsid w:val="747D1B6F"/>
    <w:rsid w:val="749E5641"/>
    <w:rsid w:val="74BC5825"/>
    <w:rsid w:val="75082C23"/>
    <w:rsid w:val="757F2B0A"/>
    <w:rsid w:val="75B34B0B"/>
    <w:rsid w:val="76191FEF"/>
    <w:rsid w:val="76271066"/>
    <w:rsid w:val="76516866"/>
    <w:rsid w:val="76B218E8"/>
    <w:rsid w:val="775E7533"/>
    <w:rsid w:val="77CA5D3A"/>
    <w:rsid w:val="77FD8BE9"/>
    <w:rsid w:val="78000AED"/>
    <w:rsid w:val="78036054"/>
    <w:rsid w:val="7853104D"/>
    <w:rsid w:val="78E44915"/>
    <w:rsid w:val="78F56FC2"/>
    <w:rsid w:val="79A9BD3F"/>
    <w:rsid w:val="7AC5270E"/>
    <w:rsid w:val="7B776F12"/>
    <w:rsid w:val="7BFFFDD0"/>
    <w:rsid w:val="7C0C3A4D"/>
    <w:rsid w:val="7C336E5F"/>
    <w:rsid w:val="7C8D4919"/>
    <w:rsid w:val="7CA869C0"/>
    <w:rsid w:val="7D7A5F86"/>
    <w:rsid w:val="7E4B683A"/>
    <w:rsid w:val="7E5E656D"/>
    <w:rsid w:val="7E8F2BCB"/>
    <w:rsid w:val="7EC81E4E"/>
    <w:rsid w:val="7F1E3A86"/>
    <w:rsid w:val="7F37BB4E"/>
    <w:rsid w:val="7F586B94"/>
    <w:rsid w:val="7FE42FCB"/>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 w:type="character" w:customStyle="1" w:styleId="24">
    <w:name w:val="20"/>
    <w:basedOn w:val="15"/>
    <w:qFormat/>
    <w:uiPriority w:val="0"/>
    <w:rPr>
      <w:rFonts w:hint="default" w:ascii="Times New Roman" w:eastAsia="楷体_GB2312" w:cs="楷体_GB2312"/>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29</Pages>
  <Words>119</Words>
  <Characters>133</Characters>
  <Lines>58</Lines>
  <Paragraphs>16</Paragraphs>
  <TotalTime>7</TotalTime>
  <ScaleCrop>false</ScaleCrop>
  <LinksUpToDate>false</LinksUpToDate>
  <CharactersWithSpaces>133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cp:lastModifiedBy>
  <dcterms:modified xsi:type="dcterms:W3CDTF">2025-05-09T08:21:38Z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A075C2AEC1C54D1693797747003CB0A9_13</vt:lpwstr>
  </property>
  <property fmtid="{D5CDD505-2E9C-101B-9397-08002B2CF9AE}" pid="4" name="KSOTemplateDocerSaveRecord">
    <vt:lpwstr>eyJoZGlkIjoiZGU2OWVkNjVhNTc2NTNjNjZhOGJlZWQ2NTc3Njc5NGQiLCJ1c2VySWQiOiIzODQzMzMyOTcifQ==</vt:lpwstr>
  </property>
</Properties>
</file>