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BCC4E">
      <w:pPr>
        <w:spacing w:line="540" w:lineRule="exact"/>
        <w:jc w:val="center"/>
        <w:rPr>
          <w:rFonts w:hint="default" w:ascii="Times New Roman" w:hAnsi="Times New Roman" w:eastAsia="华文中宋" w:cs="Times New Roman"/>
          <w:b/>
          <w:kern w:val="0"/>
          <w:sz w:val="32"/>
          <w:szCs w:val="32"/>
        </w:rPr>
      </w:pPr>
    </w:p>
    <w:p w14:paraId="72BD373A">
      <w:pPr>
        <w:spacing w:line="540" w:lineRule="exact"/>
        <w:rPr>
          <w:rFonts w:hint="default" w:ascii="Times New Roman" w:hAnsi="Times New Roman" w:eastAsia="华文中宋" w:cs="Times New Roman"/>
          <w:b/>
          <w:kern w:val="0"/>
          <w:sz w:val="32"/>
          <w:szCs w:val="32"/>
        </w:rPr>
      </w:pPr>
    </w:p>
    <w:p w14:paraId="30DC96B9">
      <w:pPr>
        <w:spacing w:line="540" w:lineRule="exact"/>
        <w:jc w:val="center"/>
        <w:rPr>
          <w:rFonts w:hint="default" w:ascii="Times New Roman" w:hAnsi="Times New Roman" w:eastAsia="华文中宋" w:cs="Times New Roman"/>
          <w:b/>
          <w:kern w:val="0"/>
          <w:sz w:val="32"/>
          <w:szCs w:val="32"/>
        </w:rPr>
      </w:pPr>
    </w:p>
    <w:p w14:paraId="70A76BEC">
      <w:pPr>
        <w:spacing w:line="540" w:lineRule="exact"/>
        <w:jc w:val="center"/>
        <w:rPr>
          <w:rFonts w:hint="default" w:ascii="Times New Roman" w:hAnsi="Times New Roman" w:eastAsia="华文中宋" w:cs="Times New Roman"/>
          <w:b/>
          <w:kern w:val="0"/>
          <w:sz w:val="32"/>
          <w:szCs w:val="32"/>
        </w:rPr>
      </w:pPr>
    </w:p>
    <w:p w14:paraId="5B80C76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奇财建【2024】119号 关于拨付江布拉克景区管委会开展私搭乱建拆除专项工作资金的通知项目支出绩效评价报告</w:t>
      </w:r>
    </w:p>
    <w:p w14:paraId="4CBBC077">
      <w:pPr>
        <w:spacing w:line="540" w:lineRule="exact"/>
        <w:jc w:val="center"/>
        <w:rPr>
          <w:rFonts w:hint="default" w:ascii="Times New Roman" w:hAnsi="Times New Roman" w:eastAsia="方正小标宋_GBK" w:cs="Times New Roman"/>
          <w:kern w:val="0"/>
          <w:sz w:val="48"/>
          <w:szCs w:val="48"/>
        </w:rPr>
      </w:pPr>
    </w:p>
    <w:p w14:paraId="40F274EA">
      <w:pPr>
        <w:spacing w:line="54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年度）</w:t>
      </w:r>
    </w:p>
    <w:p w14:paraId="0D58FC1D">
      <w:pPr>
        <w:spacing w:line="540" w:lineRule="exact"/>
        <w:jc w:val="center"/>
        <w:rPr>
          <w:rFonts w:hint="default" w:ascii="Times New Roman" w:hAnsi="Times New Roman" w:eastAsia="仿宋_GB2312" w:cs="Times New Roman"/>
          <w:kern w:val="0"/>
          <w:sz w:val="32"/>
          <w:szCs w:val="32"/>
        </w:rPr>
      </w:pPr>
    </w:p>
    <w:p w14:paraId="4118DF93">
      <w:pPr>
        <w:spacing w:line="540" w:lineRule="exact"/>
        <w:jc w:val="center"/>
        <w:rPr>
          <w:rFonts w:hint="default" w:ascii="Times New Roman" w:hAnsi="Times New Roman" w:eastAsia="仿宋_GB2312" w:cs="Times New Roman"/>
          <w:kern w:val="0"/>
          <w:sz w:val="32"/>
          <w:szCs w:val="32"/>
        </w:rPr>
      </w:pPr>
    </w:p>
    <w:p w14:paraId="2B84741B">
      <w:pPr>
        <w:spacing w:line="540" w:lineRule="exact"/>
        <w:jc w:val="both"/>
        <w:rPr>
          <w:rFonts w:hint="default" w:ascii="Times New Roman" w:hAnsi="Times New Roman" w:eastAsia="仿宋_GB2312" w:cs="Times New Roman"/>
          <w:kern w:val="0"/>
          <w:sz w:val="32"/>
          <w:szCs w:val="32"/>
        </w:rPr>
      </w:pPr>
    </w:p>
    <w:p w14:paraId="35816DC5">
      <w:pPr>
        <w:spacing w:line="540" w:lineRule="exact"/>
        <w:rPr>
          <w:rFonts w:hint="default" w:ascii="Times New Roman" w:hAnsi="Times New Roman" w:eastAsia="仿宋_GB2312" w:cs="Times New Roman"/>
          <w:kern w:val="0"/>
          <w:sz w:val="32"/>
          <w:szCs w:val="32"/>
        </w:rPr>
      </w:pPr>
    </w:p>
    <w:p w14:paraId="7115B0FF">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项目名称：奇财建【2024】119号 关于拨付江布拉克景区管委会开展私搭乱建拆除专项工作资金的通知</w:t>
      </w:r>
    </w:p>
    <w:p w14:paraId="3D2E8342">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奇台县江布拉克景区管理委员会</w:t>
      </w:r>
    </w:p>
    <w:p w14:paraId="42EB4CA1">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奇台县江布拉克景区管理委员会</w:t>
      </w:r>
    </w:p>
    <w:p w14:paraId="4DE055F1">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王宏伟</w:t>
      </w:r>
    </w:p>
    <w:p w14:paraId="22F6ACCB">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4月29</w:t>
      </w:r>
      <w:r>
        <w:rPr>
          <w:rFonts w:hint="default" w:ascii="Times New Roman" w:hAnsi="Times New Roman" w:eastAsia="仿宋_GB2312" w:cs="Times New Roman"/>
          <w:kern w:val="0"/>
          <w:sz w:val="36"/>
          <w:szCs w:val="36"/>
        </w:rPr>
        <w:t>日</w:t>
      </w:r>
    </w:p>
    <w:p w14:paraId="1E0C2E77">
      <w:pPr>
        <w:spacing w:line="540" w:lineRule="exact"/>
        <w:jc w:val="center"/>
        <w:rPr>
          <w:rFonts w:hint="default" w:ascii="Times New Roman" w:hAnsi="Times New Roman" w:eastAsia="仿宋_GB2312" w:cs="Times New Roman"/>
          <w:kern w:val="0"/>
          <w:sz w:val="36"/>
          <w:szCs w:val="36"/>
        </w:rPr>
      </w:pPr>
    </w:p>
    <w:p w14:paraId="13BCE634">
      <w:pPr>
        <w:spacing w:line="560" w:lineRule="exact"/>
        <w:rPr>
          <w:rFonts w:hint="default" w:ascii="Times New Roman" w:hAnsi="Times New Roman" w:eastAsia="黑体" w:cs="Times New Roman"/>
          <w:bCs/>
          <w:sz w:val="36"/>
          <w:szCs w:val="36"/>
        </w:rPr>
        <w:sectPr>
          <w:pgSz w:w="11906" w:h="16838"/>
          <w:pgMar w:top="1440" w:right="1558" w:bottom="1440" w:left="1800" w:header="851" w:footer="992" w:gutter="0"/>
          <w:cols w:space="425" w:num="1"/>
          <w:docGrid w:type="lines" w:linePitch="312" w:charSpace="0"/>
        </w:sectPr>
      </w:pPr>
    </w:p>
    <w:p w14:paraId="27B8BD6A">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566784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C75BD1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2A97353">
      <w:pPr>
        <w:pStyle w:val="10"/>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根据奇江管委【2024】14号文件精神及江布拉克景区私搭乱建拆除工作方案，为保护江布拉克景区的自然和人文环境，确保资源可持续利用。全县各单位抽调37名干部组成联合执法组对景区内167处违规建筑进行专项</w:t>
      </w:r>
      <w:r>
        <w:rPr>
          <w:rFonts w:hint="eastAsia" w:ascii="Times New Roman" w:hAnsi="Times New Roman" w:eastAsia="仿宋_GB2312" w:cs="Times New Roman"/>
          <w:b w:val="0"/>
          <w:bCs w:val="0"/>
          <w:kern w:val="2"/>
          <w:sz w:val="32"/>
          <w:szCs w:val="32"/>
          <w:highlight w:val="none"/>
          <w:lang w:val="en-US" w:eastAsia="zh-CN" w:bidi="ar-SA"/>
        </w:rPr>
        <w:t>排查拆除</w:t>
      </w:r>
      <w:r>
        <w:rPr>
          <w:rFonts w:hint="default" w:ascii="Times New Roman" w:hAnsi="Times New Roman" w:eastAsia="仿宋_GB2312" w:cs="Times New Roman"/>
          <w:b w:val="0"/>
          <w:bCs w:val="0"/>
          <w:kern w:val="2"/>
          <w:sz w:val="32"/>
          <w:szCs w:val="32"/>
          <w:highlight w:val="none"/>
          <w:lang w:val="en-US" w:eastAsia="zh-CN" w:bidi="ar-SA"/>
        </w:rPr>
        <w:t>工作，坚决打击违法建设行为，有效遏制景区内违法建筑蔓延势头</w:t>
      </w:r>
      <w:r>
        <w:rPr>
          <w:rFonts w:hint="eastAsia" w:ascii="Times New Roman" w:hAnsi="Times New Roman" w:eastAsia="仿宋_GB2312" w:cs="Times New Roman"/>
          <w:b w:val="0"/>
          <w:bCs w:val="0"/>
          <w:kern w:val="2"/>
          <w:sz w:val="32"/>
          <w:szCs w:val="32"/>
          <w:highlight w:val="none"/>
          <w:lang w:val="en-US" w:eastAsia="zh-CN" w:bidi="ar-SA"/>
        </w:rPr>
        <w:t>。</w:t>
      </w:r>
    </w:p>
    <w:p w14:paraId="531B388D">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2.</w:t>
      </w:r>
      <w:r>
        <w:rPr>
          <w:rFonts w:hint="default" w:ascii="Times New Roman" w:hAnsi="Times New Roman" w:eastAsia="仿宋_GB2312" w:cs="Times New Roman"/>
          <w:kern w:val="2"/>
          <w:sz w:val="32"/>
          <w:szCs w:val="32"/>
        </w:rPr>
        <w:t>项目主要内容：</w:t>
      </w:r>
    </w:p>
    <w:p w14:paraId="166FCA08">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sz w:val="32"/>
          <w:szCs w:val="32"/>
          <w:highlight w:val="none"/>
          <w:lang w:val="en-US" w:eastAsia="zh-CN"/>
        </w:rPr>
        <w:t>项目主要内容：</w:t>
      </w:r>
      <w:r>
        <w:rPr>
          <w:rFonts w:hint="default" w:ascii="Times New Roman" w:hAnsi="Times New Roman" w:eastAsia="仿宋_GB2312" w:cs="Times New Roman"/>
          <w:b w:val="0"/>
          <w:bCs w:val="0"/>
          <w:kern w:val="2"/>
          <w:sz w:val="32"/>
          <w:szCs w:val="32"/>
          <w:highlight w:val="none"/>
          <w:lang w:val="en-US" w:eastAsia="zh-CN" w:bidi="ar-SA"/>
        </w:rPr>
        <w:t>为保护江布拉克景区的自然和人文环境，确保资源可持续利用。全县各单位抽调37名干部组成联合执法组</w:t>
      </w:r>
      <w:r>
        <w:rPr>
          <w:rFonts w:hint="eastAsia" w:eastAsia="仿宋_GB2312" w:cs="Times New Roman"/>
          <w:b w:val="0"/>
          <w:bCs w:val="0"/>
          <w:kern w:val="2"/>
          <w:sz w:val="32"/>
          <w:szCs w:val="32"/>
          <w:highlight w:val="none"/>
          <w:lang w:val="en-US" w:eastAsia="zh-CN" w:bidi="ar-SA"/>
        </w:rPr>
        <w:t>，安排4辆保障车辆，于2024年9月3日</w:t>
      </w:r>
      <w:r>
        <w:rPr>
          <w:rFonts w:hint="eastAsia" w:ascii="Times New Roman" w:hAnsi="Times New Roman" w:eastAsia="仿宋_GB2312" w:cs="Times New Roman"/>
          <w:b w:val="0"/>
          <w:bCs w:val="0"/>
          <w:kern w:val="2"/>
          <w:sz w:val="32"/>
          <w:szCs w:val="32"/>
          <w:highlight w:val="none"/>
          <w:lang w:val="en-US" w:eastAsia="zh-CN" w:bidi="ar-SA"/>
        </w:rPr>
        <w:t>按时完成了167处违规建筑的排查拆除工作</w:t>
      </w:r>
      <w:r>
        <w:rPr>
          <w:rFonts w:hint="default" w:ascii="Times New Roman" w:hAnsi="Times New Roman" w:eastAsia="仿宋_GB2312" w:cs="Times New Roman"/>
          <w:b w:val="0"/>
          <w:bCs w:val="0"/>
          <w:kern w:val="2"/>
          <w:sz w:val="32"/>
          <w:szCs w:val="32"/>
          <w:highlight w:val="none"/>
          <w:lang w:val="en-US" w:eastAsia="zh-CN" w:bidi="ar-SA"/>
        </w:rPr>
        <w:t>，坚决打击违法建设行为，有效遏制景区内违法建筑蔓延势头</w:t>
      </w:r>
      <w:r>
        <w:rPr>
          <w:rFonts w:hint="eastAsia" w:ascii="Times New Roman" w:hAnsi="Times New Roman" w:eastAsia="仿宋_GB2312" w:cs="Times New Roman"/>
          <w:b w:val="0"/>
          <w:bCs w:val="0"/>
          <w:kern w:val="2"/>
          <w:sz w:val="32"/>
          <w:szCs w:val="32"/>
          <w:highlight w:val="none"/>
          <w:lang w:val="en-US" w:eastAsia="zh-CN" w:bidi="ar-SA"/>
        </w:rPr>
        <w:t>。</w:t>
      </w:r>
    </w:p>
    <w:p w14:paraId="31C8DFF6">
      <w:pPr>
        <w:spacing w:line="560" w:lineRule="exact"/>
        <w:ind w:firstLine="640" w:firstLineChars="200"/>
        <w:rPr>
          <w:rFonts w:hint="default" w:ascii="Times New Roman" w:hAnsi="Times New Roman" w:cs="Times New Roman"/>
          <w:sz w:val="32"/>
          <w:szCs w:val="32"/>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b w:val="0"/>
          <w:bCs w:val="0"/>
          <w:kern w:val="2"/>
          <w:sz w:val="32"/>
          <w:szCs w:val="32"/>
          <w:highlight w:val="none"/>
          <w:lang w:val="en-US" w:eastAsia="zh-CN" w:bidi="ar-SA"/>
        </w:rPr>
        <w:t>全县各单位抽调37名干部组成联合执法组</w:t>
      </w:r>
      <w:r>
        <w:rPr>
          <w:rFonts w:hint="eastAsia" w:eastAsia="仿宋_GB2312" w:cs="Times New Roman"/>
          <w:b w:val="0"/>
          <w:bCs w:val="0"/>
          <w:kern w:val="2"/>
          <w:sz w:val="32"/>
          <w:szCs w:val="32"/>
          <w:highlight w:val="none"/>
          <w:lang w:val="en-US" w:eastAsia="zh-CN" w:bidi="ar-SA"/>
        </w:rPr>
        <w:t>，安排4辆保障车辆，于2024年9月3日</w:t>
      </w:r>
      <w:r>
        <w:rPr>
          <w:rFonts w:hint="eastAsia" w:ascii="Times New Roman" w:hAnsi="Times New Roman" w:eastAsia="仿宋_GB2312" w:cs="Times New Roman"/>
          <w:b w:val="0"/>
          <w:bCs w:val="0"/>
          <w:kern w:val="2"/>
          <w:sz w:val="32"/>
          <w:szCs w:val="32"/>
          <w:highlight w:val="none"/>
          <w:lang w:val="en-US" w:eastAsia="zh-CN" w:bidi="ar-SA"/>
        </w:rPr>
        <w:t>按时完成了167处违规建筑的排查拆除工作</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有效遏制</w:t>
      </w:r>
      <w:r>
        <w:rPr>
          <w:rFonts w:hint="eastAsia"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景区内违法建筑蔓延势头</w:t>
      </w:r>
      <w:r>
        <w:rPr>
          <w:rFonts w:hint="eastAsia" w:ascii="Times New Roman" w:hAnsi="Times New Roman" w:eastAsia="仿宋_GB2312" w:cs="Times New Roman"/>
          <w:b w:val="0"/>
          <w:bCs w:val="0"/>
          <w:kern w:val="2"/>
          <w:sz w:val="32"/>
          <w:szCs w:val="32"/>
          <w:highlight w:val="none"/>
          <w:lang w:val="en-US" w:eastAsia="zh-CN" w:bidi="ar-SA"/>
        </w:rPr>
        <w:t>。</w:t>
      </w:r>
    </w:p>
    <w:p w14:paraId="3469A70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3497CBB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CD1AB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3215D0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C038AB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default" w:ascii="Times New Roman" w:hAnsi="Times New Roman" w:eastAsia="仿宋_GB2312" w:cs="Times New Roman"/>
          <w:b w:val="0"/>
          <w:bCs w:val="0"/>
          <w:kern w:val="2"/>
          <w:sz w:val="32"/>
          <w:szCs w:val="32"/>
          <w:highlight w:val="none"/>
          <w:lang w:val="en-US" w:eastAsia="zh-CN" w:bidi="ar-SA"/>
        </w:rPr>
        <w:t>江布拉克景区私搭乱建拆除工作</w:t>
      </w:r>
      <w:r>
        <w:rPr>
          <w:rFonts w:hint="eastAsia" w:eastAsia="仿宋_GB2312" w:cs="Times New Roman"/>
          <w:b w:val="0"/>
          <w:bCs w:val="0"/>
          <w:kern w:val="2"/>
          <w:sz w:val="32"/>
          <w:szCs w:val="32"/>
          <w:highlight w:val="none"/>
          <w:lang w:val="en-US" w:eastAsia="zh-CN" w:bidi="ar-SA"/>
        </w:rPr>
        <w:t>联合执法人员交通保障</w:t>
      </w:r>
      <w:r>
        <w:rPr>
          <w:rFonts w:hint="default" w:ascii="Times New Roman" w:hAnsi="Times New Roman" w:eastAsia="仿宋_GB2312" w:cs="Times New Roman"/>
          <w:sz w:val="32"/>
          <w:szCs w:val="32"/>
          <w:highlight w:val="none"/>
          <w:lang w:val="en-US" w:eastAsia="zh-CN"/>
        </w:rPr>
        <w:t>。</w:t>
      </w:r>
    </w:p>
    <w:p w14:paraId="313FAA0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E9481A8">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14:paraId="127B56F1">
      <w:pPr>
        <w:pStyle w:val="10"/>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根据奇江管委【2024】14号文件精神及江布拉克景区私搭乱建拆除工作方案，为保护江布拉克景区的自然和人文环境，确保资源可持续利用。全县各单位抽调37名干部组成联合执法组对景区内167处违规建筑进行专项拆除工作，坚决打击违法建设行为，有效遏制景区内违法建筑蔓延势头</w:t>
      </w:r>
      <w:r>
        <w:rPr>
          <w:rFonts w:hint="eastAsia" w:ascii="Times New Roman" w:hAnsi="Times New Roman" w:eastAsia="仿宋_GB2312" w:cs="Times New Roman"/>
          <w:b w:val="0"/>
          <w:bCs w:val="0"/>
          <w:kern w:val="2"/>
          <w:sz w:val="32"/>
          <w:szCs w:val="32"/>
          <w:highlight w:val="none"/>
          <w:lang w:val="en-US" w:eastAsia="zh-CN" w:bidi="ar-SA"/>
        </w:rPr>
        <w:t>。</w:t>
      </w:r>
    </w:p>
    <w:p w14:paraId="444AC120">
      <w:pPr>
        <w:numPr>
          <w:ilvl w:val="0"/>
          <w:numId w:val="0"/>
        </w:numPr>
        <w:spacing w:line="560" w:lineRule="exact"/>
        <w:ind w:firstLine="643" w:firstLineChars="200"/>
        <w:rPr>
          <w:rFonts w:hint="default" w:ascii="Times New Roman" w:hAnsi="Times New Roman" w:eastAsia="仿宋_GB2312" w:cs="Times New Roman"/>
          <w:b/>
          <w:bCs/>
          <w:sz w:val="32"/>
          <w:szCs w:val="32"/>
        </w:rPr>
      </w:pPr>
      <w:r>
        <w:rPr>
          <w:rFonts w:hint="eastAsia" w:eastAsia="仿宋_GB2312" w:cs="Times New Roman"/>
          <w:b/>
          <w:bCs/>
          <w:sz w:val="32"/>
          <w:szCs w:val="32"/>
          <w:lang w:val="en-US" w:eastAsia="zh-CN"/>
        </w:rPr>
        <w:t>2.</w:t>
      </w:r>
      <w:r>
        <w:rPr>
          <w:rFonts w:hint="default" w:ascii="Times New Roman" w:hAnsi="Times New Roman" w:eastAsia="仿宋_GB2312" w:cs="Times New Roman"/>
          <w:b/>
          <w:bCs/>
          <w:sz w:val="32"/>
          <w:szCs w:val="32"/>
        </w:rPr>
        <w:t>阶段性目标</w:t>
      </w:r>
    </w:p>
    <w:p w14:paraId="0281F388">
      <w:pPr>
        <w:numPr>
          <w:ilvl w:val="0"/>
          <w:numId w:val="0"/>
        </w:numPr>
        <w:spacing w:line="560" w:lineRule="exact"/>
        <w:ind w:firstLine="640" w:firstLineChars="20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截止2024年</w:t>
      </w:r>
      <w:r>
        <w:rPr>
          <w:rFonts w:hint="eastAsia" w:eastAsia="仿宋_GB2312" w:cs="Times New Roman"/>
          <w:color w:val="auto"/>
          <w:sz w:val="32"/>
          <w:szCs w:val="32"/>
          <w:highlight w:val="none"/>
          <w:lang w:val="en-US" w:eastAsia="zh-CN"/>
        </w:rPr>
        <w:t>第三季度</w:t>
      </w:r>
      <w:r>
        <w:rPr>
          <w:rFonts w:hint="default" w:ascii="Times New Roman" w:hAnsi="Times New Roman" w:eastAsia="仿宋_GB2312" w:cs="Times New Roman"/>
          <w:color w:val="auto"/>
          <w:sz w:val="32"/>
          <w:szCs w:val="32"/>
          <w:highlight w:val="none"/>
          <w:lang w:val="en-US" w:eastAsia="zh-CN"/>
        </w:rPr>
        <w:t>，为保护江布拉克景区的自然和人文环境，确保资源可持续利用。全县各单位抽调37名干部组成联合执法组对景区内167处违规建筑进行专项排查拆除工作，坚决打击违法建设行为，通过此项工作的实施，有效遏制了景区内违法建筑蔓延势头。全年完成排查私搭乱建建筑数量167处，排查私搭乱建使用车辆4辆，排查覆盖率100%，排查工作完成时间2024年9月3日，县财政局保障此次排查工作经费，有效遏制了景区内违法建筑蔓延势头，游客对景区环境满意度95%。</w:t>
      </w:r>
    </w:p>
    <w:p w14:paraId="0FD80275">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5BAB1C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D9C5B9E">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1.绩效评价完整性</w:t>
      </w:r>
    </w:p>
    <w:p w14:paraId="67B8EDB3">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（1）评价指标的完整性</w:t>
      </w:r>
    </w:p>
    <w:p w14:paraId="062C1D23">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val="en-US" w:eastAsia="zh-CN"/>
        </w:rPr>
        <w:t>包括产出指标，如排查需要拆除的私搭乱建建筑数量、使用车辆、覆盖率以及在规定的时间内完成此次工作；成本指标：如此次排查拆除私搭乱建工作的保障经费；效益指标：如通过此次乱象整治后，有效遏制了景区内违法建筑的蔓延势头；满意度指标：如通过拆除私搭乱建建筑后，游客对景区环境的满意度。</w:t>
      </w:r>
      <w:r>
        <w:rPr>
          <w:rFonts w:hint="default" w:ascii="Times New Roman" w:hAnsi="Times New Roman" w:eastAsia="仿宋_GB2312" w:cs="Times New Roman"/>
          <w:sz w:val="32"/>
          <w:szCs w:val="32"/>
          <w:lang w:val="en-US" w:eastAsia="zh-CN"/>
        </w:rPr>
        <w:t>通过多维度指标，全面反映</w:t>
      </w:r>
      <w:r>
        <w:rPr>
          <w:rFonts w:hint="eastAsia" w:eastAsia="仿宋_GB2312" w:cs="Times New Roman"/>
          <w:sz w:val="32"/>
          <w:szCs w:val="32"/>
          <w:lang w:val="en-US" w:eastAsia="zh-CN"/>
        </w:rPr>
        <w:t>拆除私搭乱建工作</w:t>
      </w:r>
      <w:r>
        <w:rPr>
          <w:rFonts w:hint="default" w:ascii="Times New Roman" w:hAnsi="Times New Roman" w:eastAsia="仿宋_GB2312" w:cs="Times New Roman"/>
          <w:sz w:val="32"/>
          <w:szCs w:val="32"/>
          <w:lang w:val="en-US" w:eastAsia="zh-CN"/>
        </w:rPr>
        <w:t>的综合绩效。</w:t>
      </w:r>
    </w:p>
    <w:p w14:paraId="0A93489F">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评价数据的完整性</w:t>
      </w:r>
    </w:p>
    <w:p w14:paraId="152E93B4">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涵盖多个渠道，如</w:t>
      </w:r>
      <w:r>
        <w:rPr>
          <w:rFonts w:hint="eastAsia" w:eastAsia="仿宋_GB2312" w:cs="Times New Roman"/>
          <w:sz w:val="32"/>
          <w:szCs w:val="32"/>
          <w:lang w:val="en-US" w:eastAsia="zh-CN"/>
        </w:rPr>
        <w:t>我单位市场监督处排查</w:t>
      </w:r>
      <w:r>
        <w:rPr>
          <w:rFonts w:hint="default" w:ascii="Times New Roman" w:hAnsi="Times New Roman" w:eastAsia="仿宋_GB2312" w:cs="Times New Roman"/>
          <w:sz w:val="32"/>
          <w:szCs w:val="32"/>
          <w:lang w:val="en-US" w:eastAsia="zh-CN"/>
        </w:rPr>
        <w:t>的数据、</w:t>
      </w:r>
      <w:r>
        <w:rPr>
          <w:rFonts w:hint="eastAsia" w:eastAsia="仿宋_GB2312" w:cs="Times New Roman"/>
          <w:sz w:val="32"/>
          <w:szCs w:val="32"/>
          <w:lang w:val="en-US" w:eastAsia="zh-CN"/>
        </w:rPr>
        <w:t>联合执法小组实地走访的</w:t>
      </w:r>
      <w:r>
        <w:rPr>
          <w:rFonts w:hint="default" w:ascii="Times New Roman" w:hAnsi="Times New Roman" w:eastAsia="仿宋_GB2312" w:cs="Times New Roman"/>
          <w:sz w:val="32"/>
          <w:szCs w:val="32"/>
          <w:lang w:val="en-US" w:eastAsia="zh-CN"/>
        </w:rPr>
        <w:t>数据、</w:t>
      </w:r>
      <w:r>
        <w:rPr>
          <w:rFonts w:hint="eastAsia" w:eastAsia="仿宋_GB2312" w:cs="Times New Roman"/>
          <w:sz w:val="32"/>
          <w:szCs w:val="32"/>
          <w:lang w:val="en-US" w:eastAsia="zh-CN"/>
        </w:rPr>
        <w:t>景区公司掌握的数据</w:t>
      </w:r>
      <w:r>
        <w:rPr>
          <w:rFonts w:hint="default" w:ascii="Times New Roman" w:hAnsi="Times New Roman" w:eastAsia="仿宋_GB2312" w:cs="Times New Roman"/>
          <w:sz w:val="32"/>
          <w:szCs w:val="32"/>
          <w:lang w:val="en-US" w:eastAsia="zh-CN"/>
        </w:rPr>
        <w:t>等，确保从不同角度获取与</w:t>
      </w:r>
      <w:r>
        <w:rPr>
          <w:rFonts w:hint="eastAsia" w:eastAsia="仿宋_GB2312" w:cs="Times New Roman"/>
          <w:sz w:val="32"/>
          <w:szCs w:val="32"/>
          <w:lang w:val="en-US" w:eastAsia="zh-CN"/>
        </w:rPr>
        <w:t>拆除私搭乱建工作</w:t>
      </w:r>
      <w:r>
        <w:rPr>
          <w:rFonts w:hint="default" w:ascii="Times New Roman" w:hAnsi="Times New Roman" w:eastAsia="仿宋_GB2312" w:cs="Times New Roman"/>
          <w:sz w:val="32"/>
          <w:szCs w:val="32"/>
          <w:lang w:val="en-US" w:eastAsia="zh-CN"/>
        </w:rPr>
        <w:t>绩效相关的信息。对收集的数据进行严格的审核和验证，确保数据的真实性、准确性和一致性。同时，对数据进行</w:t>
      </w:r>
      <w:r>
        <w:rPr>
          <w:rFonts w:hint="eastAsia" w:eastAsia="仿宋_GB2312" w:cs="Times New Roman"/>
          <w:sz w:val="32"/>
          <w:szCs w:val="32"/>
          <w:lang w:val="en-US" w:eastAsia="zh-CN"/>
        </w:rPr>
        <w:t>整</w:t>
      </w:r>
      <w:r>
        <w:rPr>
          <w:rFonts w:hint="default" w:ascii="Times New Roman" w:hAnsi="Times New Roman" w:eastAsia="仿宋_GB2312" w:cs="Times New Roman"/>
          <w:sz w:val="32"/>
          <w:szCs w:val="32"/>
          <w:lang w:val="en-US" w:eastAsia="zh-CN"/>
        </w:rPr>
        <w:t>理，便于随时查询和使用，为评价工作提供可靠的数据支持。</w:t>
      </w:r>
    </w:p>
    <w:p w14:paraId="0104B48A">
      <w:pPr>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评价过程的完整性</w:t>
      </w:r>
    </w:p>
    <w:p w14:paraId="62186EE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明确评价目的、对象和范围，制定详细的评价方案，确定评价方法和指标体系，收集相关资料和数据，包括</w:t>
      </w:r>
      <w:r>
        <w:rPr>
          <w:rFonts w:hint="eastAsia" w:eastAsia="仿宋_GB2312" w:cs="Times New Roman"/>
          <w:sz w:val="32"/>
          <w:szCs w:val="32"/>
          <w:lang w:val="en-US" w:eastAsia="zh-CN"/>
        </w:rPr>
        <w:t>景区</w:t>
      </w:r>
      <w:r>
        <w:rPr>
          <w:rFonts w:hint="default" w:ascii="Times New Roman" w:hAnsi="Times New Roman" w:eastAsia="仿宋_GB2312" w:cs="Times New Roman"/>
          <w:sz w:val="32"/>
          <w:szCs w:val="32"/>
          <w:lang w:val="en-US" w:eastAsia="zh-CN"/>
        </w:rPr>
        <w:t>规划</w:t>
      </w:r>
      <w:r>
        <w:rPr>
          <w:rFonts w:hint="eastAsia"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文件、实地调查资料等，为评价工作奠定坚实基础；按照既定的评价方案，运用科学的方法，对收集的数据进行整理、分析和计算，通过实地</w:t>
      </w:r>
      <w:r>
        <w:rPr>
          <w:rFonts w:hint="eastAsia" w:eastAsia="仿宋_GB2312" w:cs="Times New Roman"/>
          <w:sz w:val="32"/>
          <w:szCs w:val="32"/>
          <w:lang w:val="en-US" w:eastAsia="zh-CN"/>
        </w:rPr>
        <w:t>入户</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走访、座谈</w:t>
      </w:r>
      <w:r>
        <w:rPr>
          <w:rFonts w:hint="default" w:ascii="Times New Roman" w:hAnsi="Times New Roman" w:eastAsia="仿宋_GB2312" w:cs="Times New Roman"/>
          <w:sz w:val="32"/>
          <w:szCs w:val="32"/>
          <w:lang w:val="en-US" w:eastAsia="zh-CN"/>
        </w:rPr>
        <w:t>等多种方式获取全面准确的信息，确保评价过程的客观性和公正性；及时将评价结果反馈给</w:t>
      </w:r>
      <w:r>
        <w:rPr>
          <w:rFonts w:hint="eastAsia" w:eastAsia="仿宋_GB2312" w:cs="Times New Roman"/>
          <w:sz w:val="32"/>
          <w:szCs w:val="32"/>
          <w:lang w:val="en-US" w:eastAsia="zh-CN"/>
        </w:rPr>
        <w:t>联合执法组组长</w:t>
      </w:r>
      <w:r>
        <w:rPr>
          <w:rFonts w:hint="default" w:ascii="Times New Roman" w:hAnsi="Times New Roman" w:eastAsia="仿宋_GB2312" w:cs="Times New Roman"/>
          <w:sz w:val="32"/>
          <w:szCs w:val="32"/>
          <w:lang w:val="en-US" w:eastAsia="zh-CN"/>
        </w:rPr>
        <w:t>，为政策调整、</w:t>
      </w:r>
      <w:r>
        <w:rPr>
          <w:rFonts w:hint="eastAsia" w:eastAsia="仿宋_GB2312" w:cs="Times New Roman"/>
          <w:sz w:val="32"/>
          <w:szCs w:val="32"/>
          <w:lang w:val="en-US" w:eastAsia="zh-CN"/>
        </w:rPr>
        <w:t>工作</w:t>
      </w:r>
      <w:r>
        <w:rPr>
          <w:rFonts w:hint="default" w:ascii="Times New Roman" w:hAnsi="Times New Roman" w:eastAsia="仿宋_GB2312" w:cs="Times New Roman"/>
          <w:sz w:val="32"/>
          <w:szCs w:val="32"/>
          <w:lang w:val="en-US" w:eastAsia="zh-CN"/>
        </w:rPr>
        <w:t>改进提供依据，同时跟踪反馈意见的落实情况，形成评价工作的闭环，以保证评价结果能够切实发挥作用，促进</w:t>
      </w:r>
      <w:r>
        <w:rPr>
          <w:rFonts w:hint="eastAsia" w:eastAsia="仿宋_GB2312" w:cs="Times New Roman"/>
          <w:sz w:val="32"/>
          <w:szCs w:val="32"/>
          <w:lang w:val="en-US" w:eastAsia="zh-CN"/>
        </w:rPr>
        <w:t>私搭乱建拆除</w:t>
      </w:r>
      <w:r>
        <w:rPr>
          <w:rFonts w:hint="default" w:ascii="Times New Roman" w:hAnsi="Times New Roman" w:eastAsia="仿宋_GB2312" w:cs="Times New Roman"/>
          <w:sz w:val="32"/>
          <w:szCs w:val="32"/>
          <w:lang w:val="en-US" w:eastAsia="zh-CN"/>
        </w:rPr>
        <w:t>工作的持续优化。</w:t>
      </w:r>
    </w:p>
    <w:p w14:paraId="2F18BA9C">
      <w:pPr>
        <w:keepNext w:val="0"/>
        <w:keepLines w:val="0"/>
        <w:pageBreakBefore w:val="0"/>
        <w:widowControl w:val="0"/>
        <w:numPr>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评价主体的完整性</w:t>
      </w:r>
    </w:p>
    <w:p w14:paraId="19A0A66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包括政府部门、</w:t>
      </w:r>
      <w:r>
        <w:rPr>
          <w:rFonts w:hint="eastAsia" w:eastAsia="仿宋_GB2312" w:cs="Times New Roman"/>
          <w:sz w:val="32"/>
          <w:szCs w:val="32"/>
          <w:lang w:val="en-US" w:eastAsia="zh-CN"/>
        </w:rPr>
        <w:t>联合执法小组、牧民</w:t>
      </w:r>
      <w:r>
        <w:rPr>
          <w:rFonts w:hint="default" w:ascii="Times New Roman" w:hAnsi="Times New Roman" w:eastAsia="仿宋_GB2312" w:cs="Times New Roman"/>
          <w:sz w:val="32"/>
          <w:szCs w:val="32"/>
          <w:lang w:val="en-US" w:eastAsia="zh-CN"/>
        </w:rPr>
        <w:t>代表等。政府部门从政策执行和管理角度进行评价，</w:t>
      </w:r>
      <w:r>
        <w:rPr>
          <w:rFonts w:hint="eastAsia" w:eastAsia="仿宋_GB2312" w:cs="Times New Roman"/>
          <w:sz w:val="32"/>
          <w:szCs w:val="32"/>
          <w:lang w:val="en-US" w:eastAsia="zh-CN"/>
        </w:rPr>
        <w:t>联合执法小组</w:t>
      </w:r>
      <w:r>
        <w:rPr>
          <w:rFonts w:hint="default" w:ascii="Times New Roman" w:hAnsi="Times New Roman" w:eastAsia="仿宋_GB2312" w:cs="Times New Roman"/>
          <w:sz w:val="32"/>
          <w:szCs w:val="32"/>
          <w:lang w:val="en-US" w:eastAsia="zh-CN"/>
        </w:rPr>
        <w:t>凭借专业知识和</w:t>
      </w:r>
      <w:r>
        <w:rPr>
          <w:rFonts w:hint="eastAsia" w:eastAsia="仿宋_GB2312" w:cs="Times New Roman"/>
          <w:sz w:val="32"/>
          <w:szCs w:val="32"/>
          <w:lang w:val="en-US" w:eastAsia="zh-CN"/>
        </w:rPr>
        <w:t>政策</w:t>
      </w:r>
      <w:r>
        <w:rPr>
          <w:rFonts w:hint="default" w:ascii="Times New Roman" w:hAnsi="Times New Roman" w:eastAsia="仿宋_GB2312" w:cs="Times New Roman"/>
          <w:sz w:val="32"/>
          <w:szCs w:val="32"/>
          <w:lang w:val="en-US" w:eastAsia="zh-CN"/>
        </w:rPr>
        <w:t>进行</w:t>
      </w:r>
      <w:r>
        <w:rPr>
          <w:rFonts w:hint="eastAsia" w:eastAsia="仿宋_GB2312" w:cs="Times New Roman"/>
          <w:sz w:val="32"/>
          <w:szCs w:val="32"/>
          <w:lang w:val="en-US" w:eastAsia="zh-CN"/>
        </w:rPr>
        <w:t>实地走访</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牧民</w:t>
      </w:r>
      <w:r>
        <w:rPr>
          <w:rFonts w:hint="default" w:ascii="Times New Roman" w:hAnsi="Times New Roman" w:eastAsia="仿宋_GB2312" w:cs="Times New Roman"/>
          <w:sz w:val="32"/>
          <w:szCs w:val="32"/>
          <w:lang w:val="en-US" w:eastAsia="zh-CN"/>
        </w:rPr>
        <w:t>代表则从切身感受和实际受益角度反馈情况，多元主体相互补充，保证评价的全面性和客观性。各评价主体在评价过程中明确分工、密切配合，共同参与评价指标制定、数据收集分析、结果讨论等环节，形成协同效应，使评价结果更具说服力和可信度。</w:t>
      </w:r>
    </w:p>
    <w:p w14:paraId="7FA9687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绩效评价的目的</w:t>
      </w:r>
    </w:p>
    <w:p w14:paraId="585E1D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衡量项目成果</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准确</w:t>
      </w:r>
      <w:r>
        <w:rPr>
          <w:rFonts w:hint="default" w:ascii="Times New Roman" w:hAnsi="Times New Roman" w:eastAsia="仿宋_GB2312" w:cs="Times New Roman"/>
          <w:sz w:val="32"/>
          <w:szCs w:val="32"/>
        </w:rPr>
        <w:t>了解</w:t>
      </w:r>
      <w:r>
        <w:rPr>
          <w:rFonts w:hint="eastAsia" w:eastAsia="仿宋_GB2312" w:cs="Times New Roman"/>
          <w:sz w:val="32"/>
          <w:szCs w:val="32"/>
          <w:lang w:eastAsia="zh-CN"/>
        </w:rPr>
        <w:t>拆除私搭乱建拆除工作在既定时间、预算和安抚牧民情绪等方面的完成情况，判断能否达到预期目标</w:t>
      </w:r>
      <w:r>
        <w:rPr>
          <w:rFonts w:hint="default" w:ascii="Times New Roman" w:hAnsi="Times New Roman" w:eastAsia="仿宋_GB2312" w:cs="Times New Roman"/>
          <w:sz w:val="32"/>
          <w:szCs w:val="32"/>
        </w:rPr>
        <w:t>。</w:t>
      </w:r>
    </w:p>
    <w:p w14:paraId="0613040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优化资源配置：通过分析投入与产出的关系，明确资源在</w:t>
      </w:r>
      <w:r>
        <w:rPr>
          <w:rFonts w:hint="eastAsia" w:eastAsia="仿宋_GB2312" w:cs="Times New Roman"/>
          <w:sz w:val="32"/>
          <w:szCs w:val="32"/>
          <w:lang w:eastAsia="zh-CN"/>
        </w:rPr>
        <w:t>拆除私搭乱建工作</w:t>
      </w:r>
      <w:r>
        <w:rPr>
          <w:rFonts w:hint="default" w:ascii="Times New Roman" w:hAnsi="Times New Roman" w:eastAsia="仿宋_GB2312" w:cs="Times New Roman"/>
          <w:sz w:val="32"/>
          <w:szCs w:val="32"/>
        </w:rPr>
        <w:t>中的使用效率，为后续资金分配、资源投入方向提供科学依据，使资源得到更合理有效的利用。</w:t>
      </w:r>
    </w:p>
    <w:p w14:paraId="2DCB11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发现问题并改进：及时</w:t>
      </w:r>
      <w:r>
        <w:rPr>
          <w:rFonts w:hint="eastAsia" w:eastAsia="仿宋_GB2312" w:cs="Times New Roman"/>
          <w:sz w:val="32"/>
          <w:szCs w:val="32"/>
          <w:lang w:eastAsia="zh-CN"/>
        </w:rPr>
        <w:t>找出拆除私搭乱建</w:t>
      </w:r>
      <w:r>
        <w:rPr>
          <w:rFonts w:hint="default" w:ascii="Times New Roman" w:hAnsi="Times New Roman" w:eastAsia="仿宋_GB2312" w:cs="Times New Roman"/>
          <w:sz w:val="32"/>
          <w:szCs w:val="32"/>
        </w:rPr>
        <w:t>工作中存在的问题</w:t>
      </w:r>
      <w:r>
        <w:rPr>
          <w:rFonts w:hint="eastAsia" w:eastAsia="仿宋_GB2312" w:cs="Times New Roman"/>
          <w:sz w:val="32"/>
          <w:szCs w:val="32"/>
          <w:lang w:eastAsia="zh-CN"/>
        </w:rPr>
        <w:t>和风险</w:t>
      </w:r>
      <w:r>
        <w:rPr>
          <w:rFonts w:hint="default" w:ascii="Times New Roman" w:hAnsi="Times New Roman" w:eastAsia="仿宋_GB2312" w:cs="Times New Roman"/>
          <w:sz w:val="32"/>
          <w:szCs w:val="32"/>
        </w:rPr>
        <w:t>，如</w:t>
      </w:r>
      <w:r>
        <w:rPr>
          <w:rFonts w:hint="eastAsia" w:eastAsia="仿宋_GB2312" w:cs="Times New Roman"/>
          <w:sz w:val="32"/>
          <w:szCs w:val="32"/>
          <w:lang w:eastAsia="zh-CN"/>
        </w:rPr>
        <w:t>进度延误</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违法建筑的复搭</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激化牧民矛盾</w:t>
      </w:r>
      <w:r>
        <w:rPr>
          <w:rFonts w:hint="default" w:ascii="Times New Roman" w:hAnsi="Times New Roman" w:eastAsia="仿宋_GB2312" w:cs="Times New Roman"/>
          <w:sz w:val="32"/>
          <w:szCs w:val="32"/>
        </w:rPr>
        <w:t>等，以便采取针对性措施加以</w:t>
      </w:r>
      <w:r>
        <w:rPr>
          <w:rFonts w:hint="eastAsia" w:eastAsia="仿宋_GB2312" w:cs="Times New Roman"/>
          <w:sz w:val="32"/>
          <w:szCs w:val="32"/>
          <w:lang w:eastAsia="zh-CN"/>
        </w:rPr>
        <w:t>纠正</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避免问题扩大化</w:t>
      </w:r>
      <w:r>
        <w:rPr>
          <w:rFonts w:hint="default" w:ascii="Times New Roman" w:hAnsi="Times New Roman" w:eastAsia="仿宋_GB2312" w:cs="Times New Roman"/>
          <w:sz w:val="32"/>
          <w:szCs w:val="32"/>
        </w:rPr>
        <w:t>。</w:t>
      </w:r>
    </w:p>
    <w:p w14:paraId="658E85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积累项目经验</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总结拆除私搭乱建</w:t>
      </w:r>
      <w:r>
        <w:rPr>
          <w:rFonts w:hint="default" w:ascii="Times New Roman" w:hAnsi="Times New Roman" w:eastAsia="仿宋_GB2312" w:cs="Times New Roman"/>
          <w:sz w:val="32"/>
          <w:szCs w:val="32"/>
        </w:rPr>
        <w:t>工作</w:t>
      </w:r>
      <w:r>
        <w:rPr>
          <w:rFonts w:hint="eastAsia" w:eastAsia="仿宋_GB2312" w:cs="Times New Roman"/>
          <w:sz w:val="32"/>
          <w:szCs w:val="32"/>
          <w:lang w:eastAsia="zh-CN"/>
        </w:rPr>
        <w:t>成功经验和失败教训，为未来类似工作提供参考和借鉴，不断提高工作管理水平和绩效</w:t>
      </w:r>
      <w:r>
        <w:rPr>
          <w:rFonts w:hint="default" w:ascii="Times New Roman" w:hAnsi="Times New Roman" w:eastAsia="仿宋_GB2312" w:cs="Times New Roman"/>
          <w:sz w:val="32"/>
          <w:szCs w:val="32"/>
        </w:rPr>
        <w:t>。</w:t>
      </w:r>
    </w:p>
    <w:p w14:paraId="619E6B6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w:t>
      </w:r>
      <w:r>
        <w:rPr>
          <w:rFonts w:hint="eastAsia" w:eastAsia="仿宋_GB2312" w:cs="Times New Roman"/>
          <w:sz w:val="32"/>
          <w:szCs w:val="32"/>
          <w:lang w:val="en-US" w:eastAsia="zh-CN"/>
        </w:rPr>
        <w:t>5</w:t>
      </w:r>
      <w:r>
        <w:rPr>
          <w:rFonts w:hint="eastAsia" w:eastAsia="仿宋_GB2312" w:cs="Times New Roman"/>
          <w:sz w:val="32"/>
          <w:szCs w:val="32"/>
          <w:lang w:eastAsia="zh-CN"/>
        </w:rPr>
        <w:t>）促进沟通协调：在评价过程中，促进拆除私搭乱建</w:t>
      </w:r>
      <w:r>
        <w:rPr>
          <w:rFonts w:hint="default" w:ascii="Times New Roman" w:hAnsi="Times New Roman" w:eastAsia="仿宋_GB2312" w:cs="Times New Roman"/>
          <w:sz w:val="32"/>
          <w:szCs w:val="32"/>
        </w:rPr>
        <w:t>工作</w:t>
      </w:r>
      <w:r>
        <w:rPr>
          <w:rFonts w:hint="eastAsia" w:eastAsia="仿宋_GB2312" w:cs="Times New Roman"/>
          <w:sz w:val="32"/>
          <w:szCs w:val="32"/>
          <w:lang w:eastAsia="zh-CN"/>
        </w:rPr>
        <w:t>联合执法组成员及牧民之间的沟通与协调，使各方对此次工作的进展和结果达成共识，减少冲突和误解。</w:t>
      </w:r>
    </w:p>
    <w:p w14:paraId="53451D75">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绩效评价的对象</w:t>
      </w:r>
    </w:p>
    <w:p w14:paraId="3A39091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highlight w:val="none"/>
        </w:rPr>
        <w:t>本项目预算绩效评价报告的评价对象是奇财建【2024】119号 关于拨付江布拉克景区管委会开展私搭乱建拆除专项工作资金的通知及其预算执行情况。该项目由</w:t>
      </w:r>
      <w:r>
        <w:rPr>
          <w:rFonts w:hint="eastAsia" w:ascii="Times New Roman" w:hAnsi="Times New Roman" w:eastAsia="仿宋_GB2312" w:cs="Times New Roman"/>
          <w:b w:val="0"/>
          <w:bCs w:val="0"/>
          <w:sz w:val="32"/>
          <w:szCs w:val="32"/>
          <w:highlight w:val="none"/>
          <w:lang w:eastAsia="zh-CN"/>
        </w:rPr>
        <w:t>奇台县江布拉克景区管理委员会</w:t>
      </w:r>
      <w:r>
        <w:rPr>
          <w:rFonts w:hint="default" w:ascii="Times New Roman" w:hAnsi="Times New Roman" w:eastAsia="仿宋_GB2312" w:cs="Times New Roman"/>
          <w:b w:val="0"/>
          <w:bCs w:val="0"/>
          <w:sz w:val="32"/>
          <w:szCs w:val="32"/>
          <w:highlight w:val="none"/>
        </w:rPr>
        <w:t>负责实施，旨在遏制景区内违法建筑蔓延势头。项目预算涵盖从</w:t>
      </w:r>
      <w:r>
        <w:rPr>
          <w:rFonts w:hint="eastAsia" w:ascii="Times New Roman" w:hAnsi="Times New Roman" w:eastAsia="仿宋_GB2312" w:cs="Times New Roman"/>
          <w:b w:val="0"/>
          <w:bCs w:val="0"/>
          <w:sz w:val="32"/>
          <w:szCs w:val="32"/>
          <w:highlight w:val="none"/>
          <w:lang w:val="en-US" w:eastAsia="zh-CN"/>
        </w:rPr>
        <w:t>2024年7月29日</w:t>
      </w:r>
      <w:r>
        <w:rPr>
          <w:rFonts w:hint="default" w:ascii="Times New Roman" w:hAnsi="Times New Roman" w:eastAsia="仿宋_GB2312" w:cs="Times New Roman"/>
          <w:b w:val="0"/>
          <w:bCs w:val="0"/>
          <w:sz w:val="32"/>
          <w:szCs w:val="32"/>
          <w:highlight w:val="none"/>
        </w:rPr>
        <w:t>至</w:t>
      </w:r>
      <w:r>
        <w:rPr>
          <w:rFonts w:hint="eastAsia" w:ascii="Times New Roman" w:hAnsi="Times New Roman" w:eastAsia="仿宋_GB2312" w:cs="Times New Roman"/>
          <w:b w:val="0"/>
          <w:bCs w:val="0"/>
          <w:sz w:val="32"/>
          <w:szCs w:val="32"/>
          <w:highlight w:val="none"/>
          <w:lang w:val="en-US" w:eastAsia="zh-CN"/>
        </w:rPr>
        <w:t>2024年9月3日</w:t>
      </w:r>
      <w:r>
        <w:rPr>
          <w:rFonts w:hint="default" w:ascii="Times New Roman" w:hAnsi="Times New Roman" w:eastAsia="仿宋_GB2312" w:cs="Times New Roman"/>
          <w:b w:val="0"/>
          <w:bCs w:val="0"/>
          <w:sz w:val="32"/>
          <w:szCs w:val="32"/>
          <w:highlight w:val="none"/>
        </w:rPr>
        <w:t>的全部资金投入与支出，涉及资金总额为</w:t>
      </w:r>
      <w:r>
        <w:rPr>
          <w:rFonts w:hint="eastAsia"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val="0"/>
          <w:bCs w:val="0"/>
          <w:sz w:val="32"/>
          <w:szCs w:val="32"/>
          <w:highlight w:val="none"/>
          <w:lang w:val="en-US" w:eastAsia="zh-CN"/>
        </w:rPr>
        <w:t>万</w:t>
      </w:r>
      <w:r>
        <w:rPr>
          <w:rFonts w:hint="default" w:ascii="Times New Roman" w:hAnsi="Times New Roman" w:eastAsia="仿宋_GB2312" w:cs="Times New Roman"/>
          <w:b w:val="0"/>
          <w:bCs w:val="0"/>
          <w:sz w:val="32"/>
          <w:szCs w:val="32"/>
          <w:highlight w:val="none"/>
        </w:rPr>
        <w:t>元。</w:t>
      </w:r>
    </w:p>
    <w:p w14:paraId="1E60B47E">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14:paraId="764FB8F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14:paraId="1BCD50ED">
      <w:pPr>
        <w:spacing w:line="560" w:lineRule="exact"/>
        <w:ind w:firstLine="643" w:firstLineChars="200"/>
        <w:rPr>
          <w:rFonts w:hint="default" w:ascii="Times New Roman" w:hAnsi="Times New Roman" w:cs="Times New Roman"/>
          <w:sz w:val="32"/>
          <w:szCs w:val="32"/>
        </w:rPr>
      </w:pPr>
      <w:r>
        <w:rPr>
          <w:rFonts w:hint="default" w:ascii="Times New Roman" w:hAnsi="Times New Roman" w:eastAsia="楷体_GB2312" w:cs="Times New Roman"/>
          <w:b/>
          <w:bCs/>
          <w:sz w:val="32"/>
          <w:szCs w:val="32"/>
        </w:rPr>
        <w:t>（二）绩效评价原则、评价指标体系（详情见表1）、评价方法、评价标准。</w:t>
      </w:r>
    </w:p>
    <w:p w14:paraId="41AE6340">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14:paraId="7ABC75A0">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CCB87B2">
      <w:pPr>
        <w:pStyle w:val="1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（1）科学公正。绩效评价应当运用科学合理的方法，按照规范的程序，对项目绩效进行客观、公正的反映。</w:t>
      </w:r>
    </w:p>
    <w:p w14:paraId="17C36600">
      <w:pPr>
        <w:pStyle w:val="1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76DF2628">
      <w:pPr>
        <w:pStyle w:val="1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（3）激励约束。绩效评价结果应与预算安排、政策调整、改进管理实质性挂钩，体现奖优罚劣和激励相容导向，有效要安排、低效要压减、无效要问责。</w:t>
      </w:r>
    </w:p>
    <w:p w14:paraId="437F380F">
      <w:pPr>
        <w:pStyle w:val="1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（4）公开透明。绩效评价结果应依法依规公开，并自觉接受社会监督。</w:t>
      </w:r>
    </w:p>
    <w:p w14:paraId="3E5AA739">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14:paraId="7AAEC8CF">
      <w:pPr>
        <w:spacing w:line="560" w:lineRule="exact"/>
        <w:ind w:firstLine="708"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color w:val="000000"/>
          <w:spacing w:val="17"/>
          <w:sz w:val="32"/>
          <w:szCs w:val="32"/>
        </w:rPr>
        <w:t>绩效评价框架是开展绩效评价的核心。绩效评价框</w:t>
      </w:r>
      <w:r>
        <w:rPr>
          <w:rFonts w:hint="default" w:ascii="Times New Roman" w:hAnsi="Times New Roman" w:eastAsia="仿宋_GB2312" w:cs="Times New Roman"/>
          <w:b w:val="0"/>
          <w:bCs w:val="0"/>
          <w:kern w:val="28"/>
          <w:sz w:val="32"/>
          <w:szCs w:val="32"/>
          <w:lang w:val="en-US" w:eastAsia="zh-CN" w:bidi="ar-SA"/>
        </w:rPr>
        <w:t>架包括评价准则、关键评价问题、评价指标、数据来源、数据收集方法等。指标体系建立过程如下：</w:t>
      </w:r>
    </w:p>
    <w:p w14:paraId="204E2155">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（1）确定评价指标</w:t>
      </w:r>
    </w:p>
    <w:p w14:paraId="5A4538AE">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7540AA43">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（2）确定权重</w:t>
      </w:r>
    </w:p>
    <w:p w14:paraId="503DE75C">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3D0952A9">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（3）确定指标标准值</w:t>
      </w:r>
    </w:p>
    <w:p w14:paraId="700AACE0">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指标标准值是绩效评价指标的尺度，既要反映同类项目的先进水平，又要符合项目的实际绩效水平。具体采用计划标准等确定此次绩效评价指标标准值。</w:t>
      </w:r>
    </w:p>
    <w:p w14:paraId="708E3DCB">
      <w:pPr>
        <w:pStyle w:val="10"/>
        <w:spacing w:before="0" w:after="0" w:line="560" w:lineRule="exact"/>
        <w:ind w:firstLine="640" w:firstLineChars="200"/>
        <w:jc w:val="both"/>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绩效评价总分值100分，根据综合评分结果，90（含）-100分为优、80（含）-90分为良、60（含）-80分为中、60分以下为差。</w:t>
      </w:r>
    </w:p>
    <w:p w14:paraId="597D4E52">
      <w:pPr>
        <w:pStyle w:val="10"/>
        <w:widowControl w:val="0"/>
        <w:spacing w:before="0" w:after="0" w:line="560" w:lineRule="exact"/>
        <w:ind w:firstLine="643" w:firstLineChars="200"/>
        <w:jc w:val="both"/>
        <w:outlineLvl w:val="9"/>
        <w:rPr>
          <w:rFonts w:hint="default" w:ascii="Times New Roman" w:hAnsi="Times New Roman" w:eastAsia="仿宋_GB2312" w:cs="Times New Roman"/>
          <w:b/>
          <w:bCs/>
          <w:kern w:val="28"/>
          <w:sz w:val="32"/>
          <w:szCs w:val="32"/>
          <w:lang w:val="en-US" w:eastAsia="zh-CN" w:bidi="ar-SA"/>
        </w:rPr>
      </w:pPr>
      <w:r>
        <w:rPr>
          <w:rFonts w:hint="default" w:ascii="Times New Roman" w:hAnsi="Times New Roman" w:eastAsia="仿宋_GB2312" w:cs="Times New Roman"/>
          <w:b/>
          <w:bCs/>
          <w:kern w:val="28"/>
          <w:sz w:val="32"/>
          <w:szCs w:val="32"/>
          <w:lang w:val="en-US" w:eastAsia="zh-CN" w:bidi="ar-SA"/>
        </w:rPr>
        <w:t>3.绩效评价方法</w:t>
      </w:r>
    </w:p>
    <w:p w14:paraId="65190A30">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绩效评价从项目决策、项目过程、项目产出、项目效益四个维度进行评价。评价对象为项目目标实施情况，评价核心为资金的支出完成情况和项目的产出效益。</w:t>
      </w:r>
    </w:p>
    <w:p w14:paraId="157BC2C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本次绩效评价采用的方法比较法</w:t>
      </w:r>
      <w:r>
        <w:rPr>
          <w:rFonts w:hint="default" w:ascii="Times New Roman" w:hAnsi="Times New Roman" w:eastAsia="仿宋_GB2312" w:cs="Times New Roman"/>
          <w:sz w:val="32"/>
          <w:szCs w:val="32"/>
          <w:lang w:eastAsia="zh-CN"/>
        </w:rPr>
        <w:t>、因素分析法、公众评判法</w:t>
      </w:r>
      <w:r>
        <w:rPr>
          <w:rFonts w:hint="default" w:ascii="Times New Roman" w:hAnsi="Times New Roman" w:eastAsia="仿宋_GB2312" w:cs="Times New Roman"/>
          <w:sz w:val="32"/>
          <w:szCs w:val="32"/>
          <w:lang w:val="en-US" w:eastAsia="zh-CN"/>
        </w:rPr>
        <w:t>对项目绩效目标预期指标值与实施情况进行比较，以及采取公众问卷及抽样调查等方式进行评判的方法对奇财建【2024】119号 关于拨付江布拉克景区管委会开展私搭乱建拆除专项工作资金的通知项目进行评价。</w:t>
      </w:r>
    </w:p>
    <w:p w14:paraId="7069480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bCs/>
          <w:sz w:val="32"/>
          <w:szCs w:val="32"/>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14:paraId="24FAC0C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sz w:val="32"/>
          <w:szCs w:val="32"/>
          <w:highlight w:val="none"/>
          <w:lang w:val="en-US" w:eastAsia="zh-CN"/>
        </w:rPr>
        <w:t>计划</w:t>
      </w:r>
      <w:r>
        <w:rPr>
          <w:rFonts w:hint="default" w:ascii="Times New Roman" w:hAnsi="Times New Roman" w:eastAsia="仿宋_GB2312" w:cs="Times New Roman"/>
          <w:b w:val="0"/>
          <w:bCs w:val="0"/>
          <w:sz w:val="32"/>
          <w:szCs w:val="32"/>
        </w:rPr>
        <w:t>标准。</w:t>
      </w:r>
    </w:p>
    <w:p w14:paraId="7B03A45E">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sz w:val="32"/>
          <w:szCs w:val="32"/>
        </w:rPr>
      </w:pPr>
      <w:r>
        <w:rPr>
          <w:rFonts w:hint="default" w:ascii="Times New Roman" w:hAnsi="Times New Roman" w:eastAsia="楷体" w:cs="Times New Roman"/>
          <w:color w:val="000000"/>
          <w:spacing w:val="17"/>
          <w:sz w:val="32"/>
          <w:szCs w:val="32"/>
        </w:rPr>
        <w:t>绩效评价工作过程</w:t>
      </w:r>
    </w:p>
    <w:p w14:paraId="00DE53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1.</w:t>
      </w:r>
      <w:r>
        <w:rPr>
          <w:rFonts w:hint="eastAsia" w:eastAsia="仿宋_GB2312" w:cs="Times New Roman"/>
          <w:b/>
          <w:bCs/>
          <w:color w:val="auto"/>
          <w:sz w:val="32"/>
          <w:szCs w:val="32"/>
          <w:highlight w:val="none"/>
          <w:lang w:eastAsia="zh-CN"/>
        </w:rPr>
        <w:t>评价准备阶段</w:t>
      </w:r>
    </w:p>
    <w:p w14:paraId="31F20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）明确评价目标与范围。确定评价旨在衡量违建拆除进度、评估对景区环境恢复效果、判断资源使用效率等。界定评价覆盖的景区区域、拆除项目类型及时间范围。</w:t>
      </w:r>
    </w:p>
    <w:p w14:paraId="09A2F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）组建评价团队。</w:t>
      </w: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w:t>
      </w:r>
      <w:r>
        <w:rPr>
          <w:rFonts w:hint="eastAsia" w:eastAsia="仿宋_GB2312" w:cs="Times New Roman"/>
          <w:color w:val="auto"/>
          <w:sz w:val="32"/>
          <w:szCs w:val="32"/>
          <w:highlight w:val="none"/>
          <w:lang w:eastAsia="zh-CN"/>
        </w:rPr>
        <w:t>人员</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市场监督处负责人及干部和</w:t>
      </w:r>
      <w:r>
        <w:rPr>
          <w:rFonts w:hint="default" w:ascii="Times New Roman" w:hAnsi="Times New Roman" w:eastAsia="仿宋_GB2312" w:cs="Times New Roman"/>
          <w:color w:val="auto"/>
          <w:sz w:val="32"/>
          <w:szCs w:val="32"/>
          <w:highlight w:val="none"/>
        </w:rPr>
        <w:t>相关</w:t>
      </w:r>
      <w:r>
        <w:rPr>
          <w:rFonts w:hint="eastAsia" w:eastAsia="仿宋_GB2312" w:cs="Times New Roman"/>
          <w:color w:val="auto"/>
          <w:sz w:val="32"/>
          <w:szCs w:val="32"/>
          <w:highlight w:val="none"/>
          <w:lang w:eastAsia="zh-CN"/>
        </w:rPr>
        <w:t>处室的干部</w:t>
      </w:r>
      <w:r>
        <w:rPr>
          <w:rFonts w:hint="default" w:ascii="Times New Roman" w:hAnsi="Times New Roman" w:eastAsia="仿宋_GB2312" w:cs="Times New Roman"/>
          <w:color w:val="auto"/>
          <w:sz w:val="32"/>
          <w:szCs w:val="32"/>
          <w:highlight w:val="none"/>
        </w:rPr>
        <w:t>组成，确保从多角度、全方位对项目绩效进行评价。</w:t>
      </w:r>
    </w:p>
    <w:p w14:paraId="699EC4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设计评价指标。围绕拆除进度、成本控制、环境影响、社会满意度等方面，构建全面的指标体系。如设置排查私搭乱建建筑数量、排查私搭乱建使用车辆、排查覆盖率、排查工作完成时间、排查工作保障经费、公众满意度等具体指标。</w:t>
      </w:r>
    </w:p>
    <w:p w14:paraId="275427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eastAsia="zh-CN"/>
        </w:rPr>
        <w:t>）制定评价方案。规划评价工作流程、方法、时间安排及人员分工，确定数据收集方式，如实地勘察、问卷调查、访谈等，确保评价工作有序开展。</w:t>
      </w:r>
    </w:p>
    <w:p w14:paraId="7ACD69F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2.实施评价阶段</w:t>
      </w:r>
    </w:p>
    <w:p w14:paraId="0C4B39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）数据收据。采用现场走访记录拆除数量；合理估算拆除成本；通过问卷、座谈等方式收集游客、牧民对拆除工作的看法。</w:t>
      </w:r>
    </w:p>
    <w:p w14:paraId="3D6112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）资料整理与分析。对收据到的数据资料进行分类整理，运用定量分析方法，如统计排查私搭乱建工作完成率、成本节约率；结合定性分析，解读游客、牧民的反馈意见。</w:t>
      </w:r>
    </w:p>
    <w:p w14:paraId="7A27BC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0000FF"/>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）开展综合评价。对照评价指标体系，对排查拆除工作的绩效进行综合打分，分析各项指标的完成情况及存在问题。</w:t>
      </w:r>
    </w:p>
    <w:p w14:paraId="253F3C4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3.</w:t>
      </w:r>
      <w:r>
        <w:rPr>
          <w:rFonts w:hint="eastAsia" w:eastAsia="仿宋_GB2312" w:cs="Times New Roman"/>
          <w:b/>
          <w:bCs/>
          <w:color w:val="auto"/>
          <w:sz w:val="32"/>
          <w:szCs w:val="32"/>
          <w:highlight w:val="none"/>
          <w:lang w:eastAsia="zh-CN"/>
        </w:rPr>
        <w:t>结果反馈与应用阶段</w:t>
      </w:r>
    </w:p>
    <w:p w14:paraId="5B7948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）撰写评价报告。详细阐述评价过程、结果，分析成功经验与不足，提出改进建议，形成书面报告提交给景区党工委、政府相关机构等。</w:t>
      </w:r>
    </w:p>
    <w:p w14:paraId="338F2D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）反馈评价结果。组织召开反馈会议，向排查工作参与方、利益相关者通报评价结果，解释评价结论，接受各方咨询，促进对评价结果的理解与认同。</w:t>
      </w:r>
    </w:p>
    <w:p w14:paraId="4F49A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）应用评价结果。针对问题制定改进措施，优化后续违建拆除工作流程；同时对景区规划、政策制定提供参考依据，建立防止私搭乱建的长效机制。</w:t>
      </w:r>
    </w:p>
    <w:p w14:paraId="7F344343">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A790122">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评价情况</w:t>
      </w:r>
    </w:p>
    <w:p w14:paraId="51690EE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奇财建【2024】119号 关于拨付江布拉克景区管委会开展私搭乱建拆除专项工作资金的通知</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排查覆盖率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排查工作完成时间</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社会效益</w:t>
      </w:r>
      <w:r>
        <w:rPr>
          <w:rFonts w:hint="default" w:ascii="Times New Roman" w:hAnsi="Times New Roman" w:eastAsia="仿宋_GB2312" w:cs="Times New Roman"/>
          <w:sz w:val="32"/>
          <w:szCs w:val="32"/>
          <w:highlight w:val="none"/>
        </w:rPr>
        <w:t>取得了显著的成效，如有效遏制了景区内违法建筑蔓延势头。</w:t>
      </w:r>
    </w:p>
    <w:p w14:paraId="41D8A15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奇台县江布拉克景区管理委员会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B9379B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从项目效益的角度来看，本项目不仅实现了预期的社会效益方面产生了积极的影响。具体而言，有效遏制了景区内违法建筑蔓延势头方面的提升，为项目的利益相关者带来了实实在在的利益。</w:t>
      </w:r>
    </w:p>
    <w:p w14:paraId="4CF8611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sz w:val="32"/>
          <w:szCs w:val="32"/>
          <w:highlight w:val="green"/>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奇财建【2024】119号 关于拨付江布拉克景区管委会开展私搭乱建拆除专项工作资金的通知</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60F1720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评价结论</w:t>
      </w:r>
    </w:p>
    <w:p w14:paraId="12F79C5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sz w:val="32"/>
          <w:szCs w:val="32"/>
          <w:highlight w:val="none"/>
        </w:rPr>
        <w:t xml:space="preserve">总得分为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 xml:space="preserve">分，属于“优”。其中，项目决策类指标权重为20分，得分为 </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%。项目过程类指标权重为20分，得分为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%。项目产出类指标权重为40分，得分为</w:t>
      </w:r>
      <w:r>
        <w:rPr>
          <w:rFonts w:hint="eastAsia" w:ascii="Times New Roman" w:hAnsi="Times New Roman" w:eastAsia="仿宋_GB2312" w:cs="Times New Roman"/>
          <w:b w:val="0"/>
          <w:bCs w:val="0"/>
          <w:sz w:val="32"/>
          <w:szCs w:val="32"/>
          <w:highlight w:val="none"/>
          <w:lang w:val="en-US" w:eastAsia="zh-CN"/>
        </w:rPr>
        <w:t>40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%。项目效益类指标权重为20分，得分为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sz w:val="32"/>
          <w:szCs w:val="32"/>
        </w:rPr>
        <w:t>具体打分情况详见：附件1综合评分表</w:t>
      </w:r>
      <w:r>
        <w:rPr>
          <w:rFonts w:hint="default" w:ascii="Times New Roman" w:hAnsi="Times New Roman" w:eastAsia="仿宋_GB2312" w:cs="Times New Roman"/>
          <w:b w:val="0"/>
          <w:bCs w:val="0"/>
          <w:sz w:val="32"/>
          <w:szCs w:val="32"/>
          <w:lang w:eastAsia="zh-CN"/>
        </w:rPr>
        <w:t>。</w:t>
      </w:r>
    </w:p>
    <w:p w14:paraId="6252BBBE">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10DE543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203AD58">
            <w:pPr>
              <w:jc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081526">
            <w:pPr>
              <w:jc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094FBF0">
            <w:pPr>
              <w:jc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7DCD015">
            <w:pPr>
              <w:jc w:val="center"/>
              <w:rPr>
                <w:rFonts w:hint="eastAsia" w:ascii="Times New Roman" w:hAnsi="Times New Roman" w:eastAsia="仿宋_GB2312" w:cs="Times New Roman"/>
                <w:b/>
                <w:bCs/>
                <w:color w:val="000000"/>
                <w:sz w:val="32"/>
                <w:szCs w:val="32"/>
                <w:lang w:val="en-US" w:eastAsia="zh-CN"/>
              </w:rPr>
            </w:pPr>
            <w:r>
              <w:rPr>
                <w:rFonts w:hint="eastAsia" w:eastAsia="仿宋_GB2312" w:cs="Times New Roman"/>
                <w:b/>
                <w:bCs/>
                <w:color w:val="000000"/>
                <w:sz w:val="32"/>
                <w:szCs w:val="32"/>
                <w:lang w:val="en-US" w:eastAsia="zh-CN"/>
              </w:rPr>
              <w:t>得分率</w:t>
            </w:r>
          </w:p>
        </w:tc>
      </w:tr>
      <w:tr w14:paraId="1797F31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1381A89">
            <w:pPr>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项目决策</w:t>
            </w:r>
          </w:p>
        </w:tc>
        <w:tc>
          <w:tcPr>
            <w:tcW w:w="1927" w:type="dxa"/>
            <w:tcBorders>
              <w:top w:val="nil"/>
              <w:left w:val="nil"/>
              <w:bottom w:val="single" w:color="auto" w:sz="4" w:space="0"/>
              <w:right w:val="single" w:color="auto" w:sz="4" w:space="0"/>
            </w:tcBorders>
            <w:shd w:val="clear" w:color="auto" w:fill="auto"/>
            <w:vAlign w:val="center"/>
          </w:tcPr>
          <w:p w14:paraId="6FBD8C56">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741E6C">
            <w:pPr>
              <w:jc w:val="center"/>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0A2674D">
            <w:pPr>
              <w:jc w:val="center"/>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100%</w:t>
            </w:r>
          </w:p>
        </w:tc>
      </w:tr>
      <w:tr w14:paraId="2819E75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DDE6EE6">
            <w:pPr>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项目过程</w:t>
            </w:r>
          </w:p>
        </w:tc>
        <w:tc>
          <w:tcPr>
            <w:tcW w:w="1927" w:type="dxa"/>
            <w:tcBorders>
              <w:top w:val="nil"/>
              <w:left w:val="nil"/>
              <w:bottom w:val="single" w:color="auto" w:sz="4" w:space="0"/>
              <w:right w:val="single" w:color="auto" w:sz="4" w:space="0"/>
            </w:tcBorders>
            <w:shd w:val="clear" w:color="auto" w:fill="auto"/>
            <w:vAlign w:val="center"/>
          </w:tcPr>
          <w:p w14:paraId="32B00600">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CF27E33">
            <w:pPr>
              <w:jc w:val="center"/>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D1BB3BE">
            <w:pPr>
              <w:jc w:val="center"/>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val="en-US" w:eastAsia="zh-CN"/>
              </w:rPr>
              <w:t>100%</w:t>
            </w:r>
          </w:p>
        </w:tc>
      </w:tr>
      <w:tr w14:paraId="0575DF1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82E9F98">
            <w:pPr>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项目产出</w:t>
            </w:r>
          </w:p>
        </w:tc>
        <w:tc>
          <w:tcPr>
            <w:tcW w:w="1927" w:type="dxa"/>
            <w:tcBorders>
              <w:top w:val="nil"/>
              <w:left w:val="nil"/>
              <w:bottom w:val="single" w:color="auto" w:sz="4" w:space="0"/>
              <w:right w:val="single" w:color="auto" w:sz="4" w:space="0"/>
            </w:tcBorders>
            <w:shd w:val="clear" w:color="auto" w:fill="auto"/>
            <w:vAlign w:val="center"/>
          </w:tcPr>
          <w:p w14:paraId="3D2C1B69">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323B721">
            <w:pPr>
              <w:jc w:val="center"/>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0FF44CA">
            <w:pPr>
              <w:jc w:val="center"/>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val="en-US" w:eastAsia="zh-CN"/>
              </w:rPr>
              <w:t>100%</w:t>
            </w:r>
          </w:p>
        </w:tc>
      </w:tr>
      <w:tr w14:paraId="5F71405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CE51CCC">
            <w:pPr>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项目效益</w:t>
            </w:r>
          </w:p>
        </w:tc>
        <w:tc>
          <w:tcPr>
            <w:tcW w:w="1927" w:type="dxa"/>
            <w:tcBorders>
              <w:top w:val="nil"/>
              <w:left w:val="nil"/>
              <w:bottom w:val="single" w:color="auto" w:sz="4" w:space="0"/>
              <w:right w:val="single" w:color="auto" w:sz="4" w:space="0"/>
            </w:tcBorders>
            <w:shd w:val="clear" w:color="auto" w:fill="auto"/>
            <w:vAlign w:val="center"/>
          </w:tcPr>
          <w:p w14:paraId="4320DC1E">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FCED532">
            <w:pPr>
              <w:jc w:val="center"/>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B464BB9">
            <w:pPr>
              <w:jc w:val="center"/>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val="en-US" w:eastAsia="zh-CN"/>
              </w:rPr>
              <w:t>100%</w:t>
            </w:r>
          </w:p>
        </w:tc>
      </w:tr>
      <w:tr w14:paraId="1B6DA2A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E7F5AC">
            <w:pPr>
              <w:jc w:val="cente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合计</w:t>
            </w:r>
          </w:p>
        </w:tc>
        <w:tc>
          <w:tcPr>
            <w:tcW w:w="1927" w:type="dxa"/>
            <w:tcBorders>
              <w:top w:val="nil"/>
              <w:left w:val="nil"/>
              <w:bottom w:val="single" w:color="auto" w:sz="4" w:space="0"/>
              <w:right w:val="single" w:color="auto" w:sz="4" w:space="0"/>
            </w:tcBorders>
            <w:shd w:val="clear" w:color="auto" w:fill="auto"/>
            <w:vAlign w:val="center"/>
          </w:tcPr>
          <w:p w14:paraId="6C64BF1D">
            <w:pPr>
              <w:jc w:val="center"/>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9998A04">
            <w:pPr>
              <w:jc w:val="center"/>
              <w:rPr>
                <w:rFonts w:hint="default" w:ascii="Times New Roman" w:hAnsi="Times New Roman" w:eastAsia="仿宋_GB2312" w:cs="Times New Roman"/>
                <w:b/>
                <w:bCs/>
                <w:color w:val="000000"/>
                <w:sz w:val="32"/>
                <w:szCs w:val="32"/>
                <w:lang w:val="en-US" w:eastAsia="zh-CN"/>
              </w:rPr>
            </w:pPr>
            <w:r>
              <w:rPr>
                <w:rFonts w:hint="eastAsia" w:eastAsia="仿宋_GB2312" w:cs="Times New Roman"/>
                <w:b/>
                <w:bCs/>
                <w:color w:val="000000"/>
                <w:sz w:val="32"/>
                <w:szCs w:val="32"/>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6C4727E">
            <w:pPr>
              <w:jc w:val="center"/>
              <w:rPr>
                <w:rFonts w:hint="default" w:ascii="Times New Roman" w:hAnsi="Times New Roman" w:eastAsia="仿宋_GB2312" w:cs="Times New Roman"/>
                <w:b/>
                <w:bCs/>
                <w:color w:val="000000"/>
                <w:sz w:val="32"/>
                <w:szCs w:val="32"/>
                <w:lang w:val="en-US" w:eastAsia="zh-CN"/>
              </w:rPr>
            </w:pPr>
            <w:r>
              <w:rPr>
                <w:rFonts w:hint="eastAsia" w:eastAsia="仿宋_GB2312" w:cs="Times New Roman"/>
                <w:b/>
                <w:bCs/>
                <w:color w:val="000000"/>
                <w:sz w:val="32"/>
                <w:szCs w:val="32"/>
                <w:lang w:val="en-US" w:eastAsia="zh-CN"/>
              </w:rPr>
              <w:t>100%</w:t>
            </w:r>
          </w:p>
        </w:tc>
      </w:tr>
    </w:tbl>
    <w:p w14:paraId="2E0E2233">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908BBB9">
      <w:pPr>
        <w:pStyle w:val="10"/>
        <w:spacing w:before="0" w:after="0" w:line="560" w:lineRule="exact"/>
        <w:ind w:firstLine="643" w:firstLineChars="200"/>
        <w:jc w:val="both"/>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（一）项目决策情况</w:t>
      </w:r>
    </w:p>
    <w:p w14:paraId="7A9AFC3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A3A6E1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2439AF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A26D74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w:t>
      </w:r>
      <w:r>
        <w:rPr>
          <w:rFonts w:hint="eastAsia" w:eastAsia="仿宋_GB2312" w:cs="Times New Roman"/>
          <w:sz w:val="32"/>
          <w:szCs w:val="32"/>
          <w:lang w:val="en-US" w:eastAsia="zh-CN"/>
        </w:rPr>
        <w:t>《江布拉克景区保护管理条例》</w:t>
      </w:r>
      <w:r>
        <w:rPr>
          <w:rFonts w:hint="default" w:ascii="Times New Roman" w:hAnsi="Times New Roman" w:eastAsia="仿宋_GB2312" w:cs="Times New Roman"/>
          <w:sz w:val="32"/>
          <w:szCs w:val="32"/>
          <w:lang w:val="en-US" w:eastAsia="zh-CN"/>
        </w:rPr>
        <w:t>，符合</w:t>
      </w:r>
      <w:r>
        <w:rPr>
          <w:rFonts w:hint="eastAsia" w:eastAsia="仿宋_GB2312" w:cs="Times New Roman"/>
          <w:sz w:val="32"/>
          <w:szCs w:val="32"/>
          <w:lang w:val="en-US" w:eastAsia="zh-CN"/>
        </w:rPr>
        <w:t>景区环境</w:t>
      </w:r>
      <w:r>
        <w:rPr>
          <w:rFonts w:hint="default" w:ascii="Times New Roman" w:hAnsi="Times New Roman" w:eastAsia="仿宋_GB2312" w:cs="Times New Roman"/>
          <w:sz w:val="32"/>
          <w:szCs w:val="32"/>
          <w:lang w:val="en-US" w:eastAsia="zh-CN"/>
        </w:rPr>
        <w:t>规划要求，围绕本年度工作重点和工作计划制定经费预算，属于公共财政支持范围。本项目与部门内部其他相关项目不重复。部门发展规划及职能文件等归档完整。</w:t>
      </w:r>
    </w:p>
    <w:p w14:paraId="73BB955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73D8935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eastAsia="仿宋_GB2312" w:cs="Times New Roman"/>
          <w:sz w:val="32"/>
          <w:szCs w:val="32"/>
          <w:highlight w:val="none"/>
          <w:lang w:val="en-US" w:eastAsia="zh-CN"/>
        </w:rPr>
        <w:t>会议研究</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科学决策</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制定实施方案</w:t>
      </w:r>
      <w:r>
        <w:rPr>
          <w:rFonts w:hint="default" w:ascii="Times New Roman" w:hAnsi="Times New Roman" w:eastAsia="仿宋_GB2312" w:cs="Times New Roman"/>
          <w:sz w:val="32"/>
          <w:szCs w:val="32"/>
          <w:lang w:val="en-US" w:eastAsia="zh-CN"/>
        </w:rPr>
        <w:t>，保障了程序的规范性。</w:t>
      </w:r>
    </w:p>
    <w:p w14:paraId="423D6B1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FE8971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3B1B964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049DA8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F9459C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75786B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027581A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0A980A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E4253C9">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670A28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D3E3F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B5206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DE6F7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EB645D9">
      <w:pPr>
        <w:pStyle w:val="10"/>
        <w:numPr>
          <w:ilvl w:val="0"/>
          <w:numId w:val="3"/>
        </w:numPr>
        <w:spacing w:before="0" w:after="0" w:line="560" w:lineRule="exact"/>
        <w:ind w:firstLine="643" w:firstLineChars="200"/>
        <w:jc w:val="both"/>
        <w:rPr>
          <w:rFonts w:hint="default" w:ascii="Times New Roman" w:hAnsi="Times New Roman" w:eastAsia="楷体" w:cs="Times New Roman"/>
          <w:sz w:val="32"/>
          <w:szCs w:val="32"/>
        </w:rPr>
      </w:pPr>
      <w:r>
        <w:rPr>
          <w:rFonts w:hint="default" w:ascii="Times New Roman" w:hAnsi="Times New Roman" w:eastAsia="楷体" w:cs="Times New Roman"/>
          <w:sz w:val="32"/>
          <w:szCs w:val="32"/>
        </w:rPr>
        <w:t>项目过程情况</w:t>
      </w:r>
    </w:p>
    <w:p w14:paraId="3097933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0EFEB8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D40FBD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373D77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58688A1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2EBA8F5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229971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5A987A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《政府会计准则制度》</w:t>
      </w:r>
      <w:r>
        <w:rPr>
          <w:rFonts w:hint="default" w:ascii="Times New Roman" w:hAnsi="Times New Roman" w:eastAsia="仿宋_GB2312" w:cs="Times New Roman"/>
          <w:sz w:val="32"/>
          <w:szCs w:val="32"/>
          <w:highlight w:val="none"/>
          <w:lang w:eastAsia="zh-CN"/>
        </w:rPr>
        <w:t>与</w:t>
      </w:r>
      <w:r>
        <w:rPr>
          <w:rFonts w:hint="eastAsia" w:eastAsia="仿宋_GB2312" w:cs="Times New Roman"/>
          <w:sz w:val="32"/>
          <w:szCs w:val="32"/>
          <w:highlight w:val="none"/>
          <w:lang w:eastAsia="zh-CN"/>
        </w:rPr>
        <w:t>《奇台县江布拉克景区管理委员会财务管理制度》</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6FD74E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108A9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B61503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3575BD2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5103F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77FBB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E87B2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D3E0436">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3ED845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0C09DD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456A3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D5884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99A1B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5C13FE31">
      <w:pPr>
        <w:pStyle w:val="12"/>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16D3DBC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04A7548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F90644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指标1：排查私搭乱建建筑数量，指标值：</w:t>
      </w:r>
      <w:r>
        <w:rPr>
          <w:rFonts w:hint="eastAsia" w:eastAsia="仿宋_GB2312" w:cs="Times New Roman"/>
          <w:sz w:val="32"/>
          <w:szCs w:val="32"/>
          <w:highlight w:val="none"/>
          <w:lang w:val="en-US" w:eastAsia="zh-CN"/>
        </w:rPr>
        <w:t>=167处</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167处</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14:paraId="18C813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2：排查私搭乱建使用车辆，指标值：=4辆，实际完成值：4辆，指标完成率100%。</w:t>
      </w:r>
    </w:p>
    <w:p w14:paraId="531F264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A04FE53">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指标1：排查覆盖率，指标值：=100%，实际完成值：100%，指标完成率100%</w:t>
      </w:r>
    </w:p>
    <w:p w14:paraId="5D582E1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8EBD1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指标1：排查工作完成时间，指标值：=2024年9月3日，实际完成值：2024年9月3日，指标完成率100%。</w:t>
      </w:r>
    </w:p>
    <w:p w14:paraId="02601C4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83B7BF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指标1：排查工作保障经费，指标值：≤3万元，实际完成值：3万元，指标完成率100%。</w:t>
      </w:r>
    </w:p>
    <w:p w14:paraId="17524A77">
      <w:pPr>
        <w:pStyle w:val="12"/>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2BAAD3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sz w:val="32"/>
          <w:szCs w:val="32"/>
          <w:highlight w:val="none"/>
          <w:lang w:val="en-US" w:eastAsia="zh-CN"/>
        </w:rPr>
        <w:t>实施效益和满意度</w:t>
      </w:r>
      <w:r>
        <w:rPr>
          <w:rFonts w:hint="default" w:ascii="Times New Roman" w:hAnsi="Times New Roman" w:eastAsia="仿宋_GB2312" w:cs="Times New Roman"/>
          <w:sz w:val="32"/>
          <w:szCs w:val="32"/>
          <w:lang w:val="en-US" w:eastAsia="zh-CN"/>
        </w:rPr>
        <w:t>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6EA827F5">
      <w:pPr>
        <w:numPr>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24A21986">
      <w:pPr>
        <w:shd w:val="clear"/>
        <w:spacing w:line="600" w:lineRule="exact"/>
        <w:ind w:firstLine="420" w:firstLineChars="200"/>
        <w:outlineLvl w:val="0"/>
        <w:rPr>
          <w:rFonts w:hint="default" w:ascii="Times New Roman" w:hAnsi="Times New Roman" w:eastAsia="仿宋_GB2312" w:cs="Times New Roman"/>
          <w:sz w:val="32"/>
          <w:szCs w:val="32"/>
          <w:highlight w:val="none"/>
        </w:rPr>
      </w:pPr>
      <w:r>
        <w:rPr>
          <w:rFonts w:hint="eastAsia"/>
          <w:lang w:val="en-US" w:eastAsia="zh-CN"/>
        </w:rPr>
        <w:t xml:space="preserve">  </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社会效益指标：</w:t>
      </w:r>
    </w:p>
    <w:p w14:paraId="6B20707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1：遏制景区内违法建筑蔓延势头，指标值：有效遏制，实际完成值：有效遏制，指标完成值100%。</w:t>
      </w:r>
    </w:p>
    <w:p w14:paraId="0FC453A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9828481">
      <w:pPr>
        <w:spacing w:line="560" w:lineRule="exact"/>
        <w:ind w:firstLine="640" w:firstLineChars="20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指标1：游客对景区环境满意度，指标值：≥95%，实际完成值：95%，指标完成值100%。</w:t>
      </w:r>
    </w:p>
    <w:p w14:paraId="6ECEB501">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78768038">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奇财建【2024】119号 关于拨付江布拉克景区管委会开展私搭乱建拆除专项工作资金的通知项目年初预算</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万元，实际支出</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%，项目绩效指标总体完成率为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eastAsia="zh-Hans"/>
        </w:rPr>
        <w:t>总体</w:t>
      </w:r>
      <w:r>
        <w:rPr>
          <w:rFonts w:hint="default" w:eastAsia="仿宋_GB2312" w:cs="Times New Roman"/>
          <w:sz w:val="32"/>
          <w:szCs w:val="32"/>
          <w:highlight w:val="none"/>
          <w:lang w:val="en-US" w:eastAsia="zh-CN"/>
        </w:rPr>
        <w:t>偏差率为</w:t>
      </w:r>
      <w:r>
        <w:rPr>
          <w:rFonts w:hint="eastAsia" w:eastAsia="仿宋_GB2312" w:cs="Times New Roman"/>
          <w:sz w:val="32"/>
          <w:szCs w:val="32"/>
          <w:highlight w:val="none"/>
          <w:lang w:val="en-US" w:eastAsia="zh-CN"/>
        </w:rPr>
        <w:t>0</w:t>
      </w:r>
      <w:r>
        <w:rPr>
          <w:rFonts w:hint="default" w:eastAsia="仿宋_GB2312" w:cs="Times New Roman"/>
          <w:sz w:val="32"/>
          <w:szCs w:val="32"/>
          <w:highlight w:val="none"/>
          <w:lang w:val="en-US" w:eastAsia="zh-CN"/>
        </w:rPr>
        <w:t>%。</w:t>
      </w:r>
    </w:p>
    <w:p w14:paraId="4F43E5BC">
      <w:pPr>
        <w:spacing w:line="560" w:lineRule="exact"/>
        <w:ind w:firstLine="640" w:firstLineChars="200"/>
        <w:rPr>
          <w:rStyle w:val="18"/>
          <w:rFonts w:hint="default" w:ascii="Times New Roman" w:hAnsi="Times New Roman" w:cs="Times New Roman"/>
          <w:color w:val="auto"/>
          <w:sz w:val="32"/>
          <w:szCs w:val="32"/>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6930072C">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7CD62852">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EF382E0">
      <w:pPr>
        <w:pStyle w:val="10"/>
        <w:spacing w:before="0" w:after="0" w:line="560" w:lineRule="exact"/>
        <w:ind w:firstLine="640" w:firstLineChars="200"/>
        <w:jc w:val="left"/>
        <w:rPr>
          <w:rFonts w:hint="default" w:ascii="Times New Roman" w:hAnsi="Times New Roman" w:eastAsia="仿宋_GB2312" w:cs="Times New Roman"/>
          <w:b w:val="0"/>
          <w:bCs w:val="0"/>
          <w:kern w:val="2"/>
          <w:sz w:val="32"/>
          <w:szCs w:val="32"/>
        </w:rPr>
      </w:pPr>
      <w:r>
        <w:rPr>
          <w:rFonts w:hint="eastAsia" w:ascii="Times New Roman" w:hAnsi="Times New Roman" w:eastAsia="仿宋_GB2312" w:cs="Times New Roman"/>
          <w:b w:val="0"/>
          <w:bCs w:val="0"/>
          <w:kern w:val="2"/>
          <w:sz w:val="32"/>
          <w:szCs w:val="32"/>
          <w:lang w:val="en-US" w:eastAsia="zh-CN"/>
        </w:rPr>
        <w:t>2.</w:t>
      </w:r>
      <w:r>
        <w:rPr>
          <w:rFonts w:hint="default" w:ascii="Times New Roman" w:hAnsi="Times New Roman" w:eastAsia="仿宋_GB2312" w:cs="Times New Roman"/>
          <w:b w:val="0"/>
          <w:bCs w:val="0"/>
          <w:kern w:val="2"/>
          <w:sz w:val="32"/>
          <w:szCs w:val="32"/>
        </w:rPr>
        <w:t>严格坚持先做事、后验收、再拨付的原则，</w:t>
      </w:r>
      <w:r>
        <w:rPr>
          <w:rFonts w:hint="eastAsia" w:ascii="Times New Roman" w:hAnsi="Times New Roman" w:eastAsia="仿宋_GB2312" w:cs="Times New Roman"/>
          <w:b w:val="0"/>
          <w:bCs w:val="0"/>
          <w:kern w:val="2"/>
          <w:sz w:val="32"/>
          <w:szCs w:val="32"/>
          <w:lang w:eastAsia="zh-CN"/>
        </w:rPr>
        <w:t>杜绝</w:t>
      </w:r>
      <w:r>
        <w:rPr>
          <w:rFonts w:hint="default" w:ascii="Times New Roman" w:hAnsi="Times New Roman" w:eastAsia="仿宋_GB2312" w:cs="Times New Roman"/>
          <w:b w:val="0"/>
          <w:bCs w:val="0"/>
          <w:kern w:val="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0841CD7">
      <w:pPr>
        <w:keepNext/>
        <w:keepLines/>
        <w:numPr>
          <w:ilvl w:val="0"/>
          <w:numId w:val="4"/>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2C8B6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CFD94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B0ECAF3">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.项目管理制度不健全，制度执行有效性不强，对项目任务提前分解、落实，切实提高财政资金使用率。</w:t>
      </w:r>
    </w:p>
    <w:p w14:paraId="253D2A08">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093D9CD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76D80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271DF7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8B2F1DB">
      <w:pPr>
        <w:shd w:val="clear"/>
        <w:spacing w:line="600" w:lineRule="exact"/>
        <w:ind w:firstLine="640" w:firstLineChars="200"/>
        <w:outlineLvl w:val="0"/>
        <w:rPr>
          <w:rFonts w:hint="default" w:ascii="Times New Roman" w:hAnsi="Times New Roman" w:cs="Times New Roman"/>
          <w:sz w:val="32"/>
          <w:szCs w:val="32"/>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rPr>
        <w:t>。</w:t>
      </w:r>
    </w:p>
    <w:p w14:paraId="054BFEC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C68124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36D005E">
      <w:pPr>
        <w:pStyle w:val="13"/>
        <w:spacing w:after="0" w:line="560" w:lineRule="exact"/>
        <w:ind w:left="0" w:leftChars="0" w:firstLine="640"/>
        <w:rPr>
          <w:rFonts w:hint="default" w:ascii="Times New Roman" w:hAnsi="Times New Roman" w:eastAsia="仿宋_GB2312" w:cs="Times New Roman"/>
          <w:sz w:val="32"/>
          <w:szCs w:val="32"/>
          <w:lang w:eastAsia="zh-Hans"/>
        </w:rPr>
      </w:pPr>
      <w:bookmarkStart w:id="3" w:name="_GoBack"/>
      <w:r>
        <w:rPr>
          <w:rFonts w:hint="default" w:ascii="Times New Roman" w:hAnsi="Times New Roman" w:eastAsia="仿宋_GB2312" w:cs="Times New Roman"/>
          <w:sz w:val="32"/>
          <w:szCs w:val="32"/>
          <w:lang w:eastAsia="zh-Hans"/>
        </w:rPr>
        <w:t>本项目无其他需说明的问题。</w:t>
      </w:r>
    </w:p>
    <w:bookmarkEnd w:id="3"/>
    <w:p w14:paraId="3DFEE4A7">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2A06F480">
      <w:pPr>
        <w:pStyle w:val="13"/>
        <w:spacing w:after="0" w:line="560" w:lineRule="exact"/>
        <w:ind w:left="0" w:leftChars="0" w:firstLine="640"/>
        <w:rPr>
          <w:rFonts w:hint="default" w:ascii="Times New Roman" w:hAnsi="Times New Roman" w:eastAsia="仿宋_GB2312" w:cs="Times New Roman"/>
          <w:sz w:val="32"/>
          <w:szCs w:val="32"/>
        </w:rPr>
      </w:pPr>
    </w:p>
    <w:p w14:paraId="6A923C3B">
      <w:pPr>
        <w:pStyle w:val="13"/>
        <w:spacing w:after="0" w:line="560" w:lineRule="exact"/>
        <w:ind w:left="0" w:leftChars="0" w:firstLine="640"/>
        <w:rPr>
          <w:rFonts w:hint="default" w:ascii="Times New Roman" w:hAnsi="Times New Roman" w:eastAsia="仿宋_GB2312" w:cs="Times New Roman"/>
          <w:sz w:val="32"/>
          <w:szCs w:val="32"/>
        </w:rPr>
      </w:pPr>
    </w:p>
    <w:p w14:paraId="53F2F3FF">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39B1009">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743E4BD">
      <w:pPr>
        <w:pStyle w:val="19"/>
        <w:ind w:firstLine="562"/>
        <w:jc w:val="center"/>
        <w:rPr>
          <w:rFonts w:hint="eastAsia" w:ascii="仿宋_GB2312" w:hAnsi="仿宋_GB2312" w:eastAsia="仿宋_GB2312" w:cs="仿宋_GB2312"/>
          <w:b/>
          <w:bCs/>
          <w:sz w:val="32"/>
          <w:szCs w:val="32"/>
          <w:lang w:val="en-US" w:eastAsia="zh-CN"/>
        </w:rPr>
      </w:pPr>
      <w:bookmarkStart w:id="1" w:name="_Toc26499_WPSOffice_Level2"/>
      <w:bookmarkStart w:id="2" w:name="_Toc30064_WPSOffice_Level1"/>
      <w:r>
        <w:rPr>
          <w:rFonts w:hint="eastAsia" w:ascii="仿宋_GB2312" w:hAnsi="仿宋_GB2312" w:eastAsia="仿宋_GB2312" w:cs="仿宋_GB2312"/>
          <w:b/>
          <w:bCs/>
          <w:sz w:val="32"/>
          <w:szCs w:val="32"/>
          <w:lang w:val="en-US" w:eastAsia="zh-CN"/>
        </w:rPr>
        <w:t>奇财建【2024】119号 关于拨付江布拉克景区管委会开展私搭乱建拆除专项工作资金的通知</w:t>
      </w:r>
    </w:p>
    <w:p w14:paraId="0A8F887E">
      <w:pPr>
        <w:pStyle w:val="19"/>
        <w:ind w:firstLine="562"/>
        <w:jc w:val="cente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59"/>
        <w:gridCol w:w="6"/>
      </w:tblGrid>
      <w:tr w14:paraId="1BE6C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6393FF3">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一级指标</w:t>
            </w:r>
          </w:p>
        </w:tc>
        <w:tc>
          <w:tcPr>
            <w:tcW w:w="1000" w:type="dxa"/>
            <w:shd w:val="clear" w:color="auto" w:fill="FFFFFF"/>
            <w:vAlign w:val="center"/>
          </w:tcPr>
          <w:p w14:paraId="039E4BF3">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二级指标</w:t>
            </w:r>
          </w:p>
        </w:tc>
        <w:tc>
          <w:tcPr>
            <w:tcW w:w="1071" w:type="dxa"/>
            <w:shd w:val="clear" w:color="auto" w:fill="FFFFFF"/>
            <w:vAlign w:val="center"/>
          </w:tcPr>
          <w:p w14:paraId="6EFB4ABB">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三级指标</w:t>
            </w:r>
          </w:p>
        </w:tc>
        <w:tc>
          <w:tcPr>
            <w:tcW w:w="1725" w:type="dxa"/>
            <w:shd w:val="clear" w:color="auto" w:fill="FFFFFF"/>
            <w:vAlign w:val="center"/>
          </w:tcPr>
          <w:p w14:paraId="52038C9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指标解释</w:t>
            </w:r>
          </w:p>
        </w:tc>
        <w:tc>
          <w:tcPr>
            <w:tcW w:w="5216" w:type="dxa"/>
            <w:shd w:val="clear" w:color="auto" w:fill="FFFFFF"/>
            <w:vAlign w:val="center"/>
          </w:tcPr>
          <w:p w14:paraId="43EE8FBE">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指标说明</w:t>
            </w:r>
          </w:p>
        </w:tc>
        <w:tc>
          <w:tcPr>
            <w:tcW w:w="1304" w:type="dxa"/>
            <w:gridSpan w:val="2"/>
            <w:shd w:val="clear" w:color="auto" w:fill="FFFFFF"/>
            <w:vAlign w:val="center"/>
          </w:tcPr>
          <w:p w14:paraId="769DE1F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权重</w:t>
            </w:r>
          </w:p>
        </w:tc>
        <w:tc>
          <w:tcPr>
            <w:tcW w:w="1365" w:type="dxa"/>
            <w:gridSpan w:val="2"/>
            <w:shd w:val="clear" w:color="auto" w:fill="FFFFFF"/>
            <w:vAlign w:val="center"/>
          </w:tcPr>
          <w:p w14:paraId="359C2930">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得分</w:t>
            </w:r>
          </w:p>
        </w:tc>
      </w:tr>
      <w:tr w14:paraId="19122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08C251A0">
            <w:pPr>
              <w:widowControl/>
              <w:spacing w:line="0" w:lineRule="atLeast"/>
              <w:jc w:val="center"/>
              <w:rPr>
                <w:rFonts w:hint="default" w:ascii="Times New Roman" w:hAnsi="Times New Roman" w:eastAsia="仿宋_GB2312" w:cs="Times New Roman"/>
                <w:color w:val="000000"/>
                <w:kern w:val="0"/>
                <w:sz w:val="32"/>
                <w:szCs w:val="32"/>
              </w:rPr>
            </w:pPr>
          </w:p>
          <w:p w14:paraId="3EDC600C">
            <w:pPr>
              <w:widowControl/>
              <w:spacing w:line="0" w:lineRule="atLeast"/>
              <w:jc w:val="center"/>
              <w:rPr>
                <w:rFonts w:hint="default" w:ascii="Times New Roman" w:hAnsi="Times New Roman" w:eastAsia="仿宋_GB2312" w:cs="Times New Roman"/>
                <w:color w:val="000000"/>
                <w:kern w:val="0"/>
                <w:sz w:val="32"/>
                <w:szCs w:val="32"/>
              </w:rPr>
            </w:pPr>
          </w:p>
          <w:p w14:paraId="5A30C72B">
            <w:pPr>
              <w:widowControl/>
              <w:spacing w:line="0" w:lineRule="atLeast"/>
              <w:jc w:val="center"/>
              <w:rPr>
                <w:rFonts w:hint="default" w:ascii="Times New Roman" w:hAnsi="Times New Roman" w:eastAsia="仿宋_GB2312" w:cs="Times New Roman"/>
                <w:color w:val="000000"/>
                <w:kern w:val="0"/>
                <w:sz w:val="32"/>
                <w:szCs w:val="32"/>
              </w:rPr>
            </w:pPr>
          </w:p>
          <w:p w14:paraId="7FEF0F0B">
            <w:pPr>
              <w:widowControl/>
              <w:spacing w:line="0" w:lineRule="atLeast"/>
              <w:jc w:val="center"/>
              <w:rPr>
                <w:rFonts w:hint="default" w:ascii="Times New Roman" w:hAnsi="Times New Roman" w:eastAsia="仿宋_GB2312" w:cs="Times New Roman"/>
                <w:color w:val="000000"/>
                <w:kern w:val="0"/>
                <w:sz w:val="32"/>
                <w:szCs w:val="32"/>
              </w:rPr>
            </w:pPr>
          </w:p>
          <w:p w14:paraId="2009B6A0">
            <w:pPr>
              <w:widowControl/>
              <w:spacing w:line="0" w:lineRule="atLeast"/>
              <w:jc w:val="center"/>
              <w:rPr>
                <w:rFonts w:hint="default" w:ascii="Times New Roman" w:hAnsi="Times New Roman" w:eastAsia="仿宋_GB2312" w:cs="Times New Roman"/>
                <w:color w:val="000000"/>
                <w:kern w:val="0"/>
                <w:sz w:val="32"/>
                <w:szCs w:val="32"/>
              </w:rPr>
            </w:pPr>
          </w:p>
          <w:p w14:paraId="4F21ECD7">
            <w:pPr>
              <w:widowControl/>
              <w:spacing w:line="0" w:lineRule="atLeast"/>
              <w:jc w:val="center"/>
              <w:rPr>
                <w:rFonts w:hint="default" w:ascii="Times New Roman" w:hAnsi="Times New Roman" w:eastAsia="仿宋_GB2312" w:cs="Times New Roman"/>
                <w:color w:val="000000"/>
                <w:kern w:val="0"/>
                <w:sz w:val="32"/>
                <w:szCs w:val="32"/>
              </w:rPr>
            </w:pPr>
          </w:p>
          <w:p w14:paraId="0B47AB66">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决策　</w:t>
            </w:r>
          </w:p>
        </w:tc>
        <w:tc>
          <w:tcPr>
            <w:tcW w:w="1000" w:type="dxa"/>
            <w:vMerge w:val="restart"/>
            <w:shd w:val="clear" w:color="auto" w:fill="FFFFFF"/>
            <w:vAlign w:val="center"/>
          </w:tcPr>
          <w:p w14:paraId="3B406BC1">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项目立项　</w:t>
            </w:r>
          </w:p>
        </w:tc>
        <w:tc>
          <w:tcPr>
            <w:tcW w:w="1071" w:type="dxa"/>
            <w:shd w:val="clear" w:color="auto" w:fill="FFFFFF"/>
            <w:vAlign w:val="center"/>
          </w:tcPr>
          <w:p w14:paraId="71CBF253">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立项依据</w:t>
            </w:r>
          </w:p>
          <w:p w14:paraId="3CA677BD">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充分性</w:t>
            </w:r>
          </w:p>
        </w:tc>
        <w:tc>
          <w:tcPr>
            <w:tcW w:w="1725" w:type="dxa"/>
            <w:shd w:val="clear" w:color="auto" w:fill="FFFFFF"/>
            <w:vAlign w:val="center"/>
          </w:tcPr>
          <w:p w14:paraId="6EBE85A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项目立项是否符合法律法规、相关政策、发展规划以及部门职责，用以反映和考核项目立项依据情况。</w:t>
            </w:r>
          </w:p>
        </w:tc>
        <w:tc>
          <w:tcPr>
            <w:tcW w:w="5216" w:type="dxa"/>
            <w:shd w:val="clear" w:color="auto" w:fill="FFFFFF"/>
            <w:vAlign w:val="center"/>
          </w:tcPr>
          <w:p w14:paraId="11D55D84">
            <w:pPr>
              <w:widowControl/>
              <w:spacing w:line="0" w:lineRule="atLeast"/>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①项目立项是否符合国家法律法规、国民经济发展规划和相关政策；</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②项目立项是否符合行业发展规划和政策要求；</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③项目立项是否与部门职责范围相符，属于部门履职所需；</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④项目是否属于公共财政支持范围，是否符合中央、地方事权支出责任划分原则；</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⑤项目是否与相关部门同类项目或部门内部相关项目重复。</w:t>
            </w:r>
          </w:p>
        </w:tc>
        <w:tc>
          <w:tcPr>
            <w:tcW w:w="1304" w:type="dxa"/>
            <w:gridSpan w:val="2"/>
            <w:shd w:val="clear" w:color="auto" w:fill="FFFFFF"/>
            <w:vAlign w:val="center"/>
          </w:tcPr>
          <w:p w14:paraId="324B8C46">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3</w:t>
            </w:r>
          </w:p>
        </w:tc>
        <w:tc>
          <w:tcPr>
            <w:tcW w:w="1365" w:type="dxa"/>
            <w:gridSpan w:val="2"/>
            <w:shd w:val="clear" w:color="auto" w:fill="FFFFFF"/>
            <w:vAlign w:val="center"/>
          </w:tcPr>
          <w:p w14:paraId="23CA1C63">
            <w:pPr>
              <w:widowControl/>
              <w:spacing w:line="0" w:lineRule="atLeast"/>
              <w:jc w:val="center"/>
              <w:rPr>
                <w:rFonts w:hint="eastAsia" w:ascii="Times New Roman" w:hAnsi="Times New Roman" w:eastAsia="仿宋_GB2312" w:cs="Times New Roman"/>
                <w:b/>
                <w:bCs/>
                <w:color w:val="000000"/>
                <w:kern w:val="0"/>
                <w:sz w:val="32"/>
                <w:szCs w:val="32"/>
                <w:highlight w:val="none"/>
                <w:lang w:eastAsia="zh-CN"/>
              </w:rPr>
            </w:pPr>
            <w:r>
              <w:rPr>
                <w:rFonts w:hint="eastAsia" w:eastAsia="仿宋_GB2312" w:cs="Times New Roman"/>
                <w:b/>
                <w:bCs/>
                <w:color w:val="000000"/>
                <w:kern w:val="0"/>
                <w:sz w:val="32"/>
                <w:szCs w:val="32"/>
                <w:highlight w:val="none"/>
                <w:lang w:val="en-US" w:eastAsia="zh-CN"/>
              </w:rPr>
              <w:t>3</w:t>
            </w:r>
          </w:p>
        </w:tc>
      </w:tr>
      <w:tr w14:paraId="3B588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294025F">
            <w:pPr>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1175BA54">
            <w:pPr>
              <w:widowControl/>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4881D183">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立项程序</w:t>
            </w:r>
          </w:p>
          <w:p w14:paraId="28982C73">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规范性</w:t>
            </w:r>
          </w:p>
        </w:tc>
        <w:tc>
          <w:tcPr>
            <w:tcW w:w="1725" w:type="dxa"/>
            <w:shd w:val="clear" w:color="auto" w:fill="FFFFFF"/>
            <w:vAlign w:val="center"/>
          </w:tcPr>
          <w:p w14:paraId="1206F79B">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项目申请、设立过程是否符合相关要求，用以反映和考核项目立项的规范情况。</w:t>
            </w:r>
          </w:p>
        </w:tc>
        <w:tc>
          <w:tcPr>
            <w:tcW w:w="5216" w:type="dxa"/>
            <w:shd w:val="clear" w:color="auto" w:fill="FFFFFF"/>
            <w:vAlign w:val="center"/>
          </w:tcPr>
          <w:p w14:paraId="32A53093">
            <w:pPr>
              <w:widowControl/>
              <w:spacing w:line="0" w:lineRule="atLeast"/>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①项目是否按照规定的程序申请设立；</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②审批文件、材料是否符合相关要求；</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③事前是否已经过必要的可行性研究、专家论证、风险评估、绩效评估、集体决策。</w:t>
            </w:r>
          </w:p>
        </w:tc>
        <w:tc>
          <w:tcPr>
            <w:tcW w:w="1304" w:type="dxa"/>
            <w:gridSpan w:val="2"/>
            <w:shd w:val="clear" w:color="auto" w:fill="FFFFFF"/>
            <w:vAlign w:val="center"/>
          </w:tcPr>
          <w:p w14:paraId="7378BF1D">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3</w:t>
            </w:r>
          </w:p>
        </w:tc>
        <w:tc>
          <w:tcPr>
            <w:tcW w:w="1365" w:type="dxa"/>
            <w:gridSpan w:val="2"/>
            <w:shd w:val="clear" w:color="auto" w:fill="FFFFFF"/>
            <w:vAlign w:val="center"/>
          </w:tcPr>
          <w:p w14:paraId="0DFD2561">
            <w:pPr>
              <w:widowControl/>
              <w:spacing w:line="0" w:lineRule="atLeast"/>
              <w:jc w:val="center"/>
              <w:rPr>
                <w:rFonts w:hint="eastAsia" w:ascii="Times New Roman" w:hAnsi="Times New Roman" w:eastAsia="仿宋_GB2312" w:cs="Times New Roman"/>
                <w:b/>
                <w:bCs/>
                <w:color w:val="000000"/>
                <w:kern w:val="0"/>
                <w:sz w:val="32"/>
                <w:szCs w:val="32"/>
                <w:highlight w:val="none"/>
                <w:lang w:eastAsia="zh-CN"/>
              </w:rPr>
            </w:pPr>
            <w:r>
              <w:rPr>
                <w:rFonts w:hint="eastAsia" w:eastAsia="仿宋_GB2312" w:cs="Times New Roman"/>
                <w:b/>
                <w:bCs/>
                <w:color w:val="000000"/>
                <w:kern w:val="0"/>
                <w:sz w:val="32"/>
                <w:szCs w:val="32"/>
                <w:highlight w:val="none"/>
                <w:lang w:val="en-US" w:eastAsia="zh-CN"/>
              </w:rPr>
              <w:t>3</w:t>
            </w:r>
          </w:p>
        </w:tc>
      </w:tr>
      <w:tr w14:paraId="5C657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DB3847B">
            <w:pPr>
              <w:spacing w:line="0" w:lineRule="atLeast"/>
              <w:jc w:val="center"/>
              <w:rPr>
                <w:rFonts w:hint="default" w:ascii="Times New Roman" w:hAnsi="Times New Roman" w:eastAsia="仿宋_GB2312" w:cs="Times New Roman"/>
                <w:color w:val="000000"/>
                <w:kern w:val="0"/>
                <w:sz w:val="32"/>
                <w:szCs w:val="32"/>
              </w:rPr>
            </w:pPr>
          </w:p>
        </w:tc>
        <w:tc>
          <w:tcPr>
            <w:tcW w:w="1000" w:type="dxa"/>
            <w:vMerge w:val="restart"/>
            <w:shd w:val="clear" w:color="auto" w:fill="FFFFFF"/>
            <w:vAlign w:val="center"/>
          </w:tcPr>
          <w:p w14:paraId="2DD9E5D0">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绩效目标　</w:t>
            </w:r>
          </w:p>
        </w:tc>
        <w:tc>
          <w:tcPr>
            <w:tcW w:w="1071" w:type="dxa"/>
            <w:shd w:val="clear" w:color="auto" w:fill="FFFFFF"/>
            <w:vAlign w:val="center"/>
          </w:tcPr>
          <w:p w14:paraId="0BE561E6">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绩效目标</w:t>
            </w:r>
          </w:p>
          <w:p w14:paraId="4A09C51D">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合理性</w:t>
            </w:r>
          </w:p>
        </w:tc>
        <w:tc>
          <w:tcPr>
            <w:tcW w:w="1725" w:type="dxa"/>
            <w:shd w:val="clear" w:color="000000" w:fill="FFFFFF"/>
            <w:vAlign w:val="center"/>
          </w:tcPr>
          <w:p w14:paraId="108508D5">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项目所设定的绩效目标是否依据充分，是否符合客观实际，用以反映和考核项目绩效目标与项目实施的相符情况。</w:t>
            </w:r>
          </w:p>
        </w:tc>
        <w:tc>
          <w:tcPr>
            <w:tcW w:w="5216" w:type="dxa"/>
            <w:shd w:val="clear" w:color="000000" w:fill="FFFFFF"/>
            <w:vAlign w:val="center"/>
          </w:tcPr>
          <w:p w14:paraId="0080F97A">
            <w:pPr>
              <w:widowControl/>
              <w:spacing w:line="0" w:lineRule="atLeast"/>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（如未设定预算绩效目标，也可考核其他工作任务目标）</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①项目是否有绩效目标；</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②项目绩效目标与实际工作内容是否具有相关性；</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③项目预期产出效益和效果是否符合正常的业绩水平；</w:t>
            </w:r>
          </w:p>
          <w:p w14:paraId="58F35A52">
            <w:pPr>
              <w:widowControl/>
              <w:spacing w:line="0" w:lineRule="atLeast"/>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④是否与预算确定的项目投资额或资金量相匹配。</w:t>
            </w:r>
          </w:p>
        </w:tc>
        <w:tc>
          <w:tcPr>
            <w:tcW w:w="1304" w:type="dxa"/>
            <w:gridSpan w:val="2"/>
            <w:shd w:val="clear" w:color="000000" w:fill="FFFFFF"/>
            <w:vAlign w:val="center"/>
          </w:tcPr>
          <w:p w14:paraId="12E6153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3</w:t>
            </w:r>
          </w:p>
        </w:tc>
        <w:tc>
          <w:tcPr>
            <w:tcW w:w="1365" w:type="dxa"/>
            <w:gridSpan w:val="2"/>
            <w:shd w:val="clear" w:color="000000" w:fill="FFFFFF"/>
            <w:vAlign w:val="center"/>
          </w:tcPr>
          <w:p w14:paraId="74F362B7">
            <w:pPr>
              <w:widowControl/>
              <w:spacing w:line="0" w:lineRule="atLeast"/>
              <w:jc w:val="center"/>
              <w:rPr>
                <w:rFonts w:hint="eastAsia" w:ascii="Times New Roman" w:hAnsi="Times New Roman" w:eastAsia="仿宋_GB2312" w:cs="Times New Roman"/>
                <w:b/>
                <w:bCs/>
                <w:color w:val="000000"/>
                <w:kern w:val="0"/>
                <w:sz w:val="32"/>
                <w:szCs w:val="32"/>
                <w:highlight w:val="none"/>
                <w:lang w:eastAsia="zh-CN"/>
              </w:rPr>
            </w:pPr>
            <w:r>
              <w:rPr>
                <w:rFonts w:hint="eastAsia" w:eastAsia="仿宋_GB2312" w:cs="Times New Roman"/>
                <w:b/>
                <w:bCs/>
                <w:color w:val="000000"/>
                <w:kern w:val="0"/>
                <w:sz w:val="32"/>
                <w:szCs w:val="32"/>
                <w:highlight w:val="none"/>
                <w:lang w:val="en-US" w:eastAsia="zh-CN"/>
              </w:rPr>
              <w:t>3</w:t>
            </w:r>
          </w:p>
        </w:tc>
      </w:tr>
      <w:tr w14:paraId="614A0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5A4D8C79">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3B844438">
            <w:pPr>
              <w:widowControl/>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37886C02">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绩效指标</w:t>
            </w:r>
          </w:p>
          <w:p w14:paraId="47E33ADB">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明确性</w:t>
            </w:r>
          </w:p>
        </w:tc>
        <w:tc>
          <w:tcPr>
            <w:tcW w:w="1725" w:type="dxa"/>
            <w:shd w:val="clear" w:color="000000" w:fill="FFFFFF"/>
            <w:vAlign w:val="center"/>
          </w:tcPr>
          <w:p w14:paraId="67646CC9">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依据绩效目标设定的绩效指标是否清晰、细化、可衡量等，用以反映和考核项目绩效目标的明细化情况。</w:t>
            </w:r>
          </w:p>
        </w:tc>
        <w:tc>
          <w:tcPr>
            <w:tcW w:w="5216" w:type="dxa"/>
            <w:shd w:val="clear" w:color="000000" w:fill="FFFFFF"/>
            <w:vAlign w:val="center"/>
          </w:tcPr>
          <w:p w14:paraId="3ABEAC78">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①是否将项目绩效目标细化分解为具体的绩效指标；</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②是否通过清晰、可衡量的指标值予以体现；</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③是否与项目目标任务数或计划数相对应。</w:t>
            </w:r>
            <w:r>
              <w:rPr>
                <w:rFonts w:hint="default" w:ascii="Times New Roman" w:hAnsi="Times New Roman" w:eastAsia="仿宋_GB2312" w:cs="Times New Roman"/>
                <w:color w:val="000000"/>
                <w:kern w:val="0"/>
                <w:sz w:val="32"/>
                <w:szCs w:val="32"/>
              </w:rPr>
              <w:br w:type="textWrapping"/>
            </w:r>
          </w:p>
        </w:tc>
        <w:tc>
          <w:tcPr>
            <w:tcW w:w="1304" w:type="dxa"/>
            <w:gridSpan w:val="2"/>
            <w:shd w:val="clear" w:color="000000" w:fill="FFFFFF"/>
            <w:vAlign w:val="center"/>
          </w:tcPr>
          <w:p w14:paraId="030E0D4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3</w:t>
            </w:r>
          </w:p>
        </w:tc>
        <w:tc>
          <w:tcPr>
            <w:tcW w:w="1365" w:type="dxa"/>
            <w:gridSpan w:val="2"/>
            <w:shd w:val="clear" w:color="000000" w:fill="FFFFFF"/>
            <w:vAlign w:val="center"/>
          </w:tcPr>
          <w:p w14:paraId="357F905E">
            <w:pPr>
              <w:widowControl/>
              <w:spacing w:line="0" w:lineRule="atLeast"/>
              <w:jc w:val="center"/>
              <w:rPr>
                <w:rFonts w:hint="default" w:ascii="Times New Roman" w:hAnsi="Times New Roman" w:eastAsia="仿宋_GB2312" w:cs="Times New Roman"/>
                <w:b/>
                <w:bCs/>
                <w:color w:val="000000"/>
                <w:kern w:val="0"/>
                <w:sz w:val="32"/>
                <w:szCs w:val="32"/>
                <w:highlight w:val="none"/>
              </w:rPr>
            </w:pPr>
            <w:r>
              <w:rPr>
                <w:rFonts w:hint="default" w:ascii="Times New Roman" w:hAnsi="Times New Roman" w:eastAsia="仿宋_GB2312" w:cs="Times New Roman"/>
                <w:b/>
                <w:bCs/>
                <w:color w:val="000000"/>
                <w:kern w:val="0"/>
                <w:sz w:val="32"/>
                <w:szCs w:val="32"/>
              </w:rPr>
              <w:t>3</w:t>
            </w:r>
          </w:p>
        </w:tc>
      </w:tr>
      <w:tr w14:paraId="65270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637E4E8">
            <w:pPr>
              <w:spacing w:line="0" w:lineRule="atLeast"/>
              <w:jc w:val="center"/>
              <w:rPr>
                <w:rFonts w:hint="default" w:ascii="Times New Roman" w:hAnsi="Times New Roman" w:eastAsia="仿宋_GB2312" w:cs="Times New Roman"/>
                <w:color w:val="000000"/>
                <w:kern w:val="0"/>
                <w:sz w:val="32"/>
                <w:szCs w:val="32"/>
              </w:rPr>
            </w:pPr>
          </w:p>
        </w:tc>
        <w:tc>
          <w:tcPr>
            <w:tcW w:w="1000" w:type="dxa"/>
            <w:vMerge w:val="restart"/>
            <w:shd w:val="clear" w:color="auto" w:fill="FFFFFF"/>
            <w:vAlign w:val="center"/>
          </w:tcPr>
          <w:p w14:paraId="119663DB">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资金投入</w:t>
            </w:r>
          </w:p>
          <w:p w14:paraId="09A766A0">
            <w:pPr>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w:t>
            </w:r>
          </w:p>
        </w:tc>
        <w:tc>
          <w:tcPr>
            <w:tcW w:w="1071" w:type="dxa"/>
            <w:shd w:val="clear" w:color="auto" w:fill="FFFFFF"/>
            <w:vAlign w:val="center"/>
          </w:tcPr>
          <w:p w14:paraId="7E97ADD0">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预算编制</w:t>
            </w:r>
          </w:p>
          <w:p w14:paraId="110E5978">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科学性</w:t>
            </w:r>
          </w:p>
        </w:tc>
        <w:tc>
          <w:tcPr>
            <w:tcW w:w="1725" w:type="dxa"/>
            <w:shd w:val="clear" w:color="auto" w:fill="FFFFFF"/>
            <w:vAlign w:val="center"/>
          </w:tcPr>
          <w:p w14:paraId="4C85BDB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529F72B6">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①预算编制是否经过科学论证；</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②预算内容与项目内容是否匹配；</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③预算额度测算依据是否充分，是否按照标准编制；</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④预算确定的项目投资额或资金量是否与工作任务相匹配。</w:t>
            </w:r>
          </w:p>
        </w:tc>
        <w:tc>
          <w:tcPr>
            <w:tcW w:w="1304" w:type="dxa"/>
            <w:gridSpan w:val="2"/>
            <w:shd w:val="clear" w:color="auto" w:fill="FFFFFF"/>
            <w:vAlign w:val="center"/>
          </w:tcPr>
          <w:p w14:paraId="654A3AF0">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auto" w:fill="FFFFFF"/>
            <w:vAlign w:val="center"/>
          </w:tcPr>
          <w:p w14:paraId="74DC56F5">
            <w:pPr>
              <w:widowControl/>
              <w:spacing w:line="0" w:lineRule="atLeast"/>
              <w:jc w:val="center"/>
              <w:rPr>
                <w:rFonts w:hint="default" w:ascii="Times New Roman" w:hAnsi="Times New Roman" w:eastAsia="仿宋_GB2312" w:cs="Times New Roman"/>
                <w:b/>
                <w:bCs/>
                <w:color w:val="000000"/>
                <w:kern w:val="0"/>
                <w:sz w:val="32"/>
                <w:szCs w:val="32"/>
                <w:highlight w:val="none"/>
              </w:rPr>
            </w:pPr>
            <w:r>
              <w:rPr>
                <w:rFonts w:hint="default" w:ascii="Times New Roman" w:hAnsi="Times New Roman" w:eastAsia="仿宋_GB2312" w:cs="Times New Roman"/>
                <w:b/>
                <w:bCs/>
                <w:color w:val="000000"/>
                <w:kern w:val="0"/>
                <w:sz w:val="32"/>
                <w:szCs w:val="32"/>
              </w:rPr>
              <w:t>4</w:t>
            </w:r>
          </w:p>
        </w:tc>
      </w:tr>
      <w:tr w14:paraId="50F50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B34A60C">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7BACF90B">
            <w:pPr>
              <w:widowControl/>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5C761008">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资金分配</w:t>
            </w:r>
          </w:p>
          <w:p w14:paraId="13FD0C6D">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合理性</w:t>
            </w:r>
          </w:p>
        </w:tc>
        <w:tc>
          <w:tcPr>
            <w:tcW w:w="1725" w:type="dxa"/>
            <w:shd w:val="clear" w:color="auto" w:fill="FFFFFF"/>
            <w:vAlign w:val="center"/>
          </w:tcPr>
          <w:p w14:paraId="333122B9">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7D2E48C">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①预算资金分配依据是否充分；</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②资金分配额度是否合理，与项目单位或地方实际是否相适应。</w:t>
            </w:r>
          </w:p>
        </w:tc>
        <w:tc>
          <w:tcPr>
            <w:tcW w:w="1304" w:type="dxa"/>
            <w:gridSpan w:val="2"/>
            <w:shd w:val="clear" w:color="auto" w:fill="FFFFFF"/>
            <w:vAlign w:val="center"/>
          </w:tcPr>
          <w:p w14:paraId="2BC77949">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auto" w:fill="FFFFFF"/>
            <w:vAlign w:val="center"/>
          </w:tcPr>
          <w:p w14:paraId="4841552F">
            <w:pPr>
              <w:widowControl/>
              <w:spacing w:line="0" w:lineRule="atLeast"/>
              <w:jc w:val="center"/>
              <w:rPr>
                <w:rFonts w:hint="default" w:ascii="Times New Roman" w:hAnsi="Times New Roman" w:eastAsia="仿宋_GB2312" w:cs="Times New Roman"/>
                <w:b/>
                <w:bCs/>
                <w:color w:val="000000"/>
                <w:kern w:val="0"/>
                <w:sz w:val="32"/>
                <w:szCs w:val="32"/>
                <w:highlight w:val="none"/>
              </w:rPr>
            </w:pPr>
            <w:r>
              <w:rPr>
                <w:rFonts w:hint="default" w:ascii="Times New Roman" w:hAnsi="Times New Roman" w:eastAsia="仿宋_GB2312" w:cs="Times New Roman"/>
                <w:b/>
                <w:bCs/>
                <w:color w:val="000000"/>
                <w:kern w:val="0"/>
                <w:sz w:val="32"/>
                <w:szCs w:val="32"/>
              </w:rPr>
              <w:t>4</w:t>
            </w:r>
          </w:p>
        </w:tc>
      </w:tr>
      <w:tr w14:paraId="230CF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87603E7">
            <w:pPr>
              <w:spacing w:line="0" w:lineRule="atLeast"/>
              <w:jc w:val="center"/>
              <w:rPr>
                <w:rFonts w:hint="default" w:ascii="Times New Roman" w:hAnsi="Times New Roman" w:eastAsia="仿宋_GB2312" w:cs="Times New Roman"/>
                <w:color w:val="000000"/>
                <w:kern w:val="0"/>
                <w:sz w:val="32"/>
                <w:szCs w:val="32"/>
              </w:rPr>
            </w:pPr>
          </w:p>
          <w:p w14:paraId="47837651">
            <w:pPr>
              <w:spacing w:line="0" w:lineRule="atLeast"/>
              <w:jc w:val="center"/>
              <w:rPr>
                <w:rFonts w:hint="default" w:ascii="Times New Roman" w:hAnsi="Times New Roman" w:eastAsia="仿宋_GB2312" w:cs="Times New Roman"/>
                <w:color w:val="000000"/>
                <w:kern w:val="0"/>
                <w:sz w:val="32"/>
                <w:szCs w:val="32"/>
              </w:rPr>
            </w:pPr>
          </w:p>
          <w:p w14:paraId="361BADC2">
            <w:pPr>
              <w:spacing w:line="0" w:lineRule="atLeast"/>
              <w:jc w:val="center"/>
              <w:rPr>
                <w:rFonts w:hint="default" w:ascii="Times New Roman" w:hAnsi="Times New Roman" w:eastAsia="仿宋_GB2312" w:cs="Times New Roman"/>
                <w:color w:val="000000"/>
                <w:kern w:val="0"/>
                <w:sz w:val="32"/>
                <w:szCs w:val="32"/>
              </w:rPr>
            </w:pPr>
          </w:p>
          <w:p w14:paraId="07DC385B">
            <w:pPr>
              <w:spacing w:line="0" w:lineRule="atLeast"/>
              <w:jc w:val="center"/>
              <w:rPr>
                <w:rFonts w:hint="default" w:ascii="Times New Roman" w:hAnsi="Times New Roman" w:eastAsia="仿宋_GB2312" w:cs="Times New Roman"/>
                <w:color w:val="000000"/>
                <w:kern w:val="0"/>
                <w:sz w:val="32"/>
                <w:szCs w:val="32"/>
              </w:rPr>
            </w:pPr>
          </w:p>
          <w:p w14:paraId="1CBE6DAF">
            <w:pPr>
              <w:spacing w:line="0" w:lineRule="atLeast"/>
              <w:jc w:val="center"/>
              <w:rPr>
                <w:rFonts w:hint="default" w:ascii="Times New Roman" w:hAnsi="Times New Roman" w:eastAsia="仿宋_GB2312" w:cs="Times New Roman"/>
                <w:color w:val="000000"/>
                <w:kern w:val="0"/>
                <w:sz w:val="32"/>
                <w:szCs w:val="32"/>
              </w:rPr>
            </w:pPr>
          </w:p>
          <w:p w14:paraId="0037E933">
            <w:pPr>
              <w:spacing w:line="0" w:lineRule="atLeast"/>
              <w:jc w:val="center"/>
              <w:rPr>
                <w:rFonts w:hint="default" w:ascii="Times New Roman" w:hAnsi="Times New Roman" w:eastAsia="仿宋_GB2312" w:cs="Times New Roman"/>
                <w:color w:val="000000"/>
                <w:kern w:val="0"/>
                <w:sz w:val="32"/>
                <w:szCs w:val="32"/>
              </w:rPr>
            </w:pPr>
          </w:p>
          <w:p w14:paraId="63A3F00A">
            <w:pPr>
              <w:spacing w:line="0" w:lineRule="atLeast"/>
              <w:jc w:val="center"/>
              <w:rPr>
                <w:rFonts w:hint="default" w:ascii="Times New Roman" w:hAnsi="Times New Roman" w:eastAsia="仿宋_GB2312" w:cs="Times New Roman"/>
                <w:color w:val="000000"/>
                <w:kern w:val="0"/>
                <w:sz w:val="32"/>
                <w:szCs w:val="32"/>
              </w:rPr>
            </w:pPr>
          </w:p>
          <w:p w14:paraId="50A13AD4">
            <w:pPr>
              <w:spacing w:line="0" w:lineRule="atLeast"/>
              <w:jc w:val="center"/>
              <w:rPr>
                <w:rFonts w:hint="default" w:ascii="Times New Roman" w:hAnsi="Times New Roman" w:eastAsia="仿宋_GB2312" w:cs="Times New Roman"/>
                <w:color w:val="000000"/>
                <w:kern w:val="0"/>
                <w:sz w:val="32"/>
                <w:szCs w:val="32"/>
              </w:rPr>
            </w:pPr>
          </w:p>
          <w:p w14:paraId="4A1A03E8">
            <w:pPr>
              <w:spacing w:line="0" w:lineRule="atLeast"/>
              <w:jc w:val="center"/>
              <w:rPr>
                <w:rFonts w:hint="default" w:ascii="Times New Roman" w:hAnsi="Times New Roman" w:eastAsia="仿宋_GB2312" w:cs="Times New Roman"/>
                <w:color w:val="000000"/>
                <w:kern w:val="0"/>
                <w:sz w:val="32"/>
                <w:szCs w:val="32"/>
              </w:rPr>
            </w:pPr>
          </w:p>
          <w:p w14:paraId="185588A7">
            <w:pPr>
              <w:spacing w:line="0" w:lineRule="atLeast"/>
              <w:jc w:val="center"/>
              <w:rPr>
                <w:rFonts w:hint="default" w:ascii="Times New Roman" w:hAnsi="Times New Roman" w:eastAsia="仿宋_GB2312" w:cs="Times New Roman"/>
                <w:color w:val="000000"/>
                <w:kern w:val="0"/>
                <w:sz w:val="32"/>
                <w:szCs w:val="32"/>
              </w:rPr>
            </w:pPr>
          </w:p>
          <w:p w14:paraId="36AE379D">
            <w:pPr>
              <w:spacing w:line="0" w:lineRule="atLeast"/>
              <w:jc w:val="center"/>
              <w:rPr>
                <w:rFonts w:hint="default" w:ascii="Times New Roman" w:hAnsi="Times New Roman" w:eastAsia="仿宋_GB2312" w:cs="Times New Roman"/>
                <w:color w:val="000000"/>
                <w:kern w:val="0"/>
                <w:sz w:val="32"/>
                <w:szCs w:val="32"/>
              </w:rPr>
            </w:pPr>
          </w:p>
          <w:p w14:paraId="30326900">
            <w:pPr>
              <w:spacing w:line="0" w:lineRule="atLeast"/>
              <w:jc w:val="center"/>
              <w:rPr>
                <w:rFonts w:hint="default" w:ascii="Times New Roman" w:hAnsi="Times New Roman" w:eastAsia="仿宋_GB2312" w:cs="Times New Roman"/>
                <w:color w:val="000000"/>
                <w:kern w:val="0"/>
                <w:sz w:val="32"/>
                <w:szCs w:val="32"/>
              </w:rPr>
            </w:pPr>
          </w:p>
          <w:p w14:paraId="2ACA3B8B">
            <w:pPr>
              <w:spacing w:line="0" w:lineRule="atLeast"/>
              <w:jc w:val="center"/>
              <w:rPr>
                <w:rFonts w:hint="default" w:ascii="Times New Roman" w:hAnsi="Times New Roman" w:eastAsia="仿宋_GB2312" w:cs="Times New Roman"/>
                <w:color w:val="000000"/>
                <w:kern w:val="0"/>
                <w:sz w:val="32"/>
                <w:szCs w:val="32"/>
              </w:rPr>
            </w:pPr>
          </w:p>
          <w:p w14:paraId="10FF9334">
            <w:pPr>
              <w:spacing w:line="0" w:lineRule="atLeast"/>
              <w:jc w:val="center"/>
              <w:rPr>
                <w:rFonts w:hint="default" w:ascii="Times New Roman" w:hAnsi="Times New Roman" w:eastAsia="仿宋_GB2312" w:cs="Times New Roman"/>
                <w:color w:val="000000"/>
                <w:kern w:val="0"/>
                <w:sz w:val="32"/>
                <w:szCs w:val="32"/>
              </w:rPr>
            </w:pPr>
          </w:p>
          <w:p w14:paraId="244EDE7D">
            <w:pPr>
              <w:spacing w:line="0" w:lineRule="atLeast"/>
              <w:jc w:val="center"/>
              <w:rPr>
                <w:rFonts w:hint="default" w:ascii="Times New Roman" w:hAnsi="Times New Roman" w:eastAsia="仿宋_GB2312" w:cs="Times New Roman"/>
                <w:color w:val="000000"/>
                <w:kern w:val="0"/>
                <w:sz w:val="32"/>
                <w:szCs w:val="32"/>
              </w:rPr>
            </w:pPr>
          </w:p>
          <w:p w14:paraId="29129159">
            <w:pPr>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过程</w:t>
            </w:r>
          </w:p>
          <w:p w14:paraId="744FB88F">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w:t>
            </w:r>
          </w:p>
        </w:tc>
        <w:tc>
          <w:tcPr>
            <w:tcW w:w="1000" w:type="dxa"/>
            <w:vMerge w:val="restart"/>
            <w:shd w:val="clear" w:color="auto" w:fill="FFFFFF"/>
            <w:vAlign w:val="center"/>
          </w:tcPr>
          <w:p w14:paraId="39BACE54">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资金管理</w:t>
            </w:r>
          </w:p>
        </w:tc>
        <w:tc>
          <w:tcPr>
            <w:tcW w:w="1071" w:type="dxa"/>
            <w:shd w:val="clear" w:color="auto" w:fill="FFFFFF"/>
            <w:vAlign w:val="center"/>
          </w:tcPr>
          <w:p w14:paraId="55FFFA52">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资金到位率</w:t>
            </w:r>
          </w:p>
        </w:tc>
        <w:tc>
          <w:tcPr>
            <w:tcW w:w="1725" w:type="dxa"/>
            <w:shd w:val="clear" w:color="000000" w:fill="FFFFFF"/>
            <w:vAlign w:val="center"/>
          </w:tcPr>
          <w:p w14:paraId="1B399F8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实际到位资金与预算资金的比率，用以反映和考核资金落实情况对项目实施的总体保障程度。</w:t>
            </w:r>
          </w:p>
        </w:tc>
        <w:tc>
          <w:tcPr>
            <w:tcW w:w="5216" w:type="dxa"/>
            <w:shd w:val="clear" w:color="000000" w:fill="FFFFFF"/>
            <w:vAlign w:val="center"/>
          </w:tcPr>
          <w:p w14:paraId="52992A43">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资金到位率=（实际到位资金/预算资金）×100%。</w:t>
            </w:r>
          </w:p>
          <w:p w14:paraId="084DA664">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实际到位资金：一定时期（本年度或项目期）内落实到具体项目的资金。</w:t>
            </w:r>
          </w:p>
          <w:p w14:paraId="2B7CAF34">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预算资金：一定时期（本年度或项目期）内预算安排到具体项目的资金。</w:t>
            </w:r>
          </w:p>
        </w:tc>
        <w:tc>
          <w:tcPr>
            <w:tcW w:w="1304" w:type="dxa"/>
            <w:gridSpan w:val="2"/>
            <w:shd w:val="clear" w:color="000000" w:fill="FFFFFF"/>
            <w:vAlign w:val="center"/>
          </w:tcPr>
          <w:p w14:paraId="7A6CCF44">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000000" w:fill="FFFFFF"/>
            <w:vAlign w:val="center"/>
          </w:tcPr>
          <w:p w14:paraId="759A867B">
            <w:pPr>
              <w:widowControl/>
              <w:spacing w:line="0" w:lineRule="atLeast"/>
              <w:jc w:val="center"/>
              <w:rPr>
                <w:rFonts w:hint="default" w:ascii="Times New Roman" w:hAnsi="Times New Roman" w:eastAsia="仿宋_GB2312" w:cs="Times New Roman"/>
                <w:b/>
                <w:bCs/>
                <w:color w:val="000000"/>
                <w:kern w:val="0"/>
                <w:sz w:val="32"/>
                <w:szCs w:val="32"/>
                <w:highlight w:val="none"/>
              </w:rPr>
            </w:pPr>
            <w:r>
              <w:rPr>
                <w:rFonts w:hint="default" w:ascii="Times New Roman" w:hAnsi="Times New Roman" w:eastAsia="仿宋_GB2312" w:cs="Times New Roman"/>
                <w:b/>
                <w:bCs/>
                <w:color w:val="000000"/>
                <w:kern w:val="0"/>
                <w:sz w:val="32"/>
                <w:szCs w:val="32"/>
              </w:rPr>
              <w:t>4</w:t>
            </w:r>
          </w:p>
        </w:tc>
      </w:tr>
      <w:tr w14:paraId="635AA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D18FFC7">
            <w:pPr>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4BB735F2">
            <w:pPr>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73CE66CE">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预算执行率</w:t>
            </w:r>
          </w:p>
        </w:tc>
        <w:tc>
          <w:tcPr>
            <w:tcW w:w="1725" w:type="dxa"/>
            <w:shd w:val="clear" w:color="auto" w:fill="FFFFFF"/>
            <w:vAlign w:val="center"/>
          </w:tcPr>
          <w:p w14:paraId="3BFA041F">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项目预算资金是否按照计划执行，用以反映或考核项目预算执行情况。</w:t>
            </w:r>
          </w:p>
        </w:tc>
        <w:tc>
          <w:tcPr>
            <w:tcW w:w="5216" w:type="dxa"/>
            <w:shd w:val="clear" w:color="auto" w:fill="FFFFFF"/>
            <w:vAlign w:val="center"/>
          </w:tcPr>
          <w:p w14:paraId="6714CE39">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预算执行率=（实际支出资金/实际到位资金）×100%。</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实际支出资金：一定时期（本年度或项目期）内项目实际拨付的资金。</w:t>
            </w:r>
          </w:p>
        </w:tc>
        <w:tc>
          <w:tcPr>
            <w:tcW w:w="1304" w:type="dxa"/>
            <w:gridSpan w:val="2"/>
            <w:shd w:val="clear" w:color="auto" w:fill="FFFFFF"/>
            <w:vAlign w:val="center"/>
          </w:tcPr>
          <w:p w14:paraId="004238D6">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auto" w:fill="FFFFFF"/>
            <w:vAlign w:val="center"/>
          </w:tcPr>
          <w:p w14:paraId="132EF21D">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r>
      <w:tr w14:paraId="63CC7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CDD497A">
            <w:pPr>
              <w:spacing w:line="0" w:lineRule="atLeast"/>
              <w:jc w:val="center"/>
              <w:rPr>
                <w:rFonts w:hint="default" w:ascii="Times New Roman" w:hAnsi="Times New Roman" w:eastAsia="仿宋_GB2312" w:cs="Times New Roman"/>
                <w:color w:val="000000"/>
                <w:kern w:val="0"/>
                <w:sz w:val="32"/>
                <w:szCs w:val="32"/>
              </w:rPr>
            </w:pPr>
          </w:p>
        </w:tc>
        <w:tc>
          <w:tcPr>
            <w:tcW w:w="1000" w:type="dxa"/>
            <w:shd w:val="clear" w:color="auto" w:fill="FFFFFF"/>
            <w:vAlign w:val="center"/>
          </w:tcPr>
          <w:p w14:paraId="3FD7BC91">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资金管理</w:t>
            </w:r>
          </w:p>
        </w:tc>
        <w:tc>
          <w:tcPr>
            <w:tcW w:w="1071" w:type="dxa"/>
            <w:shd w:val="clear" w:color="auto" w:fill="FFFFFF"/>
            <w:vAlign w:val="center"/>
          </w:tcPr>
          <w:p w14:paraId="6FC07FCA">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资金使用</w:t>
            </w:r>
          </w:p>
          <w:p w14:paraId="69FC853B">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合规性</w:t>
            </w:r>
          </w:p>
        </w:tc>
        <w:tc>
          <w:tcPr>
            <w:tcW w:w="1725" w:type="dxa"/>
            <w:shd w:val="clear" w:color="000000" w:fill="FFFFFF"/>
            <w:vAlign w:val="center"/>
          </w:tcPr>
          <w:p w14:paraId="7CBBE55D">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项目资金使用是否符合相关的财务管理制度规定，用以反映和考核项目资金的规范运行情况。</w:t>
            </w:r>
          </w:p>
        </w:tc>
        <w:tc>
          <w:tcPr>
            <w:tcW w:w="5216" w:type="dxa"/>
            <w:shd w:val="clear" w:color="000000" w:fill="FFFFFF"/>
            <w:vAlign w:val="center"/>
          </w:tcPr>
          <w:p w14:paraId="24F65905">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①是否符合国家财经法规和财务管理制度以及有关专项资金管理办法的规定；</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②资金的拨付是否有完整的审批程序和手续；</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③是否符合项目预算批复或合同规定的用途；</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④是否存在截留、挤占、挪用、虚列支出等情况。</w:t>
            </w:r>
          </w:p>
        </w:tc>
        <w:tc>
          <w:tcPr>
            <w:tcW w:w="1304" w:type="dxa"/>
            <w:gridSpan w:val="2"/>
            <w:shd w:val="clear" w:color="000000" w:fill="FFFFFF"/>
            <w:vAlign w:val="center"/>
          </w:tcPr>
          <w:p w14:paraId="5E66C7DE">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000000" w:fill="FFFFFF"/>
            <w:vAlign w:val="center"/>
          </w:tcPr>
          <w:p w14:paraId="3F38079A">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r>
      <w:tr w14:paraId="7F3BA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7CBCCF03">
            <w:pPr>
              <w:spacing w:line="0" w:lineRule="atLeast"/>
              <w:jc w:val="center"/>
              <w:rPr>
                <w:rFonts w:hint="default" w:ascii="Times New Roman" w:hAnsi="Times New Roman" w:eastAsia="仿宋_GB2312" w:cs="Times New Roman"/>
                <w:color w:val="000000"/>
                <w:kern w:val="0"/>
                <w:sz w:val="32"/>
                <w:szCs w:val="32"/>
              </w:rPr>
            </w:pPr>
          </w:p>
        </w:tc>
        <w:tc>
          <w:tcPr>
            <w:tcW w:w="1000" w:type="dxa"/>
            <w:vMerge w:val="restart"/>
            <w:shd w:val="clear" w:color="auto" w:fill="FFFFFF"/>
            <w:vAlign w:val="center"/>
          </w:tcPr>
          <w:p w14:paraId="3F403655">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组织实施</w:t>
            </w:r>
          </w:p>
          <w:p w14:paraId="37D9E053">
            <w:pPr>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w:t>
            </w:r>
          </w:p>
        </w:tc>
        <w:tc>
          <w:tcPr>
            <w:tcW w:w="1071" w:type="dxa"/>
            <w:shd w:val="clear" w:color="auto" w:fill="FFFFFF"/>
            <w:vAlign w:val="center"/>
          </w:tcPr>
          <w:p w14:paraId="7144E2D4">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管理制度</w:t>
            </w:r>
          </w:p>
          <w:p w14:paraId="22C63BAC">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健全性</w:t>
            </w:r>
          </w:p>
        </w:tc>
        <w:tc>
          <w:tcPr>
            <w:tcW w:w="1725" w:type="dxa"/>
            <w:shd w:val="clear" w:color="000000" w:fill="FFFFFF"/>
            <w:vAlign w:val="center"/>
          </w:tcPr>
          <w:p w14:paraId="500D1235">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项目实施单位的财务和业务管理制度是否健全，用以反映和考核财务和业务管理制度对项目顺利实施的保障情况。</w:t>
            </w:r>
          </w:p>
        </w:tc>
        <w:tc>
          <w:tcPr>
            <w:tcW w:w="5216" w:type="dxa"/>
            <w:shd w:val="clear" w:color="000000" w:fill="FFFFFF"/>
            <w:vAlign w:val="center"/>
          </w:tcPr>
          <w:p w14:paraId="59FDE90D">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①是否已制定或具有相应的财务和业务管理制度；</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②财务和业务管理制度是否合法、合规、完整。</w:t>
            </w:r>
          </w:p>
        </w:tc>
        <w:tc>
          <w:tcPr>
            <w:tcW w:w="1304" w:type="dxa"/>
            <w:gridSpan w:val="2"/>
            <w:shd w:val="clear" w:color="000000" w:fill="FFFFFF"/>
            <w:vAlign w:val="center"/>
          </w:tcPr>
          <w:p w14:paraId="33CCD8D8">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000000" w:fill="FFFFFF"/>
            <w:vAlign w:val="center"/>
          </w:tcPr>
          <w:p w14:paraId="5F8FD608">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r>
      <w:tr w14:paraId="5BEAA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12871C05">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56FB45F9">
            <w:pPr>
              <w:widowControl/>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16DF6BDF">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制度执行</w:t>
            </w:r>
          </w:p>
          <w:p w14:paraId="4CD71246">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有效性</w:t>
            </w:r>
          </w:p>
        </w:tc>
        <w:tc>
          <w:tcPr>
            <w:tcW w:w="1725" w:type="dxa"/>
            <w:shd w:val="clear" w:color="000000" w:fill="FFFFFF"/>
            <w:vAlign w:val="center"/>
          </w:tcPr>
          <w:p w14:paraId="13268C4E">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项目实施是否符合相关管理规定，用以反映和考核相关管理制度的有效执行情况。</w:t>
            </w:r>
          </w:p>
        </w:tc>
        <w:tc>
          <w:tcPr>
            <w:tcW w:w="5216" w:type="dxa"/>
            <w:shd w:val="clear" w:color="000000" w:fill="FFFFFF"/>
            <w:vAlign w:val="center"/>
          </w:tcPr>
          <w:p w14:paraId="1D6A0B0E">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评价要点：</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①是否遵守相关法律法规和相关管理规定；</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②项目调整及支出调整手续是否完备；</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③项目合同书、验收报告、技术鉴定等资料是否齐全并及时归档；</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④项目实施的人员条件、场地设备、信息支撑等是否落实到位。</w:t>
            </w:r>
          </w:p>
        </w:tc>
        <w:tc>
          <w:tcPr>
            <w:tcW w:w="1304" w:type="dxa"/>
            <w:gridSpan w:val="2"/>
            <w:shd w:val="clear" w:color="000000" w:fill="FFFFFF"/>
            <w:vAlign w:val="center"/>
          </w:tcPr>
          <w:p w14:paraId="429ACD88">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c>
          <w:tcPr>
            <w:tcW w:w="1365" w:type="dxa"/>
            <w:gridSpan w:val="2"/>
            <w:shd w:val="clear" w:color="000000" w:fill="FFFFFF"/>
            <w:vAlign w:val="center"/>
          </w:tcPr>
          <w:p w14:paraId="241EB39C">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4</w:t>
            </w:r>
          </w:p>
        </w:tc>
      </w:tr>
      <w:tr w14:paraId="26FF4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1EEADD5A">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产出</w:t>
            </w:r>
          </w:p>
        </w:tc>
        <w:tc>
          <w:tcPr>
            <w:tcW w:w="1000" w:type="dxa"/>
            <w:shd w:val="clear" w:color="auto" w:fill="FFFFFF"/>
            <w:vAlign w:val="center"/>
          </w:tcPr>
          <w:p w14:paraId="0312D5CF">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产出数量</w:t>
            </w:r>
          </w:p>
        </w:tc>
        <w:tc>
          <w:tcPr>
            <w:tcW w:w="1071" w:type="dxa"/>
            <w:shd w:val="clear" w:color="auto" w:fill="FFFFFF"/>
            <w:vAlign w:val="center"/>
          </w:tcPr>
          <w:p w14:paraId="7E249F5E">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实际完成率</w:t>
            </w:r>
          </w:p>
        </w:tc>
        <w:tc>
          <w:tcPr>
            <w:tcW w:w="1725" w:type="dxa"/>
            <w:shd w:val="clear" w:color="000000" w:fill="FFFFFF"/>
            <w:vAlign w:val="center"/>
          </w:tcPr>
          <w:p w14:paraId="4B9D0E31">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项目实施的实际产出数与计划产出数的比率，用以反映和考核项目产出数量目标的实现程度。</w:t>
            </w:r>
          </w:p>
        </w:tc>
        <w:tc>
          <w:tcPr>
            <w:tcW w:w="5216" w:type="dxa"/>
            <w:shd w:val="clear" w:color="000000" w:fill="FFFFFF"/>
            <w:vAlign w:val="center"/>
          </w:tcPr>
          <w:p w14:paraId="53AAF105">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实际完成率=（实际产出数/计划产出数）×100%。</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实际产出数：一定时期（本年度或项目期）内项目实际产出的产品或提供的服务数量。</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计划产出数：项目绩效目标确定的在一定时期（本年度或项目期）内计划产出的产品或提供的服务数量。</w:t>
            </w:r>
          </w:p>
        </w:tc>
        <w:tc>
          <w:tcPr>
            <w:tcW w:w="1304" w:type="dxa"/>
            <w:gridSpan w:val="2"/>
            <w:shd w:val="clear" w:color="000000" w:fill="FFFFFF"/>
            <w:vAlign w:val="center"/>
          </w:tcPr>
          <w:p w14:paraId="30EC5764">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000000" w:fill="FFFFFF"/>
            <w:vAlign w:val="center"/>
          </w:tcPr>
          <w:p w14:paraId="6B6FE2A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1A912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6005345">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shd w:val="clear" w:color="auto" w:fill="FFFFFF"/>
            <w:vAlign w:val="center"/>
          </w:tcPr>
          <w:p w14:paraId="0EBF55F1">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产出质量</w:t>
            </w:r>
          </w:p>
        </w:tc>
        <w:tc>
          <w:tcPr>
            <w:tcW w:w="1071" w:type="dxa"/>
            <w:shd w:val="clear" w:color="auto" w:fill="FFFFFF"/>
            <w:vAlign w:val="center"/>
          </w:tcPr>
          <w:p w14:paraId="4A6A4F9D">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质量达标率</w:t>
            </w:r>
          </w:p>
        </w:tc>
        <w:tc>
          <w:tcPr>
            <w:tcW w:w="1725" w:type="dxa"/>
            <w:shd w:val="clear" w:color="000000" w:fill="FFFFFF"/>
            <w:vAlign w:val="center"/>
          </w:tcPr>
          <w:p w14:paraId="0505012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项目完成的质量达标产出数与实际产出数的比率，用以反映和考核项目产出质量目标的实现程度。</w:t>
            </w:r>
          </w:p>
        </w:tc>
        <w:tc>
          <w:tcPr>
            <w:tcW w:w="5216" w:type="dxa"/>
            <w:shd w:val="clear" w:color="000000" w:fill="FFFFFF"/>
            <w:vAlign w:val="center"/>
          </w:tcPr>
          <w:p w14:paraId="086BC8E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质量达标率=（质量达标产出数/实际产出数）×100%。</w:t>
            </w:r>
          </w:p>
          <w:p w14:paraId="22864E3D">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032F9CD6">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000000" w:fill="FFFFFF"/>
            <w:vAlign w:val="center"/>
          </w:tcPr>
          <w:p w14:paraId="3B59EC39">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15437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65C86F5">
            <w:pPr>
              <w:spacing w:line="0" w:lineRule="atLeast"/>
              <w:jc w:val="center"/>
              <w:rPr>
                <w:rFonts w:hint="default" w:ascii="Times New Roman" w:hAnsi="Times New Roman" w:eastAsia="仿宋_GB2312" w:cs="Times New Roman"/>
                <w:color w:val="000000"/>
                <w:kern w:val="0"/>
                <w:sz w:val="32"/>
                <w:szCs w:val="32"/>
              </w:rPr>
            </w:pPr>
          </w:p>
        </w:tc>
        <w:tc>
          <w:tcPr>
            <w:tcW w:w="1000" w:type="dxa"/>
            <w:shd w:val="clear" w:color="auto" w:fill="FFFFFF"/>
            <w:vAlign w:val="center"/>
          </w:tcPr>
          <w:p w14:paraId="0087D813">
            <w:pPr>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产出时效</w:t>
            </w:r>
          </w:p>
        </w:tc>
        <w:tc>
          <w:tcPr>
            <w:tcW w:w="1071" w:type="dxa"/>
            <w:shd w:val="clear" w:color="auto" w:fill="FFFFFF"/>
            <w:vAlign w:val="center"/>
          </w:tcPr>
          <w:p w14:paraId="43B74F97">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完成及时性</w:t>
            </w:r>
          </w:p>
        </w:tc>
        <w:tc>
          <w:tcPr>
            <w:tcW w:w="1725" w:type="dxa"/>
            <w:shd w:val="clear" w:color="000000" w:fill="FFFFFF"/>
            <w:vAlign w:val="center"/>
          </w:tcPr>
          <w:p w14:paraId="52C08551">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项目实际完成时间与计划完成时间的比较，用以反映和考核项目产出时效目标的实现程度。</w:t>
            </w:r>
          </w:p>
        </w:tc>
        <w:tc>
          <w:tcPr>
            <w:tcW w:w="5216" w:type="dxa"/>
            <w:shd w:val="clear" w:color="000000" w:fill="FFFFFF"/>
            <w:vAlign w:val="center"/>
          </w:tcPr>
          <w:p w14:paraId="71E242F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实际完成时间：项目实施单位完成该项目实际所耗用的时间。</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计划完成时间：按照项目实施计划或相关规定完成该项目所需的时间。</w:t>
            </w:r>
          </w:p>
        </w:tc>
        <w:tc>
          <w:tcPr>
            <w:tcW w:w="1304" w:type="dxa"/>
            <w:gridSpan w:val="2"/>
            <w:shd w:val="clear" w:color="000000" w:fill="FFFFFF"/>
            <w:vAlign w:val="center"/>
          </w:tcPr>
          <w:p w14:paraId="78B66467">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000000" w:fill="FFFFFF"/>
            <w:vAlign w:val="center"/>
          </w:tcPr>
          <w:p w14:paraId="1900760F">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020A9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60C10F7">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shd w:val="clear" w:color="auto" w:fill="FFFFFF"/>
            <w:vAlign w:val="center"/>
          </w:tcPr>
          <w:p w14:paraId="31CF6EA1">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产出成本</w:t>
            </w:r>
          </w:p>
        </w:tc>
        <w:tc>
          <w:tcPr>
            <w:tcW w:w="1071" w:type="dxa"/>
            <w:shd w:val="clear" w:color="auto" w:fill="FFFFFF"/>
            <w:vAlign w:val="center"/>
          </w:tcPr>
          <w:p w14:paraId="12D3A8D6">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成本节约率</w:t>
            </w:r>
          </w:p>
        </w:tc>
        <w:tc>
          <w:tcPr>
            <w:tcW w:w="1725" w:type="dxa"/>
            <w:shd w:val="clear" w:color="000000" w:fill="FFFFFF"/>
            <w:vAlign w:val="center"/>
          </w:tcPr>
          <w:p w14:paraId="0C25A8B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完成项目计划工作目标的实际节约成本与计划成本的比率，用以反映和考核项目的成本节约程度。</w:t>
            </w:r>
          </w:p>
        </w:tc>
        <w:tc>
          <w:tcPr>
            <w:tcW w:w="5216" w:type="dxa"/>
            <w:shd w:val="clear" w:color="000000" w:fill="FFFFFF"/>
            <w:vAlign w:val="center"/>
          </w:tcPr>
          <w:p w14:paraId="3735B44A">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成本节约率=[（计划成本-实际成本）/计划成本]×100%。</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实际成本：项目实施单位如期、保质、保量完成既定工作目标实际所耗费的支出。</w:t>
            </w:r>
            <w:r>
              <w:rPr>
                <w:rFonts w:hint="default" w:ascii="Times New Roman" w:hAnsi="Times New Roman" w:eastAsia="仿宋_GB2312" w:cs="Times New Roman"/>
                <w:color w:val="000000"/>
                <w:kern w:val="0"/>
                <w:sz w:val="32"/>
                <w:szCs w:val="32"/>
              </w:rPr>
              <w:br w:type="textWrapping"/>
            </w:r>
            <w:r>
              <w:rPr>
                <w:rFonts w:hint="default" w:ascii="Times New Roman" w:hAnsi="Times New Roman" w:eastAsia="仿宋_GB2312" w:cs="Times New Roman"/>
                <w:color w:val="000000"/>
                <w:kern w:val="0"/>
                <w:sz w:val="32"/>
                <w:szCs w:val="32"/>
              </w:rPr>
              <w:t>计划成本：项目实施单位为完成工作目标计划安排的支出，一般以项目预算为参考。</w:t>
            </w:r>
          </w:p>
        </w:tc>
        <w:tc>
          <w:tcPr>
            <w:tcW w:w="1304" w:type="dxa"/>
            <w:gridSpan w:val="2"/>
            <w:shd w:val="clear" w:color="000000" w:fill="FFFFFF"/>
            <w:vAlign w:val="center"/>
          </w:tcPr>
          <w:p w14:paraId="5B627297">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000000" w:fill="FFFFFF"/>
            <w:vAlign w:val="center"/>
          </w:tcPr>
          <w:p w14:paraId="129D737D">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682AF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475E533">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效益　</w:t>
            </w:r>
          </w:p>
        </w:tc>
        <w:tc>
          <w:tcPr>
            <w:tcW w:w="1000" w:type="dxa"/>
            <w:vMerge w:val="restart"/>
            <w:shd w:val="clear" w:color="auto" w:fill="FFFFFF"/>
            <w:vAlign w:val="center"/>
          </w:tcPr>
          <w:p w14:paraId="3412484F">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项目效益　</w:t>
            </w:r>
          </w:p>
        </w:tc>
        <w:tc>
          <w:tcPr>
            <w:tcW w:w="1071" w:type="dxa"/>
            <w:shd w:val="clear" w:color="auto" w:fill="FFFFFF"/>
            <w:vAlign w:val="center"/>
          </w:tcPr>
          <w:p w14:paraId="69FB6A35">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实施效益</w:t>
            </w:r>
          </w:p>
        </w:tc>
        <w:tc>
          <w:tcPr>
            <w:tcW w:w="1725" w:type="dxa"/>
            <w:shd w:val="clear" w:color="auto" w:fill="FFFFFF"/>
            <w:vAlign w:val="center"/>
          </w:tcPr>
          <w:p w14:paraId="64D365D4">
            <w:pPr>
              <w:widowControl/>
              <w:spacing w:line="0" w:lineRule="atLeast"/>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项目实施所产生的效益。</w:t>
            </w:r>
          </w:p>
        </w:tc>
        <w:tc>
          <w:tcPr>
            <w:tcW w:w="5216" w:type="dxa"/>
            <w:shd w:val="clear" w:color="auto" w:fill="FFFFFF"/>
            <w:vAlign w:val="center"/>
          </w:tcPr>
          <w:p w14:paraId="221596AC">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项目实施所产生的社会效益、经济效益、生态效益、可持续影响等。可根据项目实际情况有选择地设置和细化。</w:t>
            </w:r>
          </w:p>
        </w:tc>
        <w:tc>
          <w:tcPr>
            <w:tcW w:w="1304" w:type="dxa"/>
            <w:gridSpan w:val="2"/>
            <w:shd w:val="clear" w:color="auto" w:fill="FFFFFF"/>
            <w:vAlign w:val="center"/>
          </w:tcPr>
          <w:p w14:paraId="4D23739F">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auto" w:fill="FFFFFF"/>
            <w:vAlign w:val="center"/>
          </w:tcPr>
          <w:p w14:paraId="79A1F0DD">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6AD62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52748CC">
            <w:pPr>
              <w:widowControl/>
              <w:spacing w:line="0" w:lineRule="atLeast"/>
              <w:jc w:val="center"/>
              <w:rPr>
                <w:rFonts w:hint="default" w:ascii="Times New Roman" w:hAnsi="Times New Roman" w:eastAsia="仿宋_GB2312" w:cs="Times New Roman"/>
                <w:color w:val="000000"/>
                <w:kern w:val="0"/>
                <w:sz w:val="32"/>
                <w:szCs w:val="32"/>
              </w:rPr>
            </w:pPr>
          </w:p>
        </w:tc>
        <w:tc>
          <w:tcPr>
            <w:tcW w:w="1000" w:type="dxa"/>
            <w:vMerge w:val="continue"/>
            <w:shd w:val="clear" w:color="auto" w:fill="FFFFFF"/>
            <w:vAlign w:val="center"/>
          </w:tcPr>
          <w:p w14:paraId="175EE30C">
            <w:pPr>
              <w:widowControl/>
              <w:spacing w:line="0" w:lineRule="atLeast"/>
              <w:jc w:val="center"/>
              <w:rPr>
                <w:rFonts w:hint="default" w:ascii="Times New Roman" w:hAnsi="Times New Roman" w:eastAsia="仿宋_GB2312" w:cs="Times New Roman"/>
                <w:color w:val="000000"/>
                <w:kern w:val="0"/>
                <w:sz w:val="32"/>
                <w:szCs w:val="32"/>
              </w:rPr>
            </w:pPr>
          </w:p>
        </w:tc>
        <w:tc>
          <w:tcPr>
            <w:tcW w:w="1071" w:type="dxa"/>
            <w:shd w:val="clear" w:color="auto" w:fill="FFFFFF"/>
            <w:vAlign w:val="center"/>
          </w:tcPr>
          <w:p w14:paraId="7512DF43">
            <w:pPr>
              <w:widowControl/>
              <w:spacing w:line="0" w:lineRule="atLeast"/>
              <w:jc w:val="cente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满意度</w:t>
            </w:r>
          </w:p>
        </w:tc>
        <w:tc>
          <w:tcPr>
            <w:tcW w:w="1725" w:type="dxa"/>
            <w:shd w:val="clear" w:color="000000" w:fill="FFFFFF"/>
            <w:vAlign w:val="center"/>
          </w:tcPr>
          <w:p w14:paraId="31E80C98">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社会公众或服务对象对项目实施效果的满意程度。</w:t>
            </w:r>
          </w:p>
        </w:tc>
        <w:tc>
          <w:tcPr>
            <w:tcW w:w="5216" w:type="dxa"/>
            <w:shd w:val="clear" w:color="000000" w:fill="FFFFFF"/>
            <w:vAlign w:val="center"/>
          </w:tcPr>
          <w:p w14:paraId="603D83DE">
            <w:pPr>
              <w:widowControl/>
              <w:spacing w:line="0" w:lineRule="atLeas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社会公众或服务对象是指因该项目实施而受到影响的部门（单位）、群体或个人。一般采取社会调查的方式。</w:t>
            </w:r>
          </w:p>
        </w:tc>
        <w:tc>
          <w:tcPr>
            <w:tcW w:w="1304" w:type="dxa"/>
            <w:gridSpan w:val="2"/>
            <w:shd w:val="clear" w:color="000000" w:fill="FFFFFF"/>
            <w:vAlign w:val="center"/>
          </w:tcPr>
          <w:p w14:paraId="348D4485">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c>
          <w:tcPr>
            <w:tcW w:w="1365" w:type="dxa"/>
            <w:gridSpan w:val="2"/>
            <w:shd w:val="clear" w:color="000000" w:fill="FFFFFF"/>
            <w:vAlign w:val="center"/>
          </w:tcPr>
          <w:p w14:paraId="383583FF">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10</w:t>
            </w:r>
          </w:p>
        </w:tc>
      </w:tr>
      <w:tr w14:paraId="1D545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1F2A427A">
            <w:pPr>
              <w:widowControl/>
              <w:spacing w:line="0" w:lineRule="atLeast"/>
              <w:jc w:val="center"/>
              <w:rPr>
                <w:rFonts w:hint="eastAsia" w:ascii="Times New Roman" w:hAnsi="Times New Roman" w:eastAsia="仿宋_GB2312" w:cs="Times New Roman"/>
                <w:b/>
                <w:bCs/>
                <w:color w:val="000000"/>
                <w:kern w:val="0"/>
                <w:sz w:val="32"/>
                <w:szCs w:val="32"/>
                <w:lang w:val="en-US" w:eastAsia="zh-CN"/>
              </w:rPr>
            </w:pPr>
            <w:r>
              <w:rPr>
                <w:rFonts w:hint="eastAsia" w:eastAsia="仿宋_GB2312" w:cs="Times New Roman"/>
                <w:b/>
                <w:bCs/>
                <w:color w:val="000000"/>
                <w:kern w:val="0"/>
                <w:sz w:val="32"/>
                <w:szCs w:val="32"/>
                <w:lang w:val="en-US" w:eastAsia="zh-CN"/>
              </w:rPr>
              <w:t>合计</w:t>
            </w:r>
          </w:p>
        </w:tc>
        <w:tc>
          <w:tcPr>
            <w:tcW w:w="1299" w:type="dxa"/>
            <w:shd w:val="clear" w:color="000000" w:fill="FFFFFF"/>
            <w:vAlign w:val="center"/>
          </w:tcPr>
          <w:p w14:paraId="1691452C">
            <w:pPr>
              <w:widowControl/>
              <w:spacing w:line="0" w:lineRule="atLeast"/>
              <w:jc w:val="center"/>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fldChar w:fldCharType="begin"/>
            </w:r>
            <w:r>
              <w:rPr>
                <w:rFonts w:hint="default" w:ascii="Times New Roman" w:hAnsi="Times New Roman" w:eastAsia="仿宋_GB2312" w:cs="Times New Roman"/>
                <w:b/>
                <w:bCs/>
                <w:color w:val="000000"/>
                <w:kern w:val="0"/>
                <w:sz w:val="32"/>
                <w:szCs w:val="32"/>
              </w:rPr>
              <w:instrText xml:space="preserve"> = sum(F2:F18) \* MERGEFORMAT </w:instrText>
            </w:r>
            <w:r>
              <w:rPr>
                <w:rFonts w:hint="default" w:ascii="Times New Roman" w:hAnsi="Times New Roman" w:eastAsia="仿宋_GB2312" w:cs="Times New Roman"/>
                <w:b/>
                <w:bCs/>
                <w:color w:val="000000"/>
                <w:kern w:val="0"/>
                <w:sz w:val="32"/>
                <w:szCs w:val="32"/>
              </w:rPr>
              <w:fldChar w:fldCharType="separate"/>
            </w:r>
            <w:r>
              <w:rPr>
                <w:rFonts w:hint="default" w:ascii="Times New Roman" w:hAnsi="Times New Roman" w:eastAsia="仿宋_GB2312" w:cs="Times New Roman"/>
                <w:b/>
                <w:bCs/>
                <w:color w:val="000000"/>
                <w:kern w:val="0"/>
                <w:sz w:val="32"/>
                <w:szCs w:val="32"/>
              </w:rPr>
              <w:t>100</w:t>
            </w:r>
            <w:r>
              <w:rPr>
                <w:rFonts w:hint="default" w:ascii="Times New Roman" w:hAnsi="Times New Roman" w:eastAsia="仿宋_GB2312" w:cs="Times New Roman"/>
                <w:b/>
                <w:bCs/>
                <w:color w:val="000000"/>
                <w:kern w:val="0"/>
                <w:sz w:val="32"/>
                <w:szCs w:val="32"/>
              </w:rPr>
              <w:fldChar w:fldCharType="end"/>
            </w:r>
          </w:p>
        </w:tc>
        <w:tc>
          <w:tcPr>
            <w:tcW w:w="1359" w:type="dxa"/>
            <w:shd w:val="clear" w:color="000000" w:fill="FFFFFF"/>
            <w:vAlign w:val="center"/>
          </w:tcPr>
          <w:p w14:paraId="62100278">
            <w:pPr>
              <w:widowControl/>
              <w:spacing w:line="0" w:lineRule="atLeast"/>
              <w:jc w:val="center"/>
              <w:rPr>
                <w:rFonts w:hint="default" w:ascii="Times New Roman" w:hAnsi="Times New Roman" w:eastAsia="仿宋_GB2312" w:cs="Times New Roman"/>
                <w:b/>
                <w:bCs/>
                <w:color w:val="000000"/>
                <w:kern w:val="0"/>
                <w:sz w:val="32"/>
                <w:szCs w:val="32"/>
                <w:highlight w:val="yellow"/>
              </w:rPr>
            </w:pPr>
            <w:r>
              <w:rPr>
                <w:rFonts w:hint="default" w:ascii="Times New Roman" w:hAnsi="Times New Roman" w:eastAsia="仿宋_GB2312" w:cs="Times New Roman"/>
                <w:b/>
                <w:bCs/>
                <w:color w:val="000000"/>
                <w:kern w:val="0"/>
                <w:sz w:val="32"/>
                <w:szCs w:val="32"/>
              </w:rPr>
              <w:fldChar w:fldCharType="begin"/>
            </w:r>
            <w:r>
              <w:rPr>
                <w:rFonts w:hint="default" w:ascii="Times New Roman" w:hAnsi="Times New Roman" w:eastAsia="仿宋_GB2312" w:cs="Times New Roman"/>
                <w:b/>
                <w:bCs/>
                <w:color w:val="000000"/>
                <w:kern w:val="0"/>
                <w:sz w:val="32"/>
                <w:szCs w:val="32"/>
              </w:rPr>
              <w:instrText xml:space="preserve"> = sum(F2:F18) \* MERGEFORMAT </w:instrText>
            </w:r>
            <w:r>
              <w:rPr>
                <w:rFonts w:hint="default" w:ascii="Times New Roman" w:hAnsi="Times New Roman" w:eastAsia="仿宋_GB2312" w:cs="Times New Roman"/>
                <w:b/>
                <w:bCs/>
                <w:color w:val="000000"/>
                <w:kern w:val="0"/>
                <w:sz w:val="32"/>
                <w:szCs w:val="32"/>
              </w:rPr>
              <w:fldChar w:fldCharType="separate"/>
            </w:r>
            <w:r>
              <w:rPr>
                <w:rFonts w:hint="default" w:ascii="Times New Roman" w:hAnsi="Times New Roman" w:eastAsia="仿宋_GB2312" w:cs="Times New Roman"/>
                <w:b/>
                <w:bCs/>
                <w:color w:val="000000"/>
                <w:kern w:val="0"/>
                <w:sz w:val="32"/>
                <w:szCs w:val="32"/>
              </w:rPr>
              <w:t>100</w:t>
            </w:r>
            <w:r>
              <w:rPr>
                <w:rFonts w:hint="default" w:ascii="Times New Roman" w:hAnsi="Times New Roman" w:eastAsia="仿宋_GB2312" w:cs="Times New Roman"/>
                <w:b/>
                <w:bCs/>
                <w:color w:val="000000"/>
                <w:kern w:val="0"/>
                <w:sz w:val="32"/>
                <w:szCs w:val="32"/>
              </w:rPr>
              <w:fldChar w:fldCharType="end"/>
            </w:r>
          </w:p>
        </w:tc>
        <w:tc>
          <w:tcPr>
            <w:tcW w:w="6" w:type="dxa"/>
            <w:shd w:val="clear" w:color="000000" w:fill="FFFFFF"/>
            <w:vAlign w:val="center"/>
          </w:tcPr>
          <w:p w14:paraId="34169012">
            <w:pPr>
              <w:widowControl/>
              <w:spacing w:line="0" w:lineRule="atLeast"/>
              <w:jc w:val="center"/>
              <w:rPr>
                <w:sz w:val="32"/>
                <w:szCs w:val="32"/>
              </w:rPr>
            </w:pPr>
          </w:p>
        </w:tc>
      </w:tr>
    </w:tbl>
    <w:p w14:paraId="6B4C6BCE">
      <w:pPr>
        <w:rPr>
          <w:rFonts w:hint="default" w:ascii="Times New Roman" w:hAnsi="Times New Roman" w:cs="Times New Roman"/>
          <w:sz w:val="32"/>
          <w:szCs w:val="32"/>
        </w:rPr>
        <w:sectPr>
          <w:pgSz w:w="16838" w:h="11906" w:orient="landscape"/>
          <w:pgMar w:top="1800" w:right="1440" w:bottom="1558" w:left="1440" w:header="851" w:footer="992" w:gutter="0"/>
          <w:cols w:space="425" w:num="1"/>
          <w:docGrid w:type="lines" w:linePitch="312" w:charSpace="0"/>
        </w:sectPr>
      </w:pPr>
    </w:p>
    <w:p w14:paraId="6E30A410">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2"/>
        <w:gridCol w:w="1062"/>
        <w:gridCol w:w="1066"/>
        <w:gridCol w:w="1096"/>
        <w:gridCol w:w="1148"/>
        <w:gridCol w:w="628"/>
        <w:gridCol w:w="1479"/>
        <w:gridCol w:w="1318"/>
        <w:gridCol w:w="851"/>
        <w:gridCol w:w="768"/>
        <w:gridCol w:w="867"/>
        <w:gridCol w:w="614"/>
        <w:gridCol w:w="696"/>
        <w:gridCol w:w="1070"/>
      </w:tblGrid>
      <w:tr w14:paraId="446B6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458981A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7C1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368A5F1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(2024年度)</w:t>
            </w:r>
          </w:p>
        </w:tc>
      </w:tr>
      <w:tr w14:paraId="4912E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C813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项目名称</w:t>
            </w:r>
          </w:p>
        </w:tc>
        <w:tc>
          <w:tcPr>
            <w:tcW w:w="1160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2474686">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奇财建【2024】119号 关于拨付江布拉克景区管委会开展私搭乱建拆除专项工作资金的通知</w:t>
            </w:r>
          </w:p>
        </w:tc>
      </w:tr>
      <w:tr w14:paraId="75778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D647A">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主管部门</w:t>
            </w:r>
          </w:p>
        </w:tc>
        <w:tc>
          <w:tcPr>
            <w:tcW w:w="54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C434F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奇台县江布拉克景区管理委员会</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1077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实施单位</w:t>
            </w:r>
          </w:p>
        </w:tc>
        <w:tc>
          <w:tcPr>
            <w:tcW w:w="40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5D4A7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奇台县江布拉克景区管理委员会</w:t>
            </w:r>
          </w:p>
        </w:tc>
      </w:tr>
      <w:tr w14:paraId="1FD5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1AD4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项目资金</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（万元）</w:t>
            </w:r>
          </w:p>
        </w:tc>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BA204">
            <w:pPr>
              <w:jc w:val="center"/>
              <w:rPr>
                <w:rFonts w:hint="eastAsia" w:ascii="宋体" w:hAnsi="宋体" w:eastAsia="宋体" w:cs="宋体"/>
                <w:i w:val="0"/>
                <w:iCs w:val="0"/>
                <w:color w:val="000000"/>
                <w:sz w:val="32"/>
                <w:szCs w:val="32"/>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71E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年初预算数</w:t>
            </w:r>
          </w:p>
        </w:tc>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54016">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全年预算数</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E86AB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全年执行数</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EDDA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分值</w:t>
            </w:r>
          </w:p>
        </w:tc>
        <w:tc>
          <w:tcPr>
            <w:tcW w:w="1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F627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执行率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44E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得分</w:t>
            </w:r>
          </w:p>
        </w:tc>
      </w:tr>
      <w:tr w14:paraId="672CA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9AD96">
            <w:pPr>
              <w:jc w:val="center"/>
              <w:rPr>
                <w:rFonts w:hint="eastAsia" w:ascii="宋体" w:hAnsi="宋体" w:eastAsia="宋体" w:cs="宋体"/>
                <w:i w:val="0"/>
                <w:iCs w:val="0"/>
                <w:color w:val="000000"/>
                <w:sz w:val="32"/>
                <w:szCs w:val="32"/>
                <w:u w:val="none"/>
              </w:rPr>
            </w:pPr>
          </w:p>
        </w:tc>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480A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年度资金总额</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8DD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3.00</w:t>
            </w:r>
          </w:p>
        </w:tc>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0728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3.00</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091F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3.00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AC97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E9DF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0ED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10.00分</w:t>
            </w:r>
          </w:p>
        </w:tc>
      </w:tr>
      <w:tr w14:paraId="64C7D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C8DBC">
            <w:pPr>
              <w:jc w:val="center"/>
              <w:rPr>
                <w:rFonts w:hint="eastAsia" w:ascii="宋体" w:hAnsi="宋体" w:eastAsia="宋体" w:cs="宋体"/>
                <w:i w:val="0"/>
                <w:iCs w:val="0"/>
                <w:color w:val="000000"/>
                <w:sz w:val="32"/>
                <w:szCs w:val="32"/>
                <w:u w:val="none"/>
              </w:rPr>
            </w:pPr>
          </w:p>
        </w:tc>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6870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其中：当年财政拨款</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F88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w:t>
            </w:r>
          </w:p>
        </w:tc>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CCA1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98E7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DCE4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6EF4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F01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r>
      <w:tr w14:paraId="5BB1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3F35">
            <w:pPr>
              <w:jc w:val="center"/>
              <w:rPr>
                <w:rFonts w:hint="eastAsia" w:ascii="宋体" w:hAnsi="宋体" w:eastAsia="宋体" w:cs="宋体"/>
                <w:i w:val="0"/>
                <w:iCs w:val="0"/>
                <w:color w:val="000000"/>
                <w:sz w:val="32"/>
                <w:szCs w:val="32"/>
                <w:u w:val="none"/>
              </w:rPr>
            </w:pPr>
          </w:p>
        </w:tc>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3ADDC">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 xml:space="preserve">      上年结转资金</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1BCA">
            <w:pPr>
              <w:jc w:val="center"/>
              <w:rPr>
                <w:rFonts w:hint="eastAsia" w:ascii="宋体" w:hAnsi="宋体" w:eastAsia="宋体" w:cs="宋体"/>
                <w:i w:val="0"/>
                <w:iCs w:val="0"/>
                <w:color w:val="000000"/>
                <w:sz w:val="32"/>
                <w:szCs w:val="32"/>
                <w:u w:val="none"/>
              </w:rPr>
            </w:pPr>
          </w:p>
        </w:tc>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9EADF">
            <w:pPr>
              <w:jc w:val="center"/>
              <w:rPr>
                <w:rFonts w:hint="eastAsia" w:ascii="宋体" w:hAnsi="宋体" w:eastAsia="宋体" w:cs="宋体"/>
                <w:i w:val="0"/>
                <w:iCs w:val="0"/>
                <w:color w:val="000000"/>
                <w:sz w:val="32"/>
                <w:szCs w:val="32"/>
                <w:u w:val="none"/>
              </w:rPr>
            </w:pP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DA53A">
            <w:pPr>
              <w:jc w:val="center"/>
              <w:rPr>
                <w:rFonts w:hint="eastAsia" w:ascii="宋体" w:hAnsi="宋体" w:eastAsia="宋体" w:cs="宋体"/>
                <w:i w:val="0"/>
                <w:iCs w:val="0"/>
                <w:color w:val="000000"/>
                <w:sz w:val="32"/>
                <w:szCs w:val="32"/>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CAB1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E38A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EAA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r>
      <w:tr w14:paraId="62832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29FF9">
            <w:pPr>
              <w:jc w:val="center"/>
              <w:rPr>
                <w:rFonts w:hint="eastAsia" w:ascii="宋体" w:hAnsi="宋体" w:eastAsia="宋体" w:cs="宋体"/>
                <w:i w:val="0"/>
                <w:iCs w:val="0"/>
                <w:color w:val="000000"/>
                <w:sz w:val="32"/>
                <w:szCs w:val="32"/>
                <w:u w:val="none"/>
              </w:rPr>
            </w:pPr>
          </w:p>
        </w:tc>
        <w:tc>
          <w:tcPr>
            <w:tcW w:w="2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4DA6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 xml:space="preserve">  其他资金</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78496">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0</w:t>
            </w:r>
          </w:p>
        </w:tc>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7A93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0</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85EFAC">
            <w:pPr>
              <w:jc w:val="center"/>
              <w:rPr>
                <w:rFonts w:hint="eastAsia" w:ascii="宋体" w:hAnsi="宋体" w:eastAsia="宋体" w:cs="宋体"/>
                <w:i w:val="0"/>
                <w:iCs w:val="0"/>
                <w:color w:val="000000"/>
                <w:sz w:val="32"/>
                <w:szCs w:val="32"/>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9901C">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587F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F50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w:t>
            </w:r>
          </w:p>
        </w:tc>
      </w:tr>
      <w:tr w14:paraId="49F54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AE42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年度总体目标</w:t>
            </w:r>
          </w:p>
        </w:tc>
        <w:tc>
          <w:tcPr>
            <w:tcW w:w="64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2BFC7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预期目标</w:t>
            </w:r>
          </w:p>
        </w:tc>
        <w:tc>
          <w:tcPr>
            <w:tcW w:w="61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6811C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实际完成情况</w:t>
            </w:r>
          </w:p>
        </w:tc>
      </w:tr>
      <w:tr w14:paraId="5836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69239">
            <w:pPr>
              <w:jc w:val="center"/>
              <w:rPr>
                <w:rFonts w:hint="eastAsia" w:ascii="宋体" w:hAnsi="宋体" w:eastAsia="宋体" w:cs="宋体"/>
                <w:i w:val="0"/>
                <w:iCs w:val="0"/>
                <w:color w:val="000000"/>
                <w:sz w:val="32"/>
                <w:szCs w:val="32"/>
                <w:u w:val="none"/>
              </w:rPr>
            </w:pPr>
          </w:p>
        </w:tc>
        <w:tc>
          <w:tcPr>
            <w:tcW w:w="6479"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7C35109B">
            <w:pPr>
              <w:keepNext w:val="0"/>
              <w:keepLines w:val="0"/>
              <w:widowControl/>
              <w:suppressLineNumbers w:val="0"/>
              <w:jc w:val="left"/>
              <w:textAlignment w:val="top"/>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根据奇江管委【2024】14号文件精神及江布拉克景区私搭乱建拆除工作方案，为保护江布拉克景区的自然和人文环境，确保资源可持续利用。全县各单位抽调37名干部组成联合执法组对景区内167处违规建筑进行专项拆除工作，坚决打击违法建设行为，有效遏制景区内违法建筑蔓延势头</w:t>
            </w:r>
          </w:p>
        </w:tc>
        <w:tc>
          <w:tcPr>
            <w:tcW w:w="6184"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6DE59D57">
            <w:pPr>
              <w:keepNext w:val="0"/>
              <w:keepLines w:val="0"/>
              <w:widowControl/>
              <w:suppressLineNumbers w:val="0"/>
              <w:jc w:val="left"/>
              <w:textAlignment w:val="top"/>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截止2024年12月31日，为保护江布拉克景区的自然和人文环境，确保资源可持续利用。全县各单位抽调37名干部组成联合执法组对景区内167处违规建筑进行专项排查拆除工作，坚决打击违法建设行为，通过此项工作的实施，有效遏制了景区内违法建筑蔓延势头。全年完成排查私搭乱建建筑数量167处，排查私搭乱建使用车辆4辆，排查覆盖率100%，排查工作完成时间2024年9月3日，县财政局保障此次排查工作经费，有效遏制了景区内违法建筑蔓延势头，游客对景区环境满意度95%。</w:t>
            </w:r>
          </w:p>
        </w:tc>
      </w:tr>
      <w:tr w14:paraId="26B65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C27E7">
            <w:pPr>
              <w:jc w:val="center"/>
              <w:rPr>
                <w:rFonts w:hint="eastAsia" w:ascii="宋体" w:hAnsi="宋体" w:eastAsia="宋体" w:cs="宋体"/>
                <w:i w:val="0"/>
                <w:iCs w:val="0"/>
                <w:color w:val="000000"/>
                <w:sz w:val="32"/>
                <w:szCs w:val="32"/>
                <w:u w:val="none"/>
              </w:rPr>
            </w:pP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D430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一级指标</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B9CF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二级指标</w:t>
            </w:r>
          </w:p>
        </w:tc>
        <w:tc>
          <w:tcPr>
            <w:tcW w:w="28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0413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三级指标</w:t>
            </w:r>
          </w:p>
        </w:tc>
        <w:tc>
          <w:tcPr>
            <w:tcW w:w="14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85F4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年度指标值</w:t>
            </w:r>
          </w:p>
        </w:tc>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9127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实际完成值</w:t>
            </w:r>
          </w:p>
        </w:tc>
        <w:tc>
          <w:tcPr>
            <w:tcW w:w="1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0ECE9">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分值</w:t>
            </w:r>
          </w:p>
        </w:tc>
        <w:tc>
          <w:tcPr>
            <w:tcW w:w="14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5912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得分</w:t>
            </w:r>
          </w:p>
        </w:tc>
        <w:tc>
          <w:tcPr>
            <w:tcW w:w="17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0722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偏差原因分析及改进措施</w:t>
            </w:r>
          </w:p>
        </w:tc>
      </w:tr>
      <w:tr w14:paraId="0FDC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C8F5B">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6DAE4">
            <w:pPr>
              <w:jc w:val="center"/>
              <w:rPr>
                <w:rFonts w:hint="eastAsia" w:ascii="宋体" w:hAnsi="宋体" w:eastAsia="宋体" w:cs="宋体"/>
                <w:i w:val="0"/>
                <w:iCs w:val="0"/>
                <w:color w:val="000000"/>
                <w:sz w:val="32"/>
                <w:szCs w:val="32"/>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B7F70">
            <w:pPr>
              <w:jc w:val="center"/>
              <w:rPr>
                <w:rFonts w:hint="eastAsia" w:ascii="宋体" w:hAnsi="宋体" w:eastAsia="宋体" w:cs="宋体"/>
                <w:i w:val="0"/>
                <w:iCs w:val="0"/>
                <w:color w:val="000000"/>
                <w:sz w:val="32"/>
                <w:szCs w:val="32"/>
                <w:u w:val="none"/>
              </w:rPr>
            </w:pPr>
          </w:p>
        </w:tc>
        <w:tc>
          <w:tcPr>
            <w:tcW w:w="28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DF196">
            <w:pPr>
              <w:jc w:val="center"/>
              <w:rPr>
                <w:rFonts w:hint="eastAsia" w:ascii="宋体" w:hAnsi="宋体" w:eastAsia="宋体" w:cs="宋体"/>
                <w:i w:val="0"/>
                <w:iCs w:val="0"/>
                <w:color w:val="000000"/>
                <w:sz w:val="32"/>
                <w:szCs w:val="32"/>
                <w:u w:val="none"/>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581D2">
            <w:pPr>
              <w:jc w:val="center"/>
              <w:rPr>
                <w:rFonts w:hint="eastAsia" w:ascii="宋体" w:hAnsi="宋体" w:eastAsia="宋体" w:cs="宋体"/>
                <w:i w:val="0"/>
                <w:iCs w:val="0"/>
                <w:color w:val="000000"/>
                <w:sz w:val="32"/>
                <w:szCs w:val="32"/>
                <w:u w:val="none"/>
              </w:rPr>
            </w:pPr>
          </w:p>
        </w:tc>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430E3">
            <w:pPr>
              <w:jc w:val="center"/>
              <w:rPr>
                <w:rFonts w:hint="eastAsia" w:ascii="宋体" w:hAnsi="宋体" w:eastAsia="宋体" w:cs="宋体"/>
                <w:i w:val="0"/>
                <w:iCs w:val="0"/>
                <w:color w:val="000000"/>
                <w:sz w:val="32"/>
                <w:szCs w:val="32"/>
                <w:u w:val="none"/>
              </w:rPr>
            </w:pPr>
          </w:p>
        </w:tc>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4FE5">
            <w:pPr>
              <w:jc w:val="center"/>
              <w:rPr>
                <w:rFonts w:hint="eastAsia" w:ascii="宋体" w:hAnsi="宋体" w:eastAsia="宋体" w:cs="宋体"/>
                <w:i w:val="0"/>
                <w:iCs w:val="0"/>
                <w:color w:val="000000"/>
                <w:sz w:val="32"/>
                <w:szCs w:val="32"/>
                <w:u w:val="none"/>
              </w:rPr>
            </w:pPr>
          </w:p>
        </w:tc>
        <w:tc>
          <w:tcPr>
            <w:tcW w:w="14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EA16D">
            <w:pPr>
              <w:jc w:val="center"/>
              <w:rPr>
                <w:rFonts w:hint="eastAsia" w:ascii="宋体" w:hAnsi="宋体" w:eastAsia="宋体" w:cs="宋体"/>
                <w:i w:val="0"/>
                <w:iCs w:val="0"/>
                <w:color w:val="000000"/>
                <w:sz w:val="32"/>
                <w:szCs w:val="32"/>
                <w:u w:val="none"/>
              </w:rPr>
            </w:pPr>
          </w:p>
        </w:tc>
        <w:tc>
          <w:tcPr>
            <w:tcW w:w="17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88D42">
            <w:pPr>
              <w:jc w:val="center"/>
              <w:rPr>
                <w:rFonts w:hint="eastAsia" w:ascii="宋体" w:hAnsi="宋体" w:eastAsia="宋体" w:cs="宋体"/>
                <w:i w:val="0"/>
                <w:iCs w:val="0"/>
                <w:color w:val="000000"/>
                <w:sz w:val="32"/>
                <w:szCs w:val="32"/>
                <w:u w:val="none"/>
              </w:rPr>
            </w:pPr>
          </w:p>
        </w:tc>
      </w:tr>
      <w:tr w14:paraId="2FB7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1D59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年度绩效指标完成情况</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5BBB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产出指标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50E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数量指标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519B">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排查私搭乱建建筑数量</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60A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=167处</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D93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=167处</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5077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0B2B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5A86D">
            <w:pPr>
              <w:jc w:val="center"/>
              <w:rPr>
                <w:rFonts w:hint="eastAsia" w:ascii="宋体" w:hAnsi="宋体" w:eastAsia="宋体" w:cs="宋体"/>
                <w:i w:val="0"/>
                <w:iCs w:val="0"/>
                <w:color w:val="000000"/>
                <w:sz w:val="32"/>
                <w:szCs w:val="32"/>
                <w:u w:val="none"/>
              </w:rPr>
            </w:pPr>
          </w:p>
        </w:tc>
      </w:tr>
      <w:tr w14:paraId="0CD82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88D5B">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C1141">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117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数量指标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FBC4D">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排查私搭乱建使用车辆</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A5B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=4辆</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99AC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=4辆</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CB85A">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FD51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C046A">
            <w:pPr>
              <w:jc w:val="center"/>
              <w:rPr>
                <w:rFonts w:hint="eastAsia" w:ascii="宋体" w:hAnsi="宋体" w:eastAsia="宋体" w:cs="宋体"/>
                <w:i w:val="0"/>
                <w:iCs w:val="0"/>
                <w:color w:val="000000"/>
                <w:sz w:val="32"/>
                <w:szCs w:val="32"/>
                <w:u w:val="none"/>
              </w:rPr>
            </w:pPr>
          </w:p>
        </w:tc>
      </w:tr>
      <w:tr w14:paraId="4F40E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14BC8">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C0B45">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31F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质量指标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97EA">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排查覆盖率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0DF1">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4E6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B98D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E269A">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3F79F">
            <w:pPr>
              <w:jc w:val="center"/>
              <w:rPr>
                <w:rFonts w:hint="eastAsia" w:ascii="宋体" w:hAnsi="宋体" w:eastAsia="宋体" w:cs="宋体"/>
                <w:i w:val="0"/>
                <w:iCs w:val="0"/>
                <w:color w:val="000000"/>
                <w:sz w:val="32"/>
                <w:szCs w:val="32"/>
                <w:u w:val="none"/>
              </w:rPr>
            </w:pPr>
          </w:p>
        </w:tc>
      </w:tr>
      <w:tr w14:paraId="565E7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A394B">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3A0E5">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1FC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时效指标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486E">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排查工作完成时间</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1AC9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=2024年9月3日</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982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=2024年9月3日</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6C229">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5439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1899D">
            <w:pPr>
              <w:jc w:val="center"/>
              <w:rPr>
                <w:rFonts w:hint="eastAsia" w:ascii="宋体" w:hAnsi="宋体" w:eastAsia="宋体" w:cs="宋体"/>
                <w:i w:val="0"/>
                <w:iCs w:val="0"/>
                <w:color w:val="000000"/>
                <w:sz w:val="32"/>
                <w:szCs w:val="32"/>
                <w:u w:val="none"/>
              </w:rPr>
            </w:pPr>
          </w:p>
        </w:tc>
      </w:tr>
      <w:tr w14:paraId="66CCE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5FBEA">
            <w:pPr>
              <w:jc w:val="center"/>
              <w:rPr>
                <w:rFonts w:hint="eastAsia" w:ascii="宋体" w:hAnsi="宋体" w:eastAsia="宋体" w:cs="宋体"/>
                <w:i w:val="0"/>
                <w:iCs w:val="0"/>
                <w:color w:val="000000"/>
                <w:sz w:val="32"/>
                <w:szCs w:val="32"/>
                <w:u w:val="none"/>
              </w:rPr>
            </w:pP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936D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成本指标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929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经济成本指标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9BA5">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排查工作保障经费</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66C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&lt;=3万元</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BCC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=3万元</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A609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96177">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601A5">
            <w:pPr>
              <w:jc w:val="center"/>
              <w:rPr>
                <w:rFonts w:hint="eastAsia" w:ascii="宋体" w:hAnsi="宋体" w:eastAsia="宋体" w:cs="宋体"/>
                <w:i w:val="0"/>
                <w:iCs w:val="0"/>
                <w:color w:val="000000"/>
                <w:sz w:val="32"/>
                <w:szCs w:val="32"/>
                <w:u w:val="none"/>
              </w:rPr>
            </w:pPr>
          </w:p>
        </w:tc>
      </w:tr>
      <w:tr w14:paraId="6E62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D27D5">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8442F">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B773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社会成本指标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F2DC4">
            <w:pPr>
              <w:jc w:val="left"/>
              <w:rPr>
                <w:rFonts w:hint="eastAsia" w:ascii="宋体" w:hAnsi="宋体" w:eastAsia="宋体" w:cs="宋体"/>
                <w:i w:val="0"/>
                <w:iCs w:val="0"/>
                <w:color w:val="000000"/>
                <w:sz w:val="32"/>
                <w:szCs w:val="32"/>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A975">
            <w:pPr>
              <w:jc w:val="center"/>
              <w:rPr>
                <w:rFonts w:hint="eastAsia" w:ascii="宋体" w:hAnsi="宋体" w:eastAsia="宋体" w:cs="宋体"/>
                <w:i w:val="0"/>
                <w:iCs w:val="0"/>
                <w:color w:val="000000"/>
                <w:sz w:val="32"/>
                <w:szCs w:val="32"/>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F26A">
            <w:pPr>
              <w:jc w:val="center"/>
              <w:rPr>
                <w:rFonts w:hint="eastAsia" w:ascii="宋体" w:hAnsi="宋体" w:eastAsia="宋体" w:cs="宋体"/>
                <w:i w:val="0"/>
                <w:iCs w:val="0"/>
                <w:color w:val="000000"/>
                <w:sz w:val="32"/>
                <w:szCs w:val="32"/>
                <w:u w:val="none"/>
              </w:rPr>
            </w:pP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C85AC">
            <w:pPr>
              <w:jc w:val="center"/>
              <w:rPr>
                <w:rFonts w:hint="eastAsia" w:ascii="宋体" w:hAnsi="宋体" w:eastAsia="宋体" w:cs="宋体"/>
                <w:i w:val="0"/>
                <w:iCs w:val="0"/>
                <w:color w:val="000000"/>
                <w:sz w:val="32"/>
                <w:szCs w:val="32"/>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2AA05">
            <w:pPr>
              <w:jc w:val="center"/>
              <w:rPr>
                <w:rFonts w:hint="eastAsia" w:ascii="宋体" w:hAnsi="宋体" w:eastAsia="宋体" w:cs="宋体"/>
                <w:i w:val="0"/>
                <w:iCs w:val="0"/>
                <w:color w:val="000000"/>
                <w:sz w:val="32"/>
                <w:szCs w:val="32"/>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C4FBD">
            <w:pPr>
              <w:jc w:val="center"/>
              <w:rPr>
                <w:rFonts w:hint="eastAsia" w:ascii="宋体" w:hAnsi="宋体" w:eastAsia="宋体" w:cs="宋体"/>
                <w:i w:val="0"/>
                <w:iCs w:val="0"/>
                <w:color w:val="000000"/>
                <w:sz w:val="32"/>
                <w:szCs w:val="32"/>
                <w:u w:val="none"/>
              </w:rPr>
            </w:pPr>
          </w:p>
        </w:tc>
      </w:tr>
      <w:tr w14:paraId="05D83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4F7B0">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4DE7F">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307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生态环境成本指标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D660E">
            <w:pPr>
              <w:jc w:val="left"/>
              <w:rPr>
                <w:rFonts w:hint="eastAsia" w:ascii="宋体" w:hAnsi="宋体" w:eastAsia="宋体" w:cs="宋体"/>
                <w:i w:val="0"/>
                <w:iCs w:val="0"/>
                <w:color w:val="000000"/>
                <w:sz w:val="32"/>
                <w:szCs w:val="32"/>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FFD2">
            <w:pPr>
              <w:jc w:val="center"/>
              <w:rPr>
                <w:rFonts w:hint="eastAsia" w:ascii="宋体" w:hAnsi="宋体" w:eastAsia="宋体" w:cs="宋体"/>
                <w:i w:val="0"/>
                <w:iCs w:val="0"/>
                <w:color w:val="000000"/>
                <w:sz w:val="32"/>
                <w:szCs w:val="32"/>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F825">
            <w:pPr>
              <w:jc w:val="center"/>
              <w:rPr>
                <w:rFonts w:hint="eastAsia" w:ascii="宋体" w:hAnsi="宋体" w:eastAsia="宋体" w:cs="宋体"/>
                <w:i w:val="0"/>
                <w:iCs w:val="0"/>
                <w:color w:val="000000"/>
                <w:sz w:val="32"/>
                <w:szCs w:val="32"/>
                <w:u w:val="none"/>
              </w:rPr>
            </w:pP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084A5">
            <w:pPr>
              <w:jc w:val="center"/>
              <w:rPr>
                <w:rFonts w:hint="eastAsia" w:ascii="宋体" w:hAnsi="宋体" w:eastAsia="宋体" w:cs="宋体"/>
                <w:i w:val="0"/>
                <w:iCs w:val="0"/>
                <w:color w:val="000000"/>
                <w:sz w:val="32"/>
                <w:szCs w:val="32"/>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C3269">
            <w:pPr>
              <w:jc w:val="center"/>
              <w:rPr>
                <w:rFonts w:hint="eastAsia" w:ascii="宋体" w:hAnsi="宋体" w:eastAsia="宋体" w:cs="宋体"/>
                <w:i w:val="0"/>
                <w:iCs w:val="0"/>
                <w:color w:val="000000"/>
                <w:sz w:val="32"/>
                <w:szCs w:val="32"/>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244BF">
            <w:pPr>
              <w:jc w:val="center"/>
              <w:rPr>
                <w:rFonts w:hint="eastAsia" w:ascii="宋体" w:hAnsi="宋体" w:eastAsia="宋体" w:cs="宋体"/>
                <w:i w:val="0"/>
                <w:iCs w:val="0"/>
                <w:color w:val="000000"/>
                <w:sz w:val="32"/>
                <w:szCs w:val="32"/>
                <w:u w:val="none"/>
              </w:rPr>
            </w:pPr>
          </w:p>
        </w:tc>
      </w:tr>
      <w:tr w14:paraId="377A6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55C65">
            <w:pPr>
              <w:jc w:val="center"/>
              <w:rPr>
                <w:rFonts w:hint="eastAsia" w:ascii="宋体" w:hAnsi="宋体" w:eastAsia="宋体" w:cs="宋体"/>
                <w:i w:val="0"/>
                <w:iCs w:val="0"/>
                <w:color w:val="000000"/>
                <w:sz w:val="32"/>
                <w:szCs w:val="32"/>
                <w:u w:val="none"/>
              </w:rPr>
            </w:pP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1CA58">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效益指标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FE7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经济效益指标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48EE">
            <w:pPr>
              <w:jc w:val="left"/>
              <w:rPr>
                <w:rFonts w:hint="eastAsia" w:ascii="宋体" w:hAnsi="宋体" w:eastAsia="宋体" w:cs="宋体"/>
                <w:i w:val="0"/>
                <w:iCs w:val="0"/>
                <w:color w:val="000000"/>
                <w:sz w:val="32"/>
                <w:szCs w:val="32"/>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F4D1E">
            <w:pPr>
              <w:jc w:val="center"/>
              <w:rPr>
                <w:rFonts w:hint="eastAsia" w:ascii="宋体" w:hAnsi="宋体" w:eastAsia="宋体" w:cs="宋体"/>
                <w:i w:val="0"/>
                <w:iCs w:val="0"/>
                <w:color w:val="000000"/>
                <w:sz w:val="32"/>
                <w:szCs w:val="32"/>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7E19">
            <w:pPr>
              <w:jc w:val="center"/>
              <w:rPr>
                <w:rFonts w:hint="eastAsia" w:ascii="宋体" w:hAnsi="宋体" w:eastAsia="宋体" w:cs="宋体"/>
                <w:i w:val="0"/>
                <w:iCs w:val="0"/>
                <w:color w:val="000000"/>
                <w:sz w:val="32"/>
                <w:szCs w:val="32"/>
                <w:u w:val="none"/>
              </w:rPr>
            </w:pP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F92A5F">
            <w:pPr>
              <w:jc w:val="center"/>
              <w:rPr>
                <w:rFonts w:hint="eastAsia" w:ascii="宋体" w:hAnsi="宋体" w:eastAsia="宋体" w:cs="宋体"/>
                <w:i w:val="0"/>
                <w:iCs w:val="0"/>
                <w:color w:val="000000"/>
                <w:sz w:val="32"/>
                <w:szCs w:val="32"/>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07DAE">
            <w:pPr>
              <w:jc w:val="center"/>
              <w:rPr>
                <w:rFonts w:hint="eastAsia" w:ascii="宋体" w:hAnsi="宋体" w:eastAsia="宋体" w:cs="宋体"/>
                <w:i w:val="0"/>
                <w:iCs w:val="0"/>
                <w:color w:val="000000"/>
                <w:sz w:val="32"/>
                <w:szCs w:val="32"/>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7E7B8">
            <w:pPr>
              <w:jc w:val="center"/>
              <w:rPr>
                <w:rFonts w:hint="eastAsia" w:ascii="宋体" w:hAnsi="宋体" w:eastAsia="宋体" w:cs="宋体"/>
                <w:i w:val="0"/>
                <w:iCs w:val="0"/>
                <w:color w:val="000000"/>
                <w:sz w:val="32"/>
                <w:szCs w:val="32"/>
                <w:u w:val="none"/>
              </w:rPr>
            </w:pPr>
          </w:p>
        </w:tc>
      </w:tr>
      <w:tr w14:paraId="5DB9B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EFFED">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C8CE3">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5C5A">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社会效益指标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017C2">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遏制景区内违法建筑蔓延势头</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5D2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有效遏制</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CFA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有效遏制</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7C776">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8354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F4C5F">
            <w:pPr>
              <w:jc w:val="center"/>
              <w:rPr>
                <w:rFonts w:hint="eastAsia" w:ascii="宋体" w:hAnsi="宋体" w:eastAsia="宋体" w:cs="宋体"/>
                <w:i w:val="0"/>
                <w:iCs w:val="0"/>
                <w:color w:val="000000"/>
                <w:sz w:val="32"/>
                <w:szCs w:val="32"/>
                <w:u w:val="none"/>
              </w:rPr>
            </w:pPr>
          </w:p>
        </w:tc>
      </w:tr>
      <w:tr w14:paraId="71CB2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D558D">
            <w:pPr>
              <w:jc w:val="center"/>
              <w:rPr>
                <w:rFonts w:hint="eastAsia" w:ascii="宋体" w:hAnsi="宋体" w:eastAsia="宋体" w:cs="宋体"/>
                <w:i w:val="0"/>
                <w:iCs w:val="0"/>
                <w:color w:val="000000"/>
                <w:sz w:val="32"/>
                <w:szCs w:val="3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C1C28">
            <w:pPr>
              <w:jc w:val="center"/>
              <w:rPr>
                <w:rFonts w:hint="eastAsia" w:ascii="宋体" w:hAnsi="宋体" w:eastAsia="宋体" w:cs="宋体"/>
                <w:i w:val="0"/>
                <w:iCs w:val="0"/>
                <w:color w:val="000000"/>
                <w:sz w:val="32"/>
                <w:szCs w:val="3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9D1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生态效益指标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6BBC">
            <w:pPr>
              <w:jc w:val="left"/>
              <w:rPr>
                <w:rFonts w:hint="eastAsia" w:ascii="宋体" w:hAnsi="宋体" w:eastAsia="宋体" w:cs="宋体"/>
                <w:i w:val="0"/>
                <w:iCs w:val="0"/>
                <w:color w:val="000000"/>
                <w:sz w:val="32"/>
                <w:szCs w:val="32"/>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D618F">
            <w:pPr>
              <w:jc w:val="center"/>
              <w:rPr>
                <w:rFonts w:hint="eastAsia" w:ascii="宋体" w:hAnsi="宋体" w:eastAsia="宋体" w:cs="宋体"/>
                <w:i w:val="0"/>
                <w:iCs w:val="0"/>
                <w:color w:val="000000"/>
                <w:sz w:val="32"/>
                <w:szCs w:val="32"/>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1216">
            <w:pPr>
              <w:jc w:val="center"/>
              <w:rPr>
                <w:rFonts w:hint="eastAsia" w:ascii="宋体" w:hAnsi="宋体" w:eastAsia="宋体" w:cs="宋体"/>
                <w:i w:val="0"/>
                <w:iCs w:val="0"/>
                <w:color w:val="000000"/>
                <w:sz w:val="32"/>
                <w:szCs w:val="32"/>
                <w:u w:val="none"/>
              </w:rPr>
            </w:pP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83790">
            <w:pPr>
              <w:jc w:val="center"/>
              <w:rPr>
                <w:rFonts w:hint="eastAsia" w:ascii="宋体" w:hAnsi="宋体" w:eastAsia="宋体" w:cs="宋体"/>
                <w:i w:val="0"/>
                <w:iCs w:val="0"/>
                <w:color w:val="000000"/>
                <w:sz w:val="32"/>
                <w:szCs w:val="32"/>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807F7">
            <w:pPr>
              <w:jc w:val="center"/>
              <w:rPr>
                <w:rFonts w:hint="eastAsia" w:ascii="宋体" w:hAnsi="宋体" w:eastAsia="宋体" w:cs="宋体"/>
                <w:i w:val="0"/>
                <w:iCs w:val="0"/>
                <w:color w:val="000000"/>
                <w:sz w:val="32"/>
                <w:szCs w:val="32"/>
                <w:u w:val="none"/>
              </w:rPr>
            </w:pP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2FDC4">
            <w:pPr>
              <w:jc w:val="center"/>
              <w:rPr>
                <w:rFonts w:hint="eastAsia" w:ascii="宋体" w:hAnsi="宋体" w:eastAsia="宋体" w:cs="宋体"/>
                <w:i w:val="0"/>
                <w:iCs w:val="0"/>
                <w:color w:val="000000"/>
                <w:sz w:val="32"/>
                <w:szCs w:val="32"/>
                <w:u w:val="none"/>
              </w:rPr>
            </w:pPr>
          </w:p>
        </w:tc>
      </w:tr>
      <w:tr w14:paraId="7A8F6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133A9">
            <w:pPr>
              <w:jc w:val="center"/>
              <w:rPr>
                <w:rFonts w:hint="eastAsia" w:ascii="宋体" w:hAnsi="宋体" w:eastAsia="宋体" w:cs="宋体"/>
                <w:i w:val="0"/>
                <w:iCs w:val="0"/>
                <w:color w:val="000000"/>
                <w:sz w:val="32"/>
                <w:szCs w:val="32"/>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BBB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满意度指标</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CBA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满意度指标</w:t>
            </w:r>
          </w:p>
        </w:tc>
        <w:tc>
          <w:tcPr>
            <w:tcW w:w="28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55EE">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游客对景区环境满意度</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C5E2">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&gt;=95%</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B7AC">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=95%</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4D104">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5360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EE721">
            <w:pPr>
              <w:jc w:val="center"/>
              <w:rPr>
                <w:rFonts w:hint="eastAsia" w:ascii="宋体" w:hAnsi="宋体" w:eastAsia="宋体" w:cs="宋体"/>
                <w:i w:val="0"/>
                <w:iCs w:val="0"/>
                <w:color w:val="000000"/>
                <w:sz w:val="32"/>
                <w:szCs w:val="32"/>
                <w:u w:val="none"/>
              </w:rPr>
            </w:pPr>
          </w:p>
        </w:tc>
      </w:tr>
      <w:tr w14:paraId="214C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8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5B656B">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总分</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2245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7CC15">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100.00分</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C8EC7">
            <w:pPr>
              <w:jc w:val="center"/>
              <w:rPr>
                <w:rFonts w:hint="eastAsia" w:ascii="宋体" w:hAnsi="宋体" w:eastAsia="宋体" w:cs="宋体"/>
                <w:i w:val="0"/>
                <w:iCs w:val="0"/>
                <w:color w:val="000000"/>
                <w:sz w:val="32"/>
                <w:szCs w:val="32"/>
                <w:u w:val="none"/>
              </w:rPr>
            </w:pPr>
          </w:p>
        </w:tc>
      </w:tr>
      <w:tr w14:paraId="1C054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4" w:type="dxa"/>
            <w:gridSpan w:val="2"/>
            <w:tcBorders>
              <w:top w:val="single" w:color="000000" w:sz="4" w:space="0"/>
              <w:left w:val="nil"/>
              <w:bottom w:val="nil"/>
              <w:right w:val="nil"/>
            </w:tcBorders>
            <w:shd w:val="clear" w:color="auto" w:fill="auto"/>
            <w:vAlign w:val="center"/>
          </w:tcPr>
          <w:p w14:paraId="65E168B3">
            <w:pPr>
              <w:jc w:val="right"/>
              <w:rPr>
                <w:rFonts w:hint="eastAsia" w:ascii="宋体" w:hAnsi="宋体" w:eastAsia="宋体" w:cs="宋体"/>
                <w:i w:val="0"/>
                <w:iCs w:val="0"/>
                <w:color w:val="000000"/>
                <w:sz w:val="32"/>
                <w:szCs w:val="32"/>
                <w:u w:val="none"/>
              </w:rPr>
            </w:pPr>
          </w:p>
        </w:tc>
        <w:tc>
          <w:tcPr>
            <w:tcW w:w="3310" w:type="dxa"/>
            <w:gridSpan w:val="3"/>
            <w:tcBorders>
              <w:top w:val="single" w:color="000000" w:sz="4" w:space="0"/>
              <w:left w:val="nil"/>
              <w:bottom w:val="nil"/>
              <w:right w:val="nil"/>
            </w:tcBorders>
            <w:shd w:val="clear" w:color="auto" w:fill="auto"/>
            <w:vAlign w:val="center"/>
          </w:tcPr>
          <w:p w14:paraId="531BDCA9">
            <w:pPr>
              <w:jc w:val="left"/>
              <w:rPr>
                <w:rFonts w:hint="eastAsia" w:ascii="宋体" w:hAnsi="宋体" w:eastAsia="宋体" w:cs="宋体"/>
                <w:i w:val="0"/>
                <w:iCs w:val="0"/>
                <w:color w:val="000000"/>
                <w:sz w:val="32"/>
                <w:szCs w:val="32"/>
                <w:u w:val="none"/>
              </w:rPr>
            </w:pPr>
          </w:p>
        </w:tc>
        <w:tc>
          <w:tcPr>
            <w:tcW w:w="4276" w:type="dxa"/>
            <w:gridSpan w:val="4"/>
            <w:tcBorders>
              <w:top w:val="single" w:color="000000" w:sz="4" w:space="0"/>
              <w:left w:val="nil"/>
              <w:bottom w:val="nil"/>
              <w:right w:val="nil"/>
            </w:tcBorders>
            <w:shd w:val="clear" w:color="auto" w:fill="auto"/>
            <w:vAlign w:val="center"/>
          </w:tcPr>
          <w:p w14:paraId="23AA8E26">
            <w:pPr>
              <w:jc w:val="right"/>
              <w:rPr>
                <w:rFonts w:hint="eastAsia" w:ascii="宋体" w:hAnsi="宋体" w:eastAsia="宋体" w:cs="宋体"/>
                <w:i w:val="0"/>
                <w:iCs w:val="0"/>
                <w:color w:val="000000"/>
                <w:sz w:val="32"/>
                <w:szCs w:val="32"/>
                <w:u w:val="none"/>
              </w:rPr>
            </w:pPr>
          </w:p>
        </w:tc>
        <w:tc>
          <w:tcPr>
            <w:tcW w:w="4015" w:type="dxa"/>
            <w:gridSpan w:val="5"/>
            <w:tcBorders>
              <w:top w:val="single" w:color="000000" w:sz="4" w:space="0"/>
              <w:left w:val="nil"/>
              <w:bottom w:val="nil"/>
              <w:right w:val="nil"/>
            </w:tcBorders>
            <w:shd w:val="clear" w:color="auto" w:fill="auto"/>
            <w:vAlign w:val="center"/>
          </w:tcPr>
          <w:p w14:paraId="578714D6">
            <w:pPr>
              <w:jc w:val="left"/>
              <w:rPr>
                <w:rFonts w:hint="eastAsia" w:ascii="宋体" w:hAnsi="宋体" w:eastAsia="宋体" w:cs="宋体"/>
                <w:i w:val="0"/>
                <w:iCs w:val="0"/>
                <w:color w:val="000000"/>
                <w:sz w:val="32"/>
                <w:szCs w:val="32"/>
                <w:u w:val="none"/>
              </w:rPr>
            </w:pPr>
          </w:p>
        </w:tc>
      </w:tr>
      <w:tr w14:paraId="320F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24" w:type="dxa"/>
            <w:gridSpan w:val="2"/>
            <w:tcBorders>
              <w:top w:val="nil"/>
              <w:left w:val="nil"/>
              <w:bottom w:val="nil"/>
              <w:right w:val="nil"/>
            </w:tcBorders>
            <w:shd w:val="clear" w:color="auto" w:fill="auto"/>
            <w:noWrap/>
            <w:vAlign w:val="center"/>
          </w:tcPr>
          <w:p w14:paraId="165F9142">
            <w:pPr>
              <w:jc w:val="right"/>
              <w:rPr>
                <w:rFonts w:hint="eastAsia" w:ascii="宋体" w:hAnsi="宋体" w:eastAsia="宋体" w:cs="宋体"/>
                <w:i w:val="0"/>
                <w:iCs w:val="0"/>
                <w:color w:val="000000"/>
                <w:sz w:val="32"/>
                <w:szCs w:val="32"/>
                <w:u w:val="none"/>
              </w:rPr>
            </w:pPr>
          </w:p>
        </w:tc>
        <w:tc>
          <w:tcPr>
            <w:tcW w:w="3310" w:type="dxa"/>
            <w:gridSpan w:val="3"/>
            <w:tcBorders>
              <w:top w:val="nil"/>
              <w:left w:val="nil"/>
              <w:bottom w:val="nil"/>
              <w:right w:val="nil"/>
            </w:tcBorders>
            <w:shd w:val="clear" w:color="auto" w:fill="auto"/>
            <w:noWrap/>
            <w:vAlign w:val="center"/>
          </w:tcPr>
          <w:p w14:paraId="7D765C96">
            <w:pPr>
              <w:jc w:val="left"/>
              <w:rPr>
                <w:rFonts w:hint="eastAsia" w:ascii="宋体" w:hAnsi="宋体" w:eastAsia="宋体" w:cs="宋体"/>
                <w:i w:val="0"/>
                <w:iCs w:val="0"/>
                <w:color w:val="000000"/>
                <w:sz w:val="32"/>
                <w:szCs w:val="32"/>
                <w:u w:val="none"/>
              </w:rPr>
            </w:pPr>
          </w:p>
        </w:tc>
        <w:tc>
          <w:tcPr>
            <w:tcW w:w="4276" w:type="dxa"/>
            <w:gridSpan w:val="4"/>
            <w:tcBorders>
              <w:top w:val="nil"/>
              <w:left w:val="nil"/>
              <w:bottom w:val="nil"/>
              <w:right w:val="nil"/>
            </w:tcBorders>
            <w:shd w:val="clear" w:color="auto" w:fill="auto"/>
            <w:noWrap/>
            <w:vAlign w:val="center"/>
          </w:tcPr>
          <w:p w14:paraId="69E4AA87">
            <w:pPr>
              <w:jc w:val="right"/>
              <w:rPr>
                <w:rFonts w:hint="eastAsia" w:ascii="宋体" w:hAnsi="宋体" w:eastAsia="宋体" w:cs="宋体"/>
                <w:i w:val="0"/>
                <w:iCs w:val="0"/>
                <w:color w:val="000000"/>
                <w:sz w:val="32"/>
                <w:szCs w:val="32"/>
                <w:u w:val="none"/>
              </w:rPr>
            </w:pPr>
          </w:p>
        </w:tc>
        <w:tc>
          <w:tcPr>
            <w:tcW w:w="4015" w:type="dxa"/>
            <w:gridSpan w:val="5"/>
            <w:tcBorders>
              <w:top w:val="nil"/>
              <w:left w:val="nil"/>
              <w:bottom w:val="nil"/>
              <w:right w:val="nil"/>
            </w:tcBorders>
            <w:shd w:val="clear" w:color="auto" w:fill="auto"/>
            <w:noWrap/>
            <w:vAlign w:val="center"/>
          </w:tcPr>
          <w:p w14:paraId="5A36737C">
            <w:pPr>
              <w:jc w:val="left"/>
              <w:rPr>
                <w:rFonts w:hint="eastAsia" w:ascii="宋体" w:hAnsi="宋体" w:eastAsia="宋体" w:cs="宋体"/>
                <w:i w:val="0"/>
                <w:iCs w:val="0"/>
                <w:color w:val="000000"/>
                <w:sz w:val="32"/>
                <w:szCs w:val="32"/>
                <w:u w:val="none"/>
              </w:rPr>
            </w:pPr>
          </w:p>
        </w:tc>
      </w:tr>
    </w:tbl>
    <w:p w14:paraId="097D65B4">
      <w:pPr>
        <w:rPr>
          <w:rFonts w:hint="default" w:ascii="Times New Roman" w:hAnsi="Times New Roman" w:cs="Times New Roman"/>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B77021D">
        <w:pPr>
          <w:pStyle w:val="7"/>
          <w:jc w:val="center"/>
        </w:pPr>
        <w:r>
          <w:fldChar w:fldCharType="begin"/>
        </w:r>
        <w:r>
          <w:instrText xml:space="preserve">PAGE   \* MERGEFORMAT</w:instrText>
        </w:r>
        <w:r>
          <w:fldChar w:fldCharType="separate"/>
        </w:r>
        <w:r>
          <w:rPr>
            <w:lang w:val="zh-CN"/>
          </w:rPr>
          <w:t>13</w:t>
        </w:r>
        <w:r>
          <w:fldChar w:fldCharType="end"/>
        </w:r>
      </w:p>
    </w:sdtContent>
  </w:sdt>
  <w:p w14:paraId="3252385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3C619F"/>
    <w:rsid w:val="0F6273CA"/>
    <w:rsid w:val="100F38EC"/>
    <w:rsid w:val="11170296"/>
    <w:rsid w:val="12C66037"/>
    <w:rsid w:val="12CD1ABC"/>
    <w:rsid w:val="13471461"/>
    <w:rsid w:val="13B90F01"/>
    <w:rsid w:val="13F200C2"/>
    <w:rsid w:val="155E4C4D"/>
    <w:rsid w:val="181066D2"/>
    <w:rsid w:val="1A5B4106"/>
    <w:rsid w:val="1C671E73"/>
    <w:rsid w:val="1D322C47"/>
    <w:rsid w:val="22290DFD"/>
    <w:rsid w:val="23616034"/>
    <w:rsid w:val="23696C97"/>
    <w:rsid w:val="24480FA2"/>
    <w:rsid w:val="25227A45"/>
    <w:rsid w:val="264C50D6"/>
    <w:rsid w:val="26AC3A6A"/>
    <w:rsid w:val="2B9D7E25"/>
    <w:rsid w:val="2C7C7A3B"/>
    <w:rsid w:val="2CAB7634"/>
    <w:rsid w:val="2CD15E8A"/>
    <w:rsid w:val="2F364819"/>
    <w:rsid w:val="2FD63906"/>
    <w:rsid w:val="34B87EDC"/>
    <w:rsid w:val="3650732A"/>
    <w:rsid w:val="37215DAE"/>
    <w:rsid w:val="38CA40DD"/>
    <w:rsid w:val="395F2B56"/>
    <w:rsid w:val="3B482032"/>
    <w:rsid w:val="3B8523E6"/>
    <w:rsid w:val="3BBA0580"/>
    <w:rsid w:val="3BC3771B"/>
    <w:rsid w:val="3BECE841"/>
    <w:rsid w:val="3CDE204C"/>
    <w:rsid w:val="3D363C36"/>
    <w:rsid w:val="3E9C3F6D"/>
    <w:rsid w:val="3EE720FC"/>
    <w:rsid w:val="3FF7797D"/>
    <w:rsid w:val="42F16CBA"/>
    <w:rsid w:val="46690BD8"/>
    <w:rsid w:val="49F70BF1"/>
    <w:rsid w:val="4A8F3E31"/>
    <w:rsid w:val="4B4340EE"/>
    <w:rsid w:val="503D507A"/>
    <w:rsid w:val="5151081B"/>
    <w:rsid w:val="51FA74D0"/>
    <w:rsid w:val="52AA4A52"/>
    <w:rsid w:val="539D3AD1"/>
    <w:rsid w:val="54DC65A0"/>
    <w:rsid w:val="59943D66"/>
    <w:rsid w:val="59E051FD"/>
    <w:rsid w:val="59E6355E"/>
    <w:rsid w:val="5A2D79A6"/>
    <w:rsid w:val="5B821531"/>
    <w:rsid w:val="5BFF6039"/>
    <w:rsid w:val="5D76A616"/>
    <w:rsid w:val="5D7F20B9"/>
    <w:rsid w:val="5DAC7D0E"/>
    <w:rsid w:val="5F98B5AF"/>
    <w:rsid w:val="5FFE8511"/>
    <w:rsid w:val="5FFEACE2"/>
    <w:rsid w:val="603D5B84"/>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1C772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36</Pages>
  <Words>12799</Words>
  <Characters>13213</Characters>
  <Lines>58</Lines>
  <Paragraphs>16</Paragraphs>
  <TotalTime>41</TotalTime>
  <ScaleCrop>false</ScaleCrop>
  <LinksUpToDate>false</LinksUpToDate>
  <CharactersWithSpaces>13244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2025-05-12T04:13:46Z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B24809E948224A0599B6DC822EC61376_13</vt:lpwstr>
  </property>
  <property fmtid="{D5CDD505-2E9C-101B-9397-08002B2CF9AE}" pid="4" name="KSOTemplateDocerSaveRecord">
    <vt:lpwstr>eyJoZGlkIjoiOGEzNDg2NzdlZjJjNGNkMGM4NjIzNWI0ZDYwZDJkMzQiLCJ1c2VySWQiOiIzOTM2MTUzNzAifQ==</vt:lpwstr>
  </property>
</Properties>
</file>