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3D937">
      <w:pPr>
        <w:spacing w:after="0" w:line="240" w:lineRule="auto"/>
        <w:rPr>
          <w:rFonts w:hint="eastAsia" w:ascii="宋体" w:eastAsia="宋体"/>
          <w:sz w:val="32"/>
          <w:szCs w:val="32"/>
        </w:rPr>
      </w:pPr>
    </w:p>
    <w:p w14:paraId="4A50D5F7">
      <w:pPr>
        <w:spacing w:after="0" w:line="240" w:lineRule="auto"/>
        <w:rPr>
          <w:rFonts w:hint="eastAsia" w:ascii="宋体" w:eastAsia="宋体"/>
          <w:sz w:val="44"/>
          <w:szCs w:val="44"/>
        </w:rPr>
      </w:pPr>
    </w:p>
    <w:p w14:paraId="1A2D4D68">
      <w:pPr>
        <w:spacing w:after="0" w:line="240" w:lineRule="auto"/>
        <w:rPr>
          <w:rFonts w:hint="eastAsia" w:ascii="宋体" w:eastAsia="宋体"/>
          <w:sz w:val="44"/>
          <w:szCs w:val="44"/>
        </w:rPr>
      </w:pPr>
    </w:p>
    <w:p w14:paraId="56FF5F1A">
      <w:pPr>
        <w:spacing w:after="0" w:line="240" w:lineRule="auto"/>
        <w:rPr>
          <w:rFonts w:hint="eastAsia" w:ascii="宋体" w:eastAsia="宋体"/>
          <w:sz w:val="44"/>
          <w:szCs w:val="44"/>
        </w:rPr>
      </w:pPr>
    </w:p>
    <w:p w14:paraId="1DF05DDC">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奇台县水政监察大队</w:t>
      </w:r>
    </w:p>
    <w:p w14:paraId="294D8C9A">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1F17B4F5">
      <w:pPr>
        <w:rPr>
          <w:rFonts w:hint="eastAsia"/>
          <w:lang w:eastAsia="zh-CN"/>
        </w:rPr>
      </w:pPr>
      <w:r>
        <w:rPr>
          <w:sz w:val="0"/>
          <w:szCs w:val="0"/>
          <w:lang w:eastAsia="zh-CN"/>
        </w:rPr>
        <w:br w:type="page"/>
      </w:r>
    </w:p>
    <w:p w14:paraId="6B85D9A4">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08FB631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F151C3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57E8EA1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1D6921F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6549B22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5743D0A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5FA7FAF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4A52E7C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993DE7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8CB6FF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F947CE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E87852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00BF29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566B1B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FBCCD6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9203E3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500538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2890F95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5CBA91B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7C73FC4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08A22CD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509F60D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0D51FF8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DC5A4F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425611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AED856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0522A49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1D102FB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10315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E51860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88F39A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9A341E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237E3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07AE4BF8">
      <w:pPr>
        <w:rPr>
          <w:rFonts w:hint="eastAsia"/>
          <w:lang w:eastAsia="zh-CN"/>
        </w:rPr>
      </w:pPr>
      <w:r>
        <w:rPr>
          <w:sz w:val="0"/>
          <w:szCs w:val="0"/>
          <w:lang w:eastAsia="zh-CN"/>
        </w:rPr>
        <w:br w:type="page"/>
      </w:r>
    </w:p>
    <w:p w14:paraId="44A514D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0C1DCC0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6E292AC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负责《中华人民共和国水法》、《中华人民共和国水土保持法》、《中华人民共和国防洪法》等水法律、法规的组织实施和监督检查，拟定奇台县水行政的政策措施、发展战略和中长期规划，负责编制开发、利用、节约、保护、管理水资源和防治水害的流域规划和区域规划，并依法监督实施。</w:t>
      </w:r>
    </w:p>
    <w:p w14:paraId="4000AC8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统一管理奇台县区域内水资源，对年度用水任务总量控制并监督实施；组织有关国民经济总体规划、城市规划及重大建设项目的水资源和水土保持论证工作；组织实施取水许可制度和水资源费、水土保持费、水土流失补偿费的征收；发布奇台县水资源公报；组织指导权限内各类工程编制水土保持方案，并监督实施。</w:t>
      </w:r>
    </w:p>
    <w:p w14:paraId="7A28B8F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负责奇台县水政监察和水行政执法工作；协调县境内部门间、区域间及与兵团之间水事纠纷。组织、指导和监督节约用水工作，编制节约用水规划，制定有关标准，建立和完善节水制度，负责地下水资源的管理保护，监督指导城乡采水和管网输水、用户用水中的节约用水工作。</w:t>
      </w:r>
    </w:p>
    <w:p w14:paraId="074C94A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w:t>
      </w:r>
      <w:r>
        <w:rPr>
          <w:rFonts w:hint="eastAsia" w:ascii="仿宋_GB2312" w:eastAsia="仿宋_GB2312"/>
          <w:sz w:val="32"/>
          <w:szCs w:val="32"/>
          <w:lang w:eastAsia="zh-CN"/>
        </w:rPr>
        <w:t>4</w:t>
      </w:r>
      <w:r>
        <w:rPr>
          <w:rFonts w:ascii="仿宋_GB2312" w:eastAsia="仿宋_GB2312"/>
          <w:sz w:val="32"/>
          <w:szCs w:val="32"/>
          <w:lang w:eastAsia="zh-CN"/>
        </w:rPr>
        <w:t>）按照国家资源与环境保护的有关法律法规和标准，负责拟定水资源保护规划，组织水功能区的划分，监测河库水量、水质、地下水水位、水质并定期向社会公布。</w:t>
      </w:r>
    </w:p>
    <w:p w14:paraId="1FF08C7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w:t>
      </w:r>
      <w:r>
        <w:rPr>
          <w:rFonts w:hint="eastAsia" w:ascii="仿宋_GB2312" w:eastAsia="仿宋_GB2312"/>
          <w:sz w:val="32"/>
          <w:szCs w:val="32"/>
          <w:lang w:eastAsia="zh-CN"/>
        </w:rPr>
        <w:t>5</w:t>
      </w:r>
      <w:r>
        <w:rPr>
          <w:rFonts w:ascii="仿宋_GB2312" w:eastAsia="仿宋_GB2312"/>
          <w:sz w:val="32"/>
          <w:szCs w:val="32"/>
          <w:lang w:eastAsia="zh-CN"/>
        </w:rPr>
        <w:t>）组织开展水土保持工作。研究制定水土保持的工程措施规划，组织水实施水土流失的监测和综合防治。</w:t>
      </w:r>
    </w:p>
    <w:p w14:paraId="6A4A508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w:t>
      </w:r>
      <w:r>
        <w:rPr>
          <w:rFonts w:hint="eastAsia" w:ascii="仿宋_GB2312" w:eastAsia="仿宋_GB2312"/>
          <w:sz w:val="32"/>
          <w:szCs w:val="32"/>
          <w:lang w:eastAsia="zh-CN"/>
        </w:rPr>
        <w:t>6</w:t>
      </w:r>
      <w:r>
        <w:rPr>
          <w:rFonts w:ascii="仿宋_GB2312" w:eastAsia="仿宋_GB2312"/>
          <w:sz w:val="32"/>
          <w:szCs w:val="32"/>
          <w:lang w:eastAsia="zh-CN"/>
        </w:rPr>
        <w:t>）承办奇台县人民政府交办的其它事项。</w:t>
      </w:r>
    </w:p>
    <w:p w14:paraId="3FFF4E7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070F5E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奇台县水政监察大队2024年度，实有人数33人，其中：在职人员22人，增加1人；离休人员0人，较上年无变化；退休人员11人，增加1人。</w:t>
      </w:r>
    </w:p>
    <w:p w14:paraId="4896893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奇台县水政监察大队无下属预算单位，下设3个</w:t>
      </w:r>
      <w:r>
        <w:rPr>
          <w:rFonts w:hint="eastAsia" w:ascii="仿宋_GB2312" w:eastAsia="仿宋_GB2312"/>
          <w:sz w:val="32"/>
          <w:szCs w:val="32"/>
          <w:lang w:eastAsia="zh-CN"/>
        </w:rPr>
        <w:t>科室</w:t>
      </w:r>
      <w:r>
        <w:rPr>
          <w:rFonts w:ascii="仿宋_GB2312" w:eastAsia="仿宋_GB2312"/>
          <w:sz w:val="32"/>
          <w:szCs w:val="32"/>
          <w:lang w:eastAsia="zh-CN"/>
        </w:rPr>
        <w:t>，分别是：地下水资源管理办公室</w:t>
      </w:r>
      <w:r>
        <w:rPr>
          <w:rFonts w:hint="eastAsia" w:ascii="仿宋_GB2312" w:eastAsia="仿宋_GB2312"/>
          <w:sz w:val="32"/>
          <w:szCs w:val="32"/>
          <w:lang w:eastAsia="zh-CN"/>
        </w:rPr>
        <w:t>、</w:t>
      </w:r>
      <w:r>
        <w:rPr>
          <w:rFonts w:ascii="仿宋_GB2312" w:eastAsia="仿宋_GB2312"/>
          <w:sz w:val="32"/>
          <w:szCs w:val="32"/>
          <w:lang w:eastAsia="zh-CN"/>
        </w:rPr>
        <w:t>财务室</w:t>
      </w:r>
      <w:r>
        <w:rPr>
          <w:rFonts w:hint="eastAsia" w:ascii="仿宋_GB2312" w:eastAsia="仿宋_GB2312"/>
          <w:sz w:val="32"/>
          <w:szCs w:val="32"/>
          <w:lang w:eastAsia="zh-CN"/>
        </w:rPr>
        <w:t>、</w:t>
      </w:r>
      <w:r>
        <w:rPr>
          <w:rFonts w:ascii="仿宋_GB2312" w:eastAsia="仿宋_GB2312"/>
          <w:sz w:val="32"/>
          <w:szCs w:val="32"/>
          <w:lang w:eastAsia="zh-CN"/>
        </w:rPr>
        <w:t>办公室。</w:t>
      </w:r>
    </w:p>
    <w:p w14:paraId="521BDFB2">
      <w:pPr>
        <w:rPr>
          <w:rFonts w:hint="eastAsia"/>
          <w:lang w:eastAsia="zh-CN"/>
        </w:rPr>
      </w:pPr>
      <w:r>
        <w:rPr>
          <w:sz w:val="0"/>
          <w:szCs w:val="0"/>
          <w:lang w:eastAsia="zh-CN"/>
        </w:rPr>
        <w:br w:type="page"/>
      </w:r>
    </w:p>
    <w:p w14:paraId="1261972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44F013F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493C084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2024年度收入总计997.72万元，其中：本年收入合计997.72万元，使用非财政拨款结余（含专用结余）0.00万元，年初结转和结余0.00万元。</w:t>
      </w:r>
    </w:p>
    <w:p w14:paraId="1F15B80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2024年度支出总计997.72万元，其中：本年支出合计997.42万元，结余分配0.00万元，年末结转和结余0.30万元。</w:t>
      </w:r>
    </w:p>
    <w:p w14:paraId="1F41952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收入支出总体与上年相比，减少1,096.57万元，下降52.36%，主要原因是：</w:t>
      </w:r>
      <w:r>
        <w:rPr>
          <w:rFonts w:hint="eastAsia" w:ascii="仿宋_GB2312" w:eastAsia="仿宋_GB2312"/>
          <w:sz w:val="32"/>
          <w:szCs w:val="32"/>
          <w:lang w:eastAsia="zh-CN"/>
        </w:rPr>
        <w:t>本年减少奇台县水资源管理和行政执法工作经费、奇台县井电双控设备升级改造项目经费、奇台县“井电双控”维修养护项目经费</w:t>
      </w:r>
      <w:r>
        <w:rPr>
          <w:rFonts w:ascii="仿宋_GB2312" w:eastAsia="仿宋_GB2312"/>
          <w:sz w:val="32"/>
          <w:szCs w:val="32"/>
          <w:lang w:eastAsia="zh-CN"/>
        </w:rPr>
        <w:t>。</w:t>
      </w:r>
    </w:p>
    <w:p w14:paraId="32048E6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73D7E1F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本年收入997.72万元，其中：财政拨款收入997.42万元,占99.97%；上级补助收入0.00万元,占0.00%；事业收入0.00万元，占0.00%；经营收入0.00万元,占0.00%；附属单位上缴收入0.00万元，占0.00%；其他收入0.31万元，占0.03%。</w:t>
      </w:r>
    </w:p>
    <w:p w14:paraId="3C0433F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084B75E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本年支出997.42万元，其中：基本支出408.30万元，占40.94%；项目支出589.12万元，占59.06%；上缴上级支出0.00万元，占0.00%；经营支出0.00万元，占0.00%；对附属单位补助支出0.00万元，占0.00%。</w:t>
      </w:r>
    </w:p>
    <w:p w14:paraId="51F72EE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2D03EA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2024年度财政拨款收入总计997.42万元，其中：年初财政拨款结转和结余0.00万元，本年财政拨款收入997.42万元。财政拨款支出总计997.42万元，其中：年末财政拨款结转和结余0.00万元，本年财政拨款支出997.42万元。</w:t>
      </w:r>
    </w:p>
    <w:p w14:paraId="5A00262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财政拨款收入支出总体与上年相比，减少1,096.68万元，下降52.37%，主要原因是：</w:t>
      </w:r>
      <w:r>
        <w:rPr>
          <w:rFonts w:hint="eastAsia" w:ascii="仿宋_GB2312" w:eastAsia="仿宋_GB2312"/>
          <w:sz w:val="32"/>
          <w:szCs w:val="32"/>
          <w:lang w:eastAsia="zh-CN"/>
        </w:rPr>
        <w:t>本年减少奇台县水资源管理和行政执法工作经费、奇台县井电双控设备升级改造项目经费、奇台县“井电双控”维修养护项目经费</w:t>
      </w:r>
      <w:r>
        <w:rPr>
          <w:rFonts w:ascii="仿宋_GB2312" w:eastAsia="仿宋_GB2312"/>
          <w:sz w:val="32"/>
          <w:szCs w:val="32"/>
          <w:lang w:eastAsia="zh-CN"/>
        </w:rPr>
        <w:t>。与年初预算相比，年初预算数542.80万元，决算数997.42万元，预决算差异率83.75%，主要原因是：</w:t>
      </w:r>
      <w:r>
        <w:rPr>
          <w:rFonts w:hint="eastAsia" w:ascii="仿宋_GB2312" w:eastAsia="仿宋_GB2312"/>
          <w:sz w:val="32"/>
          <w:szCs w:val="32"/>
          <w:lang w:eastAsia="zh-CN"/>
        </w:rPr>
        <w:t>年中追加奇台县智能计量设备运行维护费、为民办实事专项项目经费；单位本年人员增加，年中追加人员工资、津贴补贴、奖金等经费</w:t>
      </w:r>
      <w:r>
        <w:rPr>
          <w:rFonts w:ascii="仿宋_GB2312" w:eastAsia="仿宋_GB2312"/>
          <w:sz w:val="32"/>
          <w:szCs w:val="32"/>
          <w:lang w:eastAsia="zh-CN"/>
        </w:rPr>
        <w:t>。</w:t>
      </w:r>
    </w:p>
    <w:p w14:paraId="52C429F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4A8BB2D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6C59ADF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2024年度一般公共预算财政拨款支出937.42万元，占本年支出合计的93.98%。与上年相比，减少1,156.68万元，下降55.24%，主要原因是：</w:t>
      </w:r>
      <w:r>
        <w:rPr>
          <w:rFonts w:hint="eastAsia" w:ascii="仿宋_GB2312" w:eastAsia="仿宋_GB2312"/>
          <w:sz w:val="32"/>
          <w:szCs w:val="32"/>
          <w:lang w:eastAsia="zh-CN"/>
        </w:rPr>
        <w:t>本年减少奇台县水资源管理和行政执法工作经费、奇台县井电双控设备升级改造项目经费、奇台县“井电双控”维修养护项目经费</w:t>
      </w:r>
      <w:r>
        <w:rPr>
          <w:rFonts w:ascii="仿宋_GB2312" w:eastAsia="仿宋_GB2312"/>
          <w:sz w:val="32"/>
          <w:szCs w:val="32"/>
          <w:lang w:eastAsia="zh-CN"/>
        </w:rPr>
        <w:t>。与年初预算相比，年初预算数542.80万元，决算数937.42万元，预决算差异率72.70%，主要原因是：</w:t>
      </w:r>
      <w:r>
        <w:rPr>
          <w:rFonts w:hint="eastAsia" w:ascii="仿宋_GB2312" w:eastAsia="仿宋_GB2312"/>
          <w:sz w:val="32"/>
          <w:szCs w:val="32"/>
          <w:lang w:eastAsia="zh-CN"/>
        </w:rPr>
        <w:t>年中追加奇台县智能计量设备运行维护费、为民办实事专项项目经费；单位本年人员增加，年中追加人员工资、津贴补贴、奖金等经费</w:t>
      </w:r>
      <w:r>
        <w:rPr>
          <w:rFonts w:ascii="仿宋_GB2312" w:eastAsia="仿宋_GB2312"/>
          <w:sz w:val="32"/>
          <w:szCs w:val="32"/>
          <w:lang w:eastAsia="zh-CN"/>
        </w:rPr>
        <w:t>。</w:t>
      </w:r>
    </w:p>
    <w:p w14:paraId="4773A2D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3A3BD2B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社会保障和就业支出（类）69.14万元，占7.38%。</w:t>
      </w:r>
    </w:p>
    <w:p w14:paraId="240FE64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卫生健康支出（类）22.85万元，占2.44%。</w:t>
      </w:r>
    </w:p>
    <w:p w14:paraId="1101772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农林水支出（类）810.69万元，占86.48%。</w:t>
      </w:r>
    </w:p>
    <w:p w14:paraId="0043D7DA">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住房保障支出（类）29.74万元，占3.17%。</w:t>
      </w:r>
    </w:p>
    <w:p w14:paraId="45BC75C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其他支出（类）5.00万元，占0.53%。</w:t>
      </w:r>
    </w:p>
    <w:p w14:paraId="69FF13E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79AA9CF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1、社会保障和就业支出（类）行政事业单位养老支出（款）行政单位离退休（项）：支出决算数为6.87万元，比上年决算增加3.17万元，增长85.68%，主要原因是：</w:t>
      </w:r>
      <w:r>
        <w:rPr>
          <w:rFonts w:hint="eastAsia" w:ascii="仿宋_GB2312" w:eastAsia="仿宋_GB2312"/>
          <w:sz w:val="32"/>
          <w:szCs w:val="32"/>
          <w:lang w:eastAsia="zh-CN"/>
        </w:rPr>
        <w:t>单位本年退休人员取暖费、交通补助费用增加</w:t>
      </w:r>
      <w:r>
        <w:rPr>
          <w:rFonts w:ascii="仿宋_GB2312" w:eastAsia="仿宋_GB2312"/>
          <w:sz w:val="32"/>
          <w:szCs w:val="32"/>
          <w:lang w:eastAsia="zh-CN"/>
        </w:rPr>
        <w:t>。</w:t>
      </w:r>
    </w:p>
    <w:p w14:paraId="2155989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2、社会保障和就业支出（类）行政事业单位养老支出（款）事业单位离退休（项）：支出决算数为0.00万元，比上年决算减少0.18万元，下降100.00%，主要原因是：本年</w:t>
      </w:r>
      <w:r>
        <w:rPr>
          <w:rFonts w:hint="eastAsia" w:ascii="仿宋_GB2312" w:eastAsia="仿宋_GB2312"/>
          <w:sz w:val="32"/>
          <w:szCs w:val="32"/>
          <w:lang w:eastAsia="zh-CN"/>
        </w:rPr>
        <w:t>功能科目调整，</w:t>
      </w:r>
      <w:r>
        <w:rPr>
          <w:rFonts w:ascii="仿宋_GB2312" w:eastAsia="仿宋_GB2312"/>
          <w:sz w:val="32"/>
          <w:szCs w:val="32"/>
          <w:lang w:eastAsia="zh-CN"/>
        </w:rPr>
        <w:t>事业单位离退休</w:t>
      </w:r>
      <w:r>
        <w:rPr>
          <w:rFonts w:hint="eastAsia" w:ascii="仿宋_GB2312" w:eastAsia="仿宋_GB2312"/>
          <w:sz w:val="32"/>
          <w:szCs w:val="32"/>
          <w:lang w:eastAsia="zh-CN"/>
        </w:rPr>
        <w:t>款项调整至</w:t>
      </w:r>
      <w:r>
        <w:rPr>
          <w:rFonts w:ascii="仿宋_GB2312" w:eastAsia="仿宋_GB2312"/>
          <w:sz w:val="32"/>
          <w:szCs w:val="32"/>
          <w:lang w:eastAsia="zh-CN"/>
        </w:rPr>
        <w:t>行政单位离退休</w:t>
      </w:r>
      <w:r>
        <w:rPr>
          <w:rFonts w:hint="eastAsia" w:ascii="仿宋_GB2312" w:eastAsia="仿宋_GB2312"/>
          <w:sz w:val="32"/>
          <w:szCs w:val="32"/>
          <w:lang w:eastAsia="zh-CN"/>
        </w:rPr>
        <w:t>款项中核算，导致此项经费减少</w:t>
      </w:r>
      <w:r>
        <w:rPr>
          <w:rFonts w:ascii="仿宋_GB2312" w:eastAsia="仿宋_GB2312"/>
          <w:sz w:val="32"/>
          <w:szCs w:val="32"/>
          <w:lang w:eastAsia="zh-CN"/>
        </w:rPr>
        <w:t>。</w:t>
      </w:r>
    </w:p>
    <w:p w14:paraId="6BCB83F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3、社会保障和就业支出（类）行政事业单位养老支出（款）机关事业单位基本养老保险缴费支出（项）：支出决算数为37.05万元，比上年决算增加1.71万元，增长4.84%，主要原因是：</w:t>
      </w:r>
      <w:r>
        <w:rPr>
          <w:rFonts w:hint="eastAsia" w:ascii="仿宋_GB2312" w:eastAsia="仿宋_GB2312"/>
          <w:sz w:val="32"/>
          <w:szCs w:val="32"/>
          <w:lang w:eastAsia="zh-CN"/>
        </w:rPr>
        <w:t>单位本年社保缴费基数调增，人员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r>
        <w:rPr>
          <w:rFonts w:ascii="仿宋_GB2312" w:eastAsia="仿宋_GB2312"/>
          <w:sz w:val="32"/>
          <w:szCs w:val="32"/>
          <w:lang w:eastAsia="zh-CN"/>
        </w:rPr>
        <w:t>。</w:t>
      </w:r>
    </w:p>
    <w:p w14:paraId="7991790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4、社会保障和就业支出（类）行政事业单位养老支出（款）机关事业单位职业年金缴费支出（项）：支出决算数为25.22万元，比上年决算增加12.01万元，增长90.92%，主要原因是：</w:t>
      </w:r>
      <w:r>
        <w:rPr>
          <w:rFonts w:hint="eastAsia" w:ascii="仿宋_GB2312" w:eastAsia="仿宋_GB2312"/>
          <w:sz w:val="32"/>
          <w:szCs w:val="32"/>
          <w:lang w:eastAsia="zh-CN"/>
        </w:rPr>
        <w:t>单位</w:t>
      </w:r>
      <w:r>
        <w:rPr>
          <w:rFonts w:ascii="仿宋_GB2312" w:eastAsia="仿宋_GB2312"/>
          <w:sz w:val="32"/>
          <w:szCs w:val="32"/>
          <w:lang w:eastAsia="zh-CN"/>
        </w:rPr>
        <w:t>本</w:t>
      </w:r>
      <w:r>
        <w:rPr>
          <w:rFonts w:hint="eastAsia" w:ascii="仿宋_GB2312" w:eastAsia="仿宋_GB2312"/>
          <w:sz w:val="32"/>
          <w:szCs w:val="32"/>
          <w:lang w:eastAsia="zh-CN"/>
        </w:rPr>
        <w:t>年人员一次性</w:t>
      </w:r>
      <w:r>
        <w:rPr>
          <w:rFonts w:ascii="仿宋_GB2312" w:eastAsia="仿宋_GB2312"/>
          <w:sz w:val="32"/>
          <w:szCs w:val="32"/>
          <w:lang w:eastAsia="zh-CN"/>
        </w:rPr>
        <w:t>职业年金</w:t>
      </w:r>
      <w:r>
        <w:rPr>
          <w:rFonts w:hint="eastAsia" w:ascii="仿宋_GB2312" w:eastAsia="仿宋_GB2312"/>
          <w:sz w:val="32"/>
          <w:szCs w:val="32"/>
          <w:lang w:eastAsia="zh-CN"/>
        </w:rPr>
        <w:t>缴费增加</w:t>
      </w:r>
      <w:r>
        <w:rPr>
          <w:rFonts w:ascii="仿宋_GB2312" w:eastAsia="仿宋_GB2312"/>
          <w:sz w:val="32"/>
          <w:szCs w:val="32"/>
          <w:lang w:eastAsia="zh-CN"/>
        </w:rPr>
        <w:t>。</w:t>
      </w:r>
    </w:p>
    <w:p w14:paraId="5CDD290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5、卫生健康支出（类）行政事业单位医疗（款）行政单位医疗（项）：支出决算数为12.33万元，比上年决算减少0.41万元，下降3.22%，主要原因是：</w:t>
      </w:r>
      <w:r>
        <w:rPr>
          <w:rFonts w:hint="eastAsia" w:ascii="仿宋_GB2312" w:eastAsia="仿宋_GB2312"/>
          <w:sz w:val="32"/>
          <w:szCs w:val="32"/>
          <w:lang w:eastAsia="zh-CN"/>
        </w:rPr>
        <w:t>新公招人员缴费基数低于调出人员，缴费基数总额减少，导致人员医疗保险缴费减少</w:t>
      </w:r>
      <w:r>
        <w:rPr>
          <w:rFonts w:ascii="仿宋_GB2312" w:eastAsia="仿宋_GB2312"/>
          <w:sz w:val="32"/>
          <w:szCs w:val="32"/>
          <w:lang w:eastAsia="zh-CN"/>
        </w:rPr>
        <w:t>。</w:t>
      </w:r>
    </w:p>
    <w:p w14:paraId="2B7B0A5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6、卫生健康支出（类）行政事业单位医疗（款）事业单位医疗（项）：支出决算数为6.98万元，比上年决算增加1.13万元，增长19.32%，主要原因是：</w:t>
      </w:r>
      <w:r>
        <w:rPr>
          <w:rFonts w:hint="eastAsia" w:ascii="仿宋_GB2312" w:eastAsia="仿宋_GB2312"/>
          <w:sz w:val="32"/>
          <w:szCs w:val="32"/>
          <w:lang w:eastAsia="zh-CN"/>
        </w:rPr>
        <w:t>单位本年社保缴费基数调增，人员医疗保险缴费增加</w:t>
      </w:r>
      <w:r>
        <w:rPr>
          <w:rFonts w:ascii="仿宋_GB2312" w:eastAsia="仿宋_GB2312"/>
          <w:sz w:val="32"/>
          <w:szCs w:val="32"/>
          <w:lang w:eastAsia="zh-CN"/>
        </w:rPr>
        <w:t>。</w:t>
      </w:r>
    </w:p>
    <w:p w14:paraId="2A498D6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7、卫生健康支出（类）行政事业单位医疗（款）公务员医疗补助（项）：支出决算数为3.40万元，比上年决算减少0.06万元，下降1.73%，主要原因是：</w:t>
      </w:r>
      <w:r>
        <w:rPr>
          <w:rFonts w:hint="eastAsia" w:ascii="仿宋_GB2312" w:eastAsia="仿宋_GB2312"/>
          <w:sz w:val="32"/>
          <w:szCs w:val="32"/>
          <w:lang w:eastAsia="zh-CN"/>
        </w:rPr>
        <w:t>新公招人员缴费基数低于调出人员，缴费基数总额减少，导致人员医疗保险缴费减少</w:t>
      </w:r>
      <w:r>
        <w:rPr>
          <w:rFonts w:ascii="仿宋_GB2312" w:eastAsia="仿宋_GB2312"/>
          <w:sz w:val="32"/>
          <w:szCs w:val="32"/>
          <w:lang w:eastAsia="zh-CN"/>
        </w:rPr>
        <w:t>。</w:t>
      </w:r>
    </w:p>
    <w:p w14:paraId="62C3107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8、卫生健康支出（类）行政事业单位医疗（款）其他行政事业单位医疗支出（项）：支出决算数为0.14万元，比上年决算减少0.05万元，下降26.32%，主要原因是：</w:t>
      </w:r>
      <w:r>
        <w:rPr>
          <w:rFonts w:hint="eastAsia" w:ascii="仿宋_GB2312" w:eastAsia="仿宋_GB2312"/>
          <w:sz w:val="32"/>
          <w:szCs w:val="32"/>
          <w:lang w:eastAsia="zh-CN"/>
        </w:rPr>
        <w:t>新公招人员缴费基数低于调出人员，缴费基数总额减少，导致人员医疗保险缴费减少。</w:t>
      </w:r>
    </w:p>
    <w:p w14:paraId="705BBA2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9、农林水支出（类）水利（款）行政运行（项）：支出决算数为286.57万元，比上年决算增加8.07万元，增长2.90%，主要原因是：</w:t>
      </w:r>
      <w:r>
        <w:rPr>
          <w:rFonts w:hint="eastAsia" w:ascii="仿宋_GB2312" w:eastAsia="仿宋_GB2312"/>
          <w:sz w:val="32"/>
          <w:szCs w:val="32"/>
          <w:lang w:eastAsia="zh-CN"/>
        </w:rPr>
        <w:t>单位本年人员增加，人员工资、津贴补贴、奖金等经费增加</w:t>
      </w:r>
      <w:r>
        <w:rPr>
          <w:rFonts w:ascii="仿宋_GB2312" w:eastAsia="仿宋_GB2312"/>
          <w:sz w:val="32"/>
          <w:szCs w:val="32"/>
          <w:lang w:eastAsia="zh-CN"/>
        </w:rPr>
        <w:t>。</w:t>
      </w:r>
    </w:p>
    <w:p w14:paraId="0A02A12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10、农林水支出（类）水利（款）水利执法监督（项）：支出决算数为0.00万元，比上年决算减少5.04万元，下降100.00%，主要原因是：</w:t>
      </w:r>
      <w:r>
        <w:rPr>
          <w:rFonts w:hint="eastAsia" w:ascii="仿宋_GB2312" w:eastAsia="仿宋_GB2312"/>
          <w:sz w:val="32"/>
          <w:szCs w:val="32"/>
          <w:lang w:eastAsia="zh-CN"/>
        </w:rPr>
        <w:t>本年奇台县水资源管理和行政执法工作经费减少</w:t>
      </w:r>
      <w:r>
        <w:rPr>
          <w:rFonts w:ascii="仿宋_GB2312" w:eastAsia="仿宋_GB2312"/>
          <w:sz w:val="32"/>
          <w:szCs w:val="32"/>
          <w:lang w:eastAsia="zh-CN"/>
        </w:rPr>
        <w:t>。</w:t>
      </w:r>
    </w:p>
    <w:p w14:paraId="21EDF7D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11、农林水支出（类）水利（款）水资源节约管理与保护（项）：支出决算数为470.00万元，比上年决算减少554.00万元，下降54.10%，主要原因是：</w:t>
      </w:r>
      <w:r>
        <w:rPr>
          <w:rFonts w:hint="eastAsia" w:ascii="仿宋_GB2312" w:eastAsia="仿宋_GB2312"/>
          <w:sz w:val="32"/>
          <w:szCs w:val="32"/>
          <w:lang w:eastAsia="zh-CN"/>
        </w:rPr>
        <w:t>本年奇台县井电双控设备升级改造项目经费减少。</w:t>
      </w:r>
    </w:p>
    <w:p w14:paraId="4148D6C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12、农林水支出（类）水利（款）抗旱（项）：支出决算数为54.12万元，比上年决算增加54.12万元，增长100.00%，主要原因是：</w:t>
      </w:r>
      <w:r>
        <w:rPr>
          <w:rFonts w:hint="eastAsia" w:ascii="仿宋_GB2312" w:eastAsia="仿宋_GB2312"/>
          <w:sz w:val="32"/>
          <w:szCs w:val="32"/>
          <w:lang w:eastAsia="zh-CN"/>
        </w:rPr>
        <w:t>本年奇台县智能计量设备运行维护费增加。</w:t>
      </w:r>
    </w:p>
    <w:p w14:paraId="22657A6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13、农林水支出（类）水利（款）其他水利支出（项）：支出决算数为0.00万元，比上年决算减少100.00万元，下降100.00%，主要原因是：</w:t>
      </w:r>
      <w:r>
        <w:rPr>
          <w:rFonts w:hint="eastAsia" w:ascii="仿宋_GB2312" w:eastAsia="仿宋_GB2312"/>
          <w:sz w:val="32"/>
          <w:szCs w:val="32"/>
          <w:lang w:eastAsia="zh-CN"/>
        </w:rPr>
        <w:t>本年奇台县“井电双控”维修养护项目经费减少。</w:t>
      </w:r>
    </w:p>
    <w:p w14:paraId="2A16560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14、资源勘探工业信息等支出（类）支持中小企业发展和管理支出（款）其他支持中小企业发展和管理支出（项）：支出决算数为0.00万元，比上年决算减少581.56万元，下降100.00%，主要原因是：</w:t>
      </w:r>
      <w:r>
        <w:rPr>
          <w:rFonts w:hint="eastAsia" w:ascii="仿宋_GB2312" w:eastAsia="仿宋_GB2312"/>
          <w:sz w:val="32"/>
          <w:szCs w:val="32"/>
          <w:lang w:eastAsia="zh-CN"/>
        </w:rPr>
        <w:t>单位本年对中小企业扶持补助项目经费减少。</w:t>
      </w:r>
    </w:p>
    <w:p w14:paraId="35F0223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15、住房保障支出（类）住房改革支出（款）住房公积金（项）：支出决算数为29.74万元，比上年决算增加1.28万元，增长4.50%，主要原因是：</w:t>
      </w:r>
      <w:r>
        <w:rPr>
          <w:rFonts w:hint="eastAsia" w:ascii="仿宋_GB2312" w:eastAsia="仿宋_GB2312"/>
          <w:sz w:val="32"/>
          <w:szCs w:val="32"/>
          <w:lang w:eastAsia="zh-CN"/>
        </w:rPr>
        <w:t>单位本年公积金缴费基数调增，人员公积金缴费增加</w:t>
      </w:r>
      <w:r>
        <w:rPr>
          <w:rFonts w:ascii="仿宋_GB2312" w:eastAsia="仿宋_GB2312"/>
          <w:sz w:val="32"/>
          <w:szCs w:val="32"/>
          <w:lang w:eastAsia="zh-CN"/>
        </w:rPr>
        <w:t>。</w:t>
      </w:r>
    </w:p>
    <w:p w14:paraId="585E5F1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16、其他支出（类）其他支出（款）其他支出（项）：支出决算数为5.00万元，比上年决算增加3.13万元，增长167.38%，主要原因是：</w:t>
      </w:r>
      <w:r>
        <w:rPr>
          <w:rFonts w:hint="eastAsia" w:ascii="仿宋_GB2312" w:eastAsia="仿宋_GB2312"/>
          <w:sz w:val="32"/>
          <w:szCs w:val="32"/>
          <w:lang w:eastAsia="zh-CN"/>
        </w:rPr>
        <w:t>单位</w:t>
      </w:r>
      <w:r>
        <w:rPr>
          <w:rFonts w:ascii="仿宋_GB2312" w:eastAsia="仿宋_GB2312"/>
          <w:sz w:val="32"/>
          <w:szCs w:val="32"/>
          <w:lang w:eastAsia="zh-CN"/>
        </w:rPr>
        <w:t>本年</w:t>
      </w:r>
      <w:r>
        <w:rPr>
          <w:rFonts w:hint="eastAsia" w:ascii="仿宋_GB2312" w:eastAsia="仿宋_GB2312"/>
          <w:sz w:val="32"/>
          <w:szCs w:val="32"/>
          <w:lang w:eastAsia="zh-CN"/>
        </w:rPr>
        <w:t>为民办实事专项项目经费增加</w:t>
      </w:r>
      <w:r>
        <w:rPr>
          <w:rFonts w:ascii="仿宋_GB2312" w:eastAsia="仿宋_GB2312"/>
          <w:sz w:val="32"/>
          <w:szCs w:val="32"/>
          <w:lang w:eastAsia="zh-CN"/>
        </w:rPr>
        <w:t>。</w:t>
      </w:r>
    </w:p>
    <w:p w14:paraId="3773DD6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7300F07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408.30万元，其中：人员经费392.25万元，包括：基本工资、津贴补贴、奖金、绩效工资、机关事业单位基本养老保险缴费、职业年金缴费、职工基本医疗保险缴费、公务员医疗补助缴费、其他社会保障缴费、住房公积金和退休费。</w:t>
      </w:r>
    </w:p>
    <w:p w14:paraId="0616B6D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公用经费16.04万元，包括：办公费、印刷费、邮电费、差旅费、工会经费、公务用车运行维护费和其他交通费用。</w:t>
      </w:r>
    </w:p>
    <w:p w14:paraId="307212D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234920F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2024年度政府性基金预算财政拨款收入总计60.00万元，其中：年初结转和结余0.00万元，本年收入60.00万元。政府性基金预算财政拨款支出总计60.00万元，其中：年末结转和结余0.00万元，本年支出60.00万元。</w:t>
      </w:r>
    </w:p>
    <w:p w14:paraId="478358C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政府性基金预算财政拨款收入支出总体与上年相比，增加60.00万元，增长100%，主要原因是：本年</w:t>
      </w:r>
      <w:r>
        <w:rPr>
          <w:rFonts w:hint="eastAsia" w:ascii="仿宋_GB2312" w:eastAsia="仿宋_GB2312"/>
          <w:sz w:val="32"/>
          <w:szCs w:val="32"/>
          <w:lang w:eastAsia="zh-CN"/>
        </w:rPr>
        <w:t>老奇台镇等四个乡镇地下水综合治理费、地下水资源管理和机电井执法巡查项目资金增加</w:t>
      </w:r>
      <w:r>
        <w:rPr>
          <w:rFonts w:ascii="仿宋_GB2312" w:eastAsia="仿宋_GB2312"/>
          <w:sz w:val="32"/>
          <w:szCs w:val="32"/>
          <w:lang w:eastAsia="zh-CN"/>
        </w:rPr>
        <w:t>。与年初预算相比，年初预算数0.00万元，决算数60.00万元，预决算差异率100%，主要原因是：</w:t>
      </w:r>
      <w:r>
        <w:rPr>
          <w:rFonts w:hint="eastAsia" w:ascii="仿宋_GB2312" w:eastAsia="仿宋_GB2312"/>
          <w:sz w:val="32"/>
          <w:szCs w:val="32"/>
          <w:lang w:eastAsia="zh-CN"/>
        </w:rPr>
        <w:t>年中追加老奇台镇等四个乡镇地下水综合治理费、地下水资源管理和机电井执法巡查项目资金</w:t>
      </w:r>
      <w:r>
        <w:rPr>
          <w:rFonts w:ascii="仿宋_GB2312" w:eastAsia="仿宋_GB2312"/>
          <w:sz w:val="32"/>
          <w:szCs w:val="32"/>
          <w:lang w:eastAsia="zh-CN"/>
        </w:rPr>
        <w:t>。</w:t>
      </w:r>
    </w:p>
    <w:p w14:paraId="14F2E14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政府性基金预算财政拨款支出60.00万元。</w:t>
      </w:r>
    </w:p>
    <w:p w14:paraId="44BA3A9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1、城乡社区支出（类）国有土地使用权出让收入安排的支出（款）农业生产发展支出（项）：支出决算数为60.00万元，比上年决算增加60.00万元，增长100.00%，主要原因是：本年</w:t>
      </w:r>
      <w:r>
        <w:rPr>
          <w:rFonts w:hint="eastAsia" w:ascii="仿宋_GB2312" w:eastAsia="仿宋_GB2312"/>
          <w:sz w:val="32"/>
          <w:szCs w:val="32"/>
          <w:lang w:eastAsia="zh-CN"/>
        </w:rPr>
        <w:t>老奇台镇等四个乡镇地下水综合治理费、地下水资源管理和机电井执法巡查项目资金增加。</w:t>
      </w:r>
    </w:p>
    <w:p w14:paraId="376670B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70002A9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16E256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099E2F7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2024年度财政拨款“三公”经费支出3.40万元，与上年相比无变化，主要原因是：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；公务用车购置及运行维护费支出3.40万元，占100.00%，与上年相比无变化，主要原因是：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bookmarkStart w:id="0" w:name="_Hlk207114081"/>
      <w:bookmarkStart w:id="1" w:name="_Hlk207720892"/>
      <w:r>
        <w:rPr>
          <w:rFonts w:hint="eastAsia" w:ascii="仿宋_GB2312" w:eastAsia="仿宋_GB2312"/>
          <w:sz w:val="32"/>
          <w:szCs w:val="32"/>
          <w:lang w:eastAsia="zh-CN"/>
        </w:rPr>
        <w:t>我单位上年度与本年度均无</w:t>
      </w:r>
      <w:bookmarkEnd w:id="0"/>
      <w:r>
        <w:rPr>
          <w:rFonts w:hint="eastAsia" w:ascii="仿宋_GB2312" w:eastAsia="仿宋_GB2312"/>
          <w:sz w:val="32"/>
          <w:szCs w:val="32"/>
          <w:lang w:eastAsia="zh-CN"/>
        </w:rPr>
        <w:t>此项经费</w:t>
      </w:r>
      <w:bookmarkEnd w:id="1"/>
      <w:r>
        <w:rPr>
          <w:rFonts w:ascii="仿宋_GB2312" w:eastAsia="仿宋_GB2312"/>
          <w:sz w:val="32"/>
          <w:szCs w:val="32"/>
          <w:lang w:eastAsia="zh-CN"/>
        </w:rPr>
        <w:t>。</w:t>
      </w:r>
    </w:p>
    <w:p w14:paraId="148EFD6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4C9B71B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2" w:name="_Hlk207127465"/>
      <w:r>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02656C0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公务用车购置及运行维护费3.40万元，其中：公务用车购置费0.00万元，公务用车运行维护费3.40万元。公务用车运行维护费开支内容包括</w:t>
      </w:r>
      <w:bookmarkStart w:id="3" w:name="_Hlk207110208"/>
      <w:r>
        <w:rPr>
          <w:rFonts w:hint="eastAsia" w:ascii="仿宋_GB2312" w:eastAsia="仿宋_GB2312"/>
          <w:sz w:val="32"/>
          <w:szCs w:val="32"/>
          <w:lang w:eastAsia="zh-CN"/>
        </w:rPr>
        <w:t>公务用车燃油费、车辆维修维护费、保险费、过路费等</w:t>
      </w:r>
      <w:bookmarkEnd w:id="3"/>
      <w:r>
        <w:rPr>
          <w:rFonts w:ascii="仿宋_GB2312" w:eastAsia="仿宋_GB2312"/>
          <w:sz w:val="32"/>
          <w:szCs w:val="32"/>
          <w:lang w:eastAsia="zh-CN"/>
        </w:rPr>
        <w:t>。公务用车购置数0辆，公务用车保有量1辆。国有资产占用情况中固定资产车辆5辆，与公务用车保有量差异原因是：</w:t>
      </w:r>
      <w:bookmarkStart w:id="4" w:name="_Hlk207720983"/>
      <w:r>
        <w:rPr>
          <w:rFonts w:hint="eastAsia" w:ascii="仿宋_GB2312" w:eastAsia="仿宋_GB2312"/>
          <w:sz w:val="32"/>
          <w:szCs w:val="32"/>
          <w:lang w:eastAsia="zh-CN"/>
        </w:rPr>
        <w:t>差异车辆为一般业务用车4辆，车辆费用未使用财政拨款公务用车运行维护费支付</w:t>
      </w:r>
      <w:bookmarkEnd w:id="4"/>
      <w:r>
        <w:rPr>
          <w:rFonts w:ascii="仿宋_GB2312" w:eastAsia="仿宋_GB2312"/>
          <w:sz w:val="32"/>
          <w:szCs w:val="32"/>
          <w:lang w:eastAsia="zh-CN"/>
        </w:rPr>
        <w:t>。</w:t>
      </w:r>
    </w:p>
    <w:p w14:paraId="07EDB1B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5" w:name="_Hlk207128367"/>
      <w:r>
        <w:rPr>
          <w:rFonts w:ascii="仿宋_GB2312" w:eastAsia="仿宋_GB2312"/>
          <w:sz w:val="32"/>
          <w:szCs w:val="32"/>
          <w:lang w:eastAsia="zh-CN"/>
        </w:rPr>
        <w:t>本单位本年度无公务接待费</w:t>
      </w:r>
      <w:bookmarkEnd w:id="5"/>
      <w:r>
        <w:rPr>
          <w:rFonts w:ascii="仿宋_GB2312" w:eastAsia="仿宋_GB2312"/>
          <w:sz w:val="32"/>
          <w:szCs w:val="32"/>
          <w:lang w:eastAsia="zh-CN"/>
        </w:rPr>
        <w:t>。单位全年安排的国内公务接待0批次，0人次。</w:t>
      </w:r>
    </w:p>
    <w:p w14:paraId="44C69DC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与全年预算相比，财政拨款“三公”经费支出全年预算数3.40万元，决算数3.40万元，预决算差异率0.00%，主要原因是：</w:t>
      </w:r>
      <w:bookmarkStart w:id="6" w:name="_Hlk207110149"/>
      <w:r>
        <w:rPr>
          <w:rFonts w:hint="eastAsia" w:ascii="仿宋_GB2312" w:eastAsia="仿宋_GB2312"/>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；公务用车运行维护费全年预算数3.40万元，决算数3.40万元，预决算差异率0.00%，主要原因是：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129FE14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A9162D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6899E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2024年度奇台县水政监察大队单位（行政单位和参照公务员法管理事业单位）机关运行经费支出16.04万元，比上年增加7.77万元，增长93.95%，主要原因是：</w:t>
      </w:r>
      <w:r>
        <w:rPr>
          <w:rFonts w:hint="eastAsia" w:ascii="仿宋_GB2312" w:eastAsia="仿宋_GB2312"/>
          <w:sz w:val="32"/>
          <w:szCs w:val="32"/>
          <w:lang w:eastAsia="zh-CN"/>
        </w:rPr>
        <w:t>单位</w:t>
      </w:r>
      <w:r>
        <w:rPr>
          <w:rFonts w:ascii="仿宋_GB2312" w:eastAsia="仿宋_GB2312"/>
          <w:sz w:val="32"/>
          <w:szCs w:val="32"/>
          <w:lang w:eastAsia="zh-CN"/>
        </w:rPr>
        <w:t>本年办公费、邮电费、差旅费、其他交通费用</w:t>
      </w:r>
      <w:r>
        <w:rPr>
          <w:rFonts w:hint="eastAsia" w:ascii="仿宋_GB2312" w:eastAsia="仿宋_GB2312"/>
          <w:sz w:val="32"/>
          <w:szCs w:val="32"/>
          <w:lang w:eastAsia="zh-CN"/>
        </w:rPr>
        <w:t>增加</w:t>
      </w:r>
      <w:r>
        <w:rPr>
          <w:rFonts w:ascii="仿宋_GB2312" w:eastAsia="仿宋_GB2312"/>
          <w:sz w:val="32"/>
          <w:szCs w:val="32"/>
          <w:lang w:eastAsia="zh-CN"/>
        </w:rPr>
        <w:t>。</w:t>
      </w:r>
    </w:p>
    <w:p w14:paraId="78A4EAF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69D6A8C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2024年度政府采购支出总额7.53万元，其中：政府采购货物支出1.60万元、政府采购工程支出0.00万元、政府采购服务支出5.93万元。</w:t>
      </w:r>
    </w:p>
    <w:p w14:paraId="6B16743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授予中小企业合同金额7.53万元，占政府采购支出总额的100.00%，其中：授予小微企业合同金额5.87万元，占政府采购支出总额的77.95%。</w:t>
      </w:r>
    </w:p>
    <w:p w14:paraId="5776826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7876A56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截至2024年12月31日，房屋815.00平方米，价值16.76万元。</w:t>
      </w:r>
      <w:r>
        <w:rPr>
          <w:rFonts w:ascii="仿宋_GB2312" w:eastAsia="仿宋_GB2312"/>
          <w:sz w:val="32"/>
          <w:szCs w:val="32"/>
          <w:lang w:eastAsia="zh-CN"/>
        </w:rPr>
        <w:t>车辆5辆，价值72.56万元，其中：副部（省）级及以上领导用车0辆、主要负责人用车0辆、机要通信用车0辆、应急保障用车0辆、执法执勤用车4辆、特种专业技术用车0辆、离退休干部服务用车0辆、其他用车1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;单价100万元（含）以上设备（不含车辆）3台（套）。</w:t>
      </w:r>
    </w:p>
    <w:p w14:paraId="7AB357E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CD25FB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997.72</w:t>
      </w:r>
      <w:r>
        <w:rPr>
          <w:rFonts w:ascii="仿宋_GB2312" w:eastAsia="仿宋_GB2312"/>
          <w:sz w:val="32"/>
          <w:szCs w:val="32"/>
          <w:lang w:eastAsia="zh-CN"/>
        </w:rPr>
        <w:t>万元，实际执行总额</w:t>
      </w:r>
      <w:r>
        <w:rPr>
          <w:rFonts w:hint="eastAsia" w:ascii="仿宋_GB2312" w:eastAsia="仿宋_GB2312"/>
          <w:sz w:val="32"/>
          <w:szCs w:val="32"/>
          <w:lang w:eastAsia="zh-CN"/>
        </w:rPr>
        <w:t>997.42</w:t>
      </w:r>
      <w:r>
        <w:rPr>
          <w:rFonts w:ascii="仿宋_GB2312" w:eastAsia="仿宋_GB2312"/>
          <w:sz w:val="32"/>
          <w:szCs w:val="32"/>
          <w:lang w:eastAsia="zh-CN"/>
        </w:rPr>
        <w:t>万元；预算绩效评价项目</w:t>
      </w:r>
      <w:r>
        <w:rPr>
          <w:rFonts w:hint="eastAsia" w:ascii="仿宋_GB2312" w:eastAsia="仿宋_GB2312"/>
          <w:sz w:val="32"/>
          <w:szCs w:val="32"/>
          <w:lang w:eastAsia="zh-CN"/>
        </w:rPr>
        <w:t>5</w:t>
      </w:r>
      <w:r>
        <w:rPr>
          <w:rFonts w:ascii="仿宋_GB2312" w:eastAsia="仿宋_GB2312"/>
          <w:sz w:val="32"/>
          <w:szCs w:val="32"/>
          <w:lang w:eastAsia="zh-CN"/>
        </w:rPr>
        <w:t>个，全年预算数5</w:t>
      </w:r>
      <w:r>
        <w:rPr>
          <w:rFonts w:hint="eastAsia" w:ascii="仿宋_GB2312" w:eastAsia="仿宋_GB2312"/>
          <w:sz w:val="32"/>
          <w:szCs w:val="32"/>
          <w:lang w:eastAsia="zh-CN"/>
        </w:rPr>
        <w:t>84.12</w:t>
      </w:r>
      <w:r>
        <w:rPr>
          <w:rFonts w:ascii="仿宋_GB2312" w:eastAsia="仿宋_GB2312"/>
          <w:sz w:val="32"/>
          <w:szCs w:val="32"/>
          <w:lang w:eastAsia="zh-CN"/>
        </w:rPr>
        <w:t>万元，全年执行数5</w:t>
      </w:r>
      <w:r>
        <w:rPr>
          <w:rFonts w:hint="eastAsia" w:ascii="仿宋_GB2312" w:eastAsia="仿宋_GB2312"/>
          <w:sz w:val="32"/>
          <w:szCs w:val="32"/>
          <w:lang w:eastAsia="zh-CN"/>
        </w:rPr>
        <w:t>84.12</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w:t>
      </w:r>
      <w:r>
        <w:rPr>
          <w:rFonts w:ascii="仿宋_GB2312" w:eastAsia="仿宋_GB2312"/>
          <w:sz w:val="32"/>
          <w:szCs w:val="32"/>
          <w:lang w:eastAsia="zh-CN"/>
        </w:rPr>
        <w:t>优化资金配置，提高了有限资金的使用效率。通过实施预算绩效管理，本单位对年内资金的需求进行精准评估。在制定年度预算时，依据单位各类事项的重要性、紧迫性以及预期效益，合理分配资金。避免资金分散于低效或非关键项目，使得有限的资金能够集中用于刀刃上，显著提升了单位预算资金的整体利用效率</w:t>
      </w:r>
      <w:r>
        <w:rPr>
          <w:rFonts w:hint="eastAsia" w:ascii="仿宋_GB2312" w:eastAsia="仿宋_GB2312"/>
          <w:sz w:val="32"/>
          <w:szCs w:val="32"/>
          <w:lang w:eastAsia="zh-CN"/>
        </w:rPr>
        <w:t>；二是</w:t>
      </w:r>
      <w:r>
        <w:rPr>
          <w:rFonts w:ascii="仿宋_GB2312" w:eastAsia="仿宋_GB2312"/>
          <w:sz w:val="32"/>
          <w:szCs w:val="32"/>
          <w:lang w:eastAsia="zh-CN"/>
        </w:rPr>
        <w:t>激发职工责任意识，推动工作提质增效。年初预算绩效目标将单位的整体任务分解为各科室、各岗位，将项目绩效目标分解到项目执行的全过程，让单位每位职工都明确了自身工作与预算目标的关联。不仅在日常工作中更注重流程规范与细节把控，还会主动对接上下游环节协同推进工作任务落实。有效提升了预算目标的达成质量，同时形成了“人人讲绩效、事事重绩效”的工作氛围。发现的问题及原因：</w:t>
      </w:r>
      <w:r>
        <w:rPr>
          <w:rFonts w:hint="eastAsia" w:ascii="仿宋_GB2312" w:eastAsia="仿宋_GB2312"/>
          <w:sz w:val="32"/>
          <w:szCs w:val="32"/>
          <w:lang w:eastAsia="zh-CN"/>
        </w:rPr>
        <w:t>一是</w:t>
      </w:r>
      <w:r>
        <w:rPr>
          <w:rFonts w:ascii="仿宋_GB2312" w:eastAsia="仿宋_GB2312"/>
          <w:sz w:val="32"/>
          <w:szCs w:val="32"/>
          <w:lang w:eastAsia="zh-CN"/>
        </w:rPr>
        <w:t>单位预算绩效责任主体意识不强</w:t>
      </w:r>
      <w:r>
        <w:rPr>
          <w:rFonts w:hint="eastAsia" w:ascii="仿宋_GB2312" w:eastAsia="仿宋_GB2312"/>
          <w:sz w:val="32"/>
          <w:szCs w:val="32"/>
          <w:lang w:eastAsia="zh-CN"/>
        </w:rPr>
        <w:t>，</w:t>
      </w:r>
      <w:r>
        <w:rPr>
          <w:rFonts w:ascii="仿宋_GB2312" w:eastAsia="仿宋_GB2312"/>
          <w:sz w:val="32"/>
          <w:szCs w:val="32"/>
          <w:lang w:eastAsia="zh-CN"/>
        </w:rPr>
        <w:t>预算绩效管理强调“谁支出、谁负责”的责任约束，业务部门应该是预算基础数据编制和使用主体，理应对各项业务的预算绩效负有直接责任</w:t>
      </w:r>
      <w:r>
        <w:rPr>
          <w:rFonts w:hint="eastAsia" w:ascii="仿宋_GB2312" w:eastAsia="仿宋_GB2312"/>
          <w:sz w:val="32"/>
          <w:szCs w:val="32"/>
          <w:lang w:eastAsia="zh-CN"/>
        </w:rPr>
        <w:t>；二是</w:t>
      </w:r>
      <w:r>
        <w:rPr>
          <w:rFonts w:ascii="仿宋_GB2312" w:eastAsia="仿宋_GB2312"/>
          <w:sz w:val="32"/>
          <w:szCs w:val="32"/>
          <w:lang w:eastAsia="zh-CN"/>
        </w:rPr>
        <w:t>预算绩效体系建设不够完善，未能实现绩效目标引领和绩效结果应用两大支撑作用</w:t>
      </w:r>
      <w:r>
        <w:rPr>
          <w:rFonts w:hint="eastAsia" w:ascii="仿宋_GB2312" w:eastAsia="仿宋_GB2312"/>
          <w:sz w:val="32"/>
          <w:szCs w:val="32"/>
          <w:lang w:eastAsia="zh-CN"/>
        </w:rPr>
        <w:t>。</w:t>
      </w:r>
      <w:r>
        <w:rPr>
          <w:rFonts w:ascii="仿宋_GB2312" w:eastAsia="仿宋_GB2312"/>
          <w:sz w:val="32"/>
          <w:szCs w:val="32"/>
          <w:lang w:eastAsia="zh-CN"/>
        </w:rPr>
        <w:t>预算绩效目标编制还不够合理，未能将绩效目标贯穿预算编制、执行监控、结果评价全过程，预算绩效目标是预算绩效管理的灵魂。编制清晰、分解细致的绩效目标，是监控、考评该预算项目的核心，也是反映项目建设全貌的基础。下一步改进措施：</w:t>
      </w:r>
      <w:r>
        <w:rPr>
          <w:rFonts w:hint="eastAsia" w:ascii="仿宋_GB2312" w:eastAsia="仿宋_GB2312"/>
          <w:sz w:val="32"/>
          <w:szCs w:val="32"/>
          <w:lang w:eastAsia="zh-CN"/>
        </w:rPr>
        <w:t>一是</w:t>
      </w:r>
      <w:r>
        <w:rPr>
          <w:rFonts w:ascii="仿宋_GB2312" w:eastAsia="仿宋_GB2312"/>
          <w:sz w:val="32"/>
          <w:szCs w:val="32"/>
          <w:lang w:eastAsia="zh-CN"/>
        </w:rPr>
        <w:t>以培训和宣传为抓手，正确认识预算绩效管理理念</w:t>
      </w:r>
      <w:r>
        <w:rPr>
          <w:rFonts w:hint="eastAsia" w:ascii="仿宋_GB2312" w:eastAsia="仿宋_GB2312"/>
          <w:sz w:val="32"/>
          <w:szCs w:val="32"/>
          <w:lang w:eastAsia="zh-CN"/>
        </w:rPr>
        <w:t>，</w:t>
      </w:r>
      <w:r>
        <w:rPr>
          <w:rFonts w:ascii="仿宋_GB2312" w:eastAsia="仿宋_GB2312"/>
          <w:sz w:val="32"/>
          <w:szCs w:val="32"/>
          <w:lang w:eastAsia="zh-CN"/>
        </w:rPr>
        <w:t>通过加强培训和宣传的方式加大对预算绩效管理原则的熟知程度，让单位从上至下全面了解预算绩效的重要性，使管理层明白预算绩效工作的要点和意义</w:t>
      </w:r>
      <w:r>
        <w:rPr>
          <w:rFonts w:hint="eastAsia" w:ascii="仿宋_GB2312" w:eastAsia="仿宋_GB2312"/>
          <w:sz w:val="32"/>
          <w:szCs w:val="32"/>
          <w:lang w:eastAsia="zh-CN"/>
        </w:rPr>
        <w:t>；二是</w:t>
      </w:r>
      <w:r>
        <w:rPr>
          <w:rFonts w:ascii="仿宋_GB2312" w:eastAsia="仿宋_GB2312"/>
          <w:sz w:val="32"/>
          <w:szCs w:val="32"/>
          <w:lang w:eastAsia="zh-CN"/>
        </w:rPr>
        <w:t>精准解读文件政策精神，提升单位预算绩效管理水平。首先要精准解读各类绩效文件和政策精神，根据上级文件政策要求，修订和完善本单位预算管理办法和相应实施细则。然后在原有预算管理办法的基础上新增预算绩效管理要求，建设较为完善的预算绩效目标编制、预算绩效中期监控和预算绩效自评等流程制度，做到预算绩效管理有据可依，流程规范，强化责任约束。最后在实施细则上，可结合本单位实际情况对部分业务操作流程进行优化，以提高预算绩效管理效率。具体附部门整体支出绩效自评表，项目支出绩效自评表和部门评价报告。</w:t>
      </w:r>
      <w:bookmarkStart w:id="7" w:name="_Hlk201836110"/>
    </w:p>
    <w:p w14:paraId="3DADD042">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501B4E5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6BF3D0E8">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2993BB1">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B93D836">
            <w:pPr>
              <w:jc w:val="center"/>
              <w:rPr>
                <w:rFonts w:hint="eastAsia" w:ascii="宋体" w:hAnsi="宋体" w:eastAsia="宋体" w:cs="宋体"/>
                <w:b/>
                <w:bCs/>
                <w:sz w:val="18"/>
                <w:szCs w:val="18"/>
              </w:rPr>
            </w:pPr>
            <w:r>
              <w:rPr>
                <w:rFonts w:hint="eastAsia" w:ascii="宋体" w:hAnsi="宋体" w:eastAsia="宋体" w:cs="宋体"/>
                <w:b/>
                <w:bCs/>
                <w:sz w:val="18"/>
                <w:szCs w:val="18"/>
              </w:rPr>
              <w:t>奇台县水政监察大队</w:t>
            </w:r>
          </w:p>
        </w:tc>
      </w:tr>
      <w:tr w14:paraId="5A00958B">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3A24FD8">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4DDB2D1">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4821A8E2">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4E58BF57">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3DB15342">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56D3DEF8">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91DC1B0">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259C3E80">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22327BEF">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375E3DD">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3CB3847B">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4DEE2B70">
            <w:pPr>
              <w:jc w:val="center"/>
              <w:rPr>
                <w:rFonts w:hint="eastAsia" w:ascii="宋体" w:hAnsi="宋体" w:eastAsia="宋体" w:cs="宋体"/>
                <w:sz w:val="18"/>
                <w:szCs w:val="18"/>
              </w:rPr>
            </w:pPr>
            <w:r>
              <w:rPr>
                <w:rFonts w:hint="eastAsia" w:ascii="宋体" w:hAnsi="宋体" w:eastAsia="宋体" w:cs="宋体"/>
                <w:sz w:val="18"/>
                <w:szCs w:val="18"/>
              </w:rPr>
              <w:t>150.00</w:t>
            </w:r>
          </w:p>
        </w:tc>
        <w:tc>
          <w:tcPr>
            <w:tcW w:w="1242" w:type="dxa"/>
            <w:tcBorders>
              <w:top w:val="nil"/>
              <w:left w:val="nil"/>
              <w:bottom w:val="single" w:color="auto" w:sz="4" w:space="0"/>
              <w:right w:val="single" w:color="auto" w:sz="4" w:space="0"/>
            </w:tcBorders>
            <w:vAlign w:val="center"/>
          </w:tcPr>
          <w:p w14:paraId="45054FD6">
            <w:pPr>
              <w:jc w:val="center"/>
              <w:rPr>
                <w:rFonts w:hint="eastAsia" w:ascii="宋体" w:hAnsi="宋体" w:eastAsia="宋体" w:cs="宋体"/>
                <w:sz w:val="18"/>
                <w:szCs w:val="18"/>
              </w:rPr>
            </w:pPr>
            <w:r>
              <w:rPr>
                <w:rFonts w:hint="eastAsia" w:ascii="宋体" w:hAnsi="宋体" w:eastAsia="宋体" w:cs="宋体"/>
                <w:sz w:val="18"/>
                <w:szCs w:val="18"/>
              </w:rPr>
              <w:t>209.12</w:t>
            </w:r>
          </w:p>
        </w:tc>
        <w:tc>
          <w:tcPr>
            <w:tcW w:w="1417" w:type="dxa"/>
            <w:tcBorders>
              <w:top w:val="nil"/>
              <w:left w:val="nil"/>
              <w:bottom w:val="single" w:color="auto" w:sz="4" w:space="0"/>
              <w:right w:val="single" w:color="auto" w:sz="4" w:space="0"/>
            </w:tcBorders>
            <w:vAlign w:val="center"/>
          </w:tcPr>
          <w:p w14:paraId="77D4B103">
            <w:pPr>
              <w:jc w:val="center"/>
              <w:rPr>
                <w:rFonts w:hint="eastAsia" w:ascii="宋体" w:hAnsi="宋体" w:eastAsia="宋体" w:cs="宋体"/>
                <w:sz w:val="18"/>
                <w:szCs w:val="18"/>
              </w:rPr>
            </w:pPr>
            <w:r>
              <w:rPr>
                <w:rFonts w:hint="eastAsia" w:ascii="宋体" w:hAnsi="宋体" w:eastAsia="宋体" w:cs="宋体"/>
                <w:sz w:val="18"/>
                <w:szCs w:val="18"/>
              </w:rPr>
              <w:t>209.12</w:t>
            </w:r>
          </w:p>
        </w:tc>
        <w:tc>
          <w:tcPr>
            <w:tcW w:w="1134" w:type="dxa"/>
            <w:tcBorders>
              <w:top w:val="nil"/>
              <w:left w:val="nil"/>
              <w:bottom w:val="single" w:color="auto" w:sz="4" w:space="0"/>
              <w:right w:val="single" w:color="auto" w:sz="4" w:space="0"/>
            </w:tcBorders>
            <w:vAlign w:val="center"/>
          </w:tcPr>
          <w:p w14:paraId="3597ABF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16ADD1F8">
            <w:pPr>
              <w:jc w:val="center"/>
              <w:rPr>
                <w:rFonts w:hint="eastAsia" w:ascii="宋体" w:hAnsi="宋体" w:eastAsia="宋体" w:cs="宋体"/>
                <w:sz w:val="18"/>
                <w:szCs w:val="18"/>
              </w:rPr>
            </w:pPr>
            <w:r>
              <w:rPr>
                <w:rFonts w:hint="eastAsia" w:ascii="宋体" w:hAnsi="宋体" w:eastAsia="宋体" w:cs="宋体"/>
                <w:sz w:val="18"/>
                <w:szCs w:val="18"/>
              </w:rPr>
              <w:t>99.97%</w:t>
            </w:r>
          </w:p>
        </w:tc>
        <w:tc>
          <w:tcPr>
            <w:tcW w:w="720" w:type="dxa"/>
            <w:tcBorders>
              <w:top w:val="nil"/>
              <w:left w:val="nil"/>
              <w:bottom w:val="single" w:color="auto" w:sz="4" w:space="0"/>
              <w:right w:val="single" w:color="auto" w:sz="4" w:space="0"/>
            </w:tcBorders>
            <w:vAlign w:val="center"/>
          </w:tcPr>
          <w:p w14:paraId="255CCE65">
            <w:pPr>
              <w:jc w:val="center"/>
              <w:rPr>
                <w:rFonts w:hint="eastAsia" w:ascii="宋体" w:hAnsi="宋体" w:eastAsia="宋体" w:cs="宋体"/>
                <w:sz w:val="18"/>
                <w:szCs w:val="18"/>
              </w:rPr>
            </w:pPr>
            <w:r>
              <w:rPr>
                <w:rFonts w:hint="eastAsia" w:ascii="宋体" w:hAnsi="宋体" w:eastAsia="宋体" w:cs="宋体"/>
                <w:sz w:val="18"/>
                <w:szCs w:val="18"/>
              </w:rPr>
              <w:t>10</w:t>
            </w:r>
          </w:p>
        </w:tc>
      </w:tr>
      <w:tr w14:paraId="4CBCF8D0">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5C93AC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3E155B7">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46A20A66">
            <w:pPr>
              <w:jc w:val="center"/>
              <w:rPr>
                <w:rFonts w:hint="eastAsia" w:ascii="宋体" w:hAnsi="宋体" w:eastAsia="宋体" w:cs="宋体"/>
                <w:sz w:val="18"/>
                <w:szCs w:val="18"/>
              </w:rPr>
            </w:pPr>
            <w:r>
              <w:rPr>
                <w:rFonts w:hint="eastAsia" w:ascii="宋体" w:hAnsi="宋体" w:eastAsia="宋体" w:cs="宋体"/>
                <w:sz w:val="18"/>
                <w:szCs w:val="18"/>
              </w:rPr>
              <w:t>392.00</w:t>
            </w:r>
          </w:p>
        </w:tc>
        <w:tc>
          <w:tcPr>
            <w:tcW w:w="1242" w:type="dxa"/>
            <w:tcBorders>
              <w:top w:val="nil"/>
              <w:left w:val="nil"/>
              <w:bottom w:val="single" w:color="auto" w:sz="4" w:space="0"/>
              <w:right w:val="single" w:color="auto" w:sz="4" w:space="0"/>
            </w:tcBorders>
            <w:vAlign w:val="center"/>
          </w:tcPr>
          <w:p w14:paraId="5175B861">
            <w:pPr>
              <w:jc w:val="center"/>
              <w:rPr>
                <w:rFonts w:hint="eastAsia" w:ascii="宋体" w:hAnsi="宋体" w:eastAsia="宋体" w:cs="宋体"/>
                <w:sz w:val="18"/>
                <w:szCs w:val="18"/>
              </w:rPr>
            </w:pPr>
            <w:r>
              <w:rPr>
                <w:rFonts w:hint="eastAsia" w:ascii="宋体" w:hAnsi="宋体" w:eastAsia="宋体" w:cs="宋体"/>
                <w:sz w:val="18"/>
                <w:szCs w:val="18"/>
              </w:rPr>
              <w:t>785.60</w:t>
            </w:r>
          </w:p>
        </w:tc>
        <w:tc>
          <w:tcPr>
            <w:tcW w:w="1417" w:type="dxa"/>
            <w:tcBorders>
              <w:top w:val="nil"/>
              <w:left w:val="nil"/>
              <w:bottom w:val="single" w:color="auto" w:sz="4" w:space="0"/>
              <w:right w:val="single" w:color="auto" w:sz="4" w:space="0"/>
            </w:tcBorders>
            <w:vAlign w:val="center"/>
          </w:tcPr>
          <w:p w14:paraId="2C2F4C76">
            <w:pPr>
              <w:jc w:val="center"/>
              <w:rPr>
                <w:rFonts w:hint="eastAsia" w:ascii="宋体" w:hAnsi="宋体" w:eastAsia="宋体" w:cs="宋体"/>
                <w:sz w:val="18"/>
                <w:szCs w:val="18"/>
              </w:rPr>
            </w:pPr>
            <w:r>
              <w:rPr>
                <w:rFonts w:hint="eastAsia" w:ascii="宋体" w:hAnsi="宋体" w:eastAsia="宋体" w:cs="宋体"/>
                <w:sz w:val="18"/>
                <w:szCs w:val="18"/>
              </w:rPr>
              <w:t>785.30</w:t>
            </w:r>
          </w:p>
        </w:tc>
        <w:tc>
          <w:tcPr>
            <w:tcW w:w="1134" w:type="dxa"/>
            <w:tcBorders>
              <w:top w:val="nil"/>
              <w:left w:val="nil"/>
              <w:bottom w:val="single" w:color="auto" w:sz="4" w:space="0"/>
              <w:right w:val="single" w:color="auto" w:sz="4" w:space="0"/>
            </w:tcBorders>
            <w:vAlign w:val="center"/>
          </w:tcPr>
          <w:p w14:paraId="2D9521EF">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4D43AA36">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7E5B209">
            <w:pPr>
              <w:jc w:val="center"/>
              <w:rPr>
                <w:rFonts w:hint="eastAsia" w:ascii="宋体" w:hAnsi="宋体" w:eastAsia="宋体" w:cs="宋体"/>
                <w:sz w:val="18"/>
                <w:szCs w:val="18"/>
              </w:rPr>
            </w:pPr>
            <w:r>
              <w:rPr>
                <w:rFonts w:hint="eastAsia" w:ascii="宋体" w:hAnsi="宋体" w:eastAsia="宋体"/>
                <w:sz w:val="18"/>
                <w:szCs w:val="18"/>
              </w:rPr>
              <w:t>-</w:t>
            </w:r>
          </w:p>
        </w:tc>
      </w:tr>
      <w:tr w14:paraId="50C3B076">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8A2310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13FFF35">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1F2E8566">
            <w:pPr>
              <w:jc w:val="center"/>
              <w:rPr>
                <w:rFonts w:hint="eastAsia" w:ascii="宋体" w:hAnsi="宋体" w:eastAsia="宋体" w:cs="宋体"/>
                <w:sz w:val="18"/>
                <w:szCs w:val="18"/>
              </w:rPr>
            </w:pPr>
            <w:r>
              <w:rPr>
                <w:rFonts w:hint="eastAsia" w:ascii="宋体" w:hAnsi="宋体" w:eastAsia="宋体" w:cs="宋体"/>
                <w:sz w:val="18"/>
                <w:szCs w:val="18"/>
              </w:rPr>
              <w:t>3.00</w:t>
            </w:r>
          </w:p>
        </w:tc>
        <w:tc>
          <w:tcPr>
            <w:tcW w:w="1242" w:type="dxa"/>
            <w:tcBorders>
              <w:top w:val="nil"/>
              <w:left w:val="nil"/>
              <w:bottom w:val="single" w:color="auto" w:sz="4" w:space="0"/>
              <w:right w:val="single" w:color="auto" w:sz="4" w:space="0"/>
            </w:tcBorders>
            <w:vAlign w:val="center"/>
          </w:tcPr>
          <w:p w14:paraId="56C0582B">
            <w:pPr>
              <w:jc w:val="center"/>
              <w:rPr>
                <w:rFonts w:hint="eastAsia" w:ascii="宋体" w:hAnsi="宋体" w:eastAsia="宋体" w:cs="宋体"/>
                <w:sz w:val="18"/>
                <w:szCs w:val="18"/>
              </w:rPr>
            </w:pPr>
            <w:r>
              <w:rPr>
                <w:rFonts w:hint="eastAsia" w:ascii="宋体" w:hAnsi="宋体" w:eastAsia="宋体" w:cs="宋体"/>
                <w:sz w:val="18"/>
                <w:szCs w:val="18"/>
              </w:rPr>
              <w:t>3.00</w:t>
            </w:r>
          </w:p>
        </w:tc>
        <w:tc>
          <w:tcPr>
            <w:tcW w:w="1417" w:type="dxa"/>
            <w:tcBorders>
              <w:top w:val="nil"/>
              <w:left w:val="nil"/>
              <w:bottom w:val="single" w:color="auto" w:sz="4" w:space="0"/>
              <w:right w:val="single" w:color="auto" w:sz="4" w:space="0"/>
            </w:tcBorders>
            <w:vAlign w:val="center"/>
          </w:tcPr>
          <w:p w14:paraId="2C0359B7">
            <w:pPr>
              <w:jc w:val="center"/>
              <w:rPr>
                <w:rFonts w:hint="eastAsia" w:ascii="宋体" w:hAnsi="宋体" w:eastAsia="宋体" w:cs="宋体"/>
                <w:sz w:val="18"/>
                <w:szCs w:val="18"/>
              </w:rPr>
            </w:pPr>
            <w:r>
              <w:rPr>
                <w:rFonts w:hint="eastAsia" w:ascii="宋体" w:hAnsi="宋体" w:eastAsia="宋体" w:cs="宋体"/>
                <w:sz w:val="18"/>
                <w:szCs w:val="18"/>
              </w:rPr>
              <w:t>3.00</w:t>
            </w:r>
          </w:p>
        </w:tc>
        <w:tc>
          <w:tcPr>
            <w:tcW w:w="1134" w:type="dxa"/>
            <w:tcBorders>
              <w:top w:val="nil"/>
              <w:left w:val="nil"/>
              <w:bottom w:val="single" w:color="auto" w:sz="4" w:space="0"/>
              <w:right w:val="single" w:color="auto" w:sz="4" w:space="0"/>
            </w:tcBorders>
            <w:vAlign w:val="center"/>
          </w:tcPr>
          <w:p w14:paraId="17959122">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FED7C0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4BCC921">
            <w:pPr>
              <w:jc w:val="center"/>
              <w:rPr>
                <w:rFonts w:hint="eastAsia" w:ascii="宋体" w:hAnsi="宋体" w:eastAsia="宋体" w:cs="宋体"/>
                <w:sz w:val="18"/>
                <w:szCs w:val="18"/>
              </w:rPr>
            </w:pPr>
            <w:r>
              <w:rPr>
                <w:rFonts w:hint="eastAsia" w:ascii="宋体" w:hAnsi="宋体" w:eastAsia="宋体"/>
                <w:sz w:val="18"/>
                <w:szCs w:val="18"/>
              </w:rPr>
              <w:t>-</w:t>
            </w:r>
          </w:p>
        </w:tc>
      </w:tr>
      <w:tr w14:paraId="6681A8CE">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E556CA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E35BE40">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5ED05BAA">
            <w:pPr>
              <w:jc w:val="center"/>
              <w:rPr>
                <w:rFonts w:hint="eastAsia" w:ascii="宋体" w:hAnsi="宋体" w:eastAsia="宋体" w:cs="宋体"/>
                <w:sz w:val="18"/>
                <w:szCs w:val="18"/>
              </w:rPr>
            </w:pPr>
            <w:r>
              <w:rPr>
                <w:rFonts w:hint="eastAsia" w:ascii="宋体" w:hAnsi="宋体" w:eastAsia="宋体" w:cs="宋体"/>
                <w:sz w:val="18"/>
                <w:szCs w:val="18"/>
              </w:rPr>
              <w:t>545.00</w:t>
            </w:r>
          </w:p>
        </w:tc>
        <w:tc>
          <w:tcPr>
            <w:tcW w:w="1242" w:type="dxa"/>
            <w:tcBorders>
              <w:top w:val="nil"/>
              <w:left w:val="nil"/>
              <w:bottom w:val="single" w:color="auto" w:sz="4" w:space="0"/>
              <w:right w:val="single" w:color="auto" w:sz="4" w:space="0"/>
            </w:tcBorders>
            <w:vAlign w:val="center"/>
          </w:tcPr>
          <w:p w14:paraId="7A596E5B">
            <w:pPr>
              <w:jc w:val="center"/>
              <w:rPr>
                <w:rFonts w:hint="eastAsia" w:ascii="宋体" w:hAnsi="宋体" w:eastAsia="宋体" w:cs="宋体"/>
                <w:sz w:val="18"/>
                <w:szCs w:val="18"/>
              </w:rPr>
            </w:pPr>
            <w:r>
              <w:rPr>
                <w:rFonts w:hint="eastAsia" w:ascii="宋体" w:hAnsi="宋体" w:eastAsia="宋体" w:cs="宋体"/>
                <w:sz w:val="18"/>
                <w:szCs w:val="18"/>
              </w:rPr>
              <w:t>997.72</w:t>
            </w:r>
          </w:p>
        </w:tc>
        <w:tc>
          <w:tcPr>
            <w:tcW w:w="1417" w:type="dxa"/>
            <w:tcBorders>
              <w:top w:val="nil"/>
              <w:left w:val="nil"/>
              <w:bottom w:val="single" w:color="auto" w:sz="4" w:space="0"/>
              <w:right w:val="single" w:color="auto" w:sz="4" w:space="0"/>
            </w:tcBorders>
            <w:vAlign w:val="center"/>
          </w:tcPr>
          <w:p w14:paraId="53EBA4F3">
            <w:pPr>
              <w:jc w:val="center"/>
              <w:rPr>
                <w:rFonts w:hint="eastAsia" w:ascii="宋体" w:hAnsi="宋体" w:eastAsia="宋体" w:cs="宋体"/>
                <w:sz w:val="18"/>
                <w:szCs w:val="18"/>
              </w:rPr>
            </w:pPr>
            <w:r>
              <w:rPr>
                <w:rFonts w:hint="eastAsia" w:ascii="宋体" w:hAnsi="宋体" w:eastAsia="宋体" w:cs="宋体"/>
                <w:sz w:val="18"/>
                <w:szCs w:val="18"/>
              </w:rPr>
              <w:t>997.42</w:t>
            </w:r>
          </w:p>
        </w:tc>
        <w:tc>
          <w:tcPr>
            <w:tcW w:w="1134" w:type="dxa"/>
            <w:tcBorders>
              <w:top w:val="nil"/>
              <w:left w:val="nil"/>
              <w:bottom w:val="single" w:color="auto" w:sz="4" w:space="0"/>
              <w:right w:val="single" w:color="auto" w:sz="4" w:space="0"/>
            </w:tcBorders>
            <w:vAlign w:val="center"/>
          </w:tcPr>
          <w:p w14:paraId="1223DCEA">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04DEC04C">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083DB6E">
            <w:pPr>
              <w:jc w:val="center"/>
              <w:rPr>
                <w:rFonts w:hint="eastAsia" w:ascii="宋体" w:hAnsi="宋体" w:eastAsia="宋体" w:cs="宋体"/>
                <w:sz w:val="18"/>
                <w:szCs w:val="18"/>
              </w:rPr>
            </w:pPr>
            <w:r>
              <w:rPr>
                <w:rFonts w:hint="eastAsia" w:ascii="宋体" w:hAnsi="宋体" w:eastAsia="宋体" w:cs="宋体"/>
                <w:sz w:val="18"/>
                <w:szCs w:val="18"/>
              </w:rPr>
              <w:t>-</w:t>
            </w:r>
          </w:p>
        </w:tc>
      </w:tr>
      <w:tr w14:paraId="56ADC9C0">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735CACB">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05B18D10">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077D64F3">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322083F0">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421A9AF">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7A777DBB">
            <w:pPr>
              <w:rPr>
                <w:rFonts w:hint="eastAsia" w:ascii="宋体" w:hAnsi="宋体" w:eastAsia="宋体" w:cs="宋体"/>
                <w:sz w:val="18"/>
                <w:szCs w:val="18"/>
                <w:lang w:eastAsia="zh-CN"/>
              </w:rPr>
            </w:pPr>
            <w:r>
              <w:rPr>
                <w:rFonts w:hint="eastAsia" w:ascii="宋体" w:hAnsi="宋体" w:eastAsia="宋体" w:cs="宋体"/>
                <w:sz w:val="18"/>
                <w:szCs w:val="18"/>
                <w:lang w:eastAsia="zh-CN"/>
              </w:rPr>
              <w:t>完成机电井升级改造500套，依法上缴水资源费1700万元，开展水法宣传，依法打击非法取水行为，及时办理违法违规取水案件，依法监督水保方案的编制与实施数量；完成中央环保督察整改自治区序号十二整改，完成节水型社会达标验收等</w:t>
            </w:r>
          </w:p>
        </w:tc>
        <w:tc>
          <w:tcPr>
            <w:tcW w:w="4581" w:type="dxa"/>
            <w:gridSpan w:val="4"/>
            <w:tcBorders>
              <w:top w:val="single" w:color="auto" w:sz="4" w:space="0"/>
              <w:left w:val="nil"/>
              <w:bottom w:val="single" w:color="auto" w:sz="4" w:space="0"/>
              <w:right w:val="single" w:color="auto" w:sz="4" w:space="0"/>
            </w:tcBorders>
          </w:tcPr>
          <w:p w14:paraId="551F62FF">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997.42万元，全年执行数为997.42万元，总预算执行率为99.96%，年末结转和结余0.31万元。2024年我单位主要完成了以下工作内容：（1）办理水事案件；（2）开展水法宣传活动；（3）依法督导水土保持方案的编织；（4）开展水行政执法培训；（5）完成“井电双控”设备升级改造电磁流量计安装等工作。通过以上工作的实施，有效遏制了非法取用水行为，保障了水资源的合理利用，维护了区域水资源的可持续性，促进了水资源的优化配置，确保了用水安全。规范了水事秩序，提高了执法效率与公信力，减少了水事矛盾冲突，营造了良好的水事环境，为水利事业的可持续发展提供了有力支撑。</w:t>
            </w:r>
          </w:p>
        </w:tc>
      </w:tr>
      <w:tr w14:paraId="03BB7A13">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24726854">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541925B2">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63C80CEE">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0CA4FC8D">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30796AE4">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3D06731D">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3B7AE18C">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742B92AB">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658D37BE">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4A46DE9A">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1BD6A086">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13D901B6">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办理违法水事案件数量</w:t>
            </w:r>
          </w:p>
        </w:tc>
        <w:tc>
          <w:tcPr>
            <w:tcW w:w="1242" w:type="dxa"/>
            <w:tcBorders>
              <w:top w:val="nil"/>
              <w:left w:val="nil"/>
              <w:bottom w:val="single" w:color="auto" w:sz="4" w:space="0"/>
              <w:right w:val="single" w:color="auto" w:sz="4" w:space="0"/>
            </w:tcBorders>
            <w:noWrap/>
            <w:vAlign w:val="center"/>
          </w:tcPr>
          <w:p w14:paraId="07234C1B">
            <w:pPr>
              <w:jc w:val="center"/>
              <w:rPr>
                <w:rFonts w:hint="eastAsia" w:ascii="宋体" w:hAnsi="宋体" w:eastAsia="宋体" w:cs="宋体"/>
                <w:sz w:val="18"/>
                <w:szCs w:val="18"/>
              </w:rPr>
            </w:pPr>
            <w:r>
              <w:rPr>
                <w:rFonts w:hint="eastAsia" w:ascii="宋体" w:hAnsi="宋体" w:eastAsia="宋体" w:cs="宋体"/>
                <w:sz w:val="18"/>
                <w:szCs w:val="18"/>
              </w:rPr>
              <w:t>&gt;=5件</w:t>
            </w:r>
          </w:p>
        </w:tc>
        <w:tc>
          <w:tcPr>
            <w:tcW w:w="1417" w:type="dxa"/>
            <w:tcBorders>
              <w:top w:val="nil"/>
              <w:left w:val="nil"/>
              <w:bottom w:val="single" w:color="auto" w:sz="4" w:space="0"/>
              <w:right w:val="single" w:color="auto" w:sz="4" w:space="0"/>
            </w:tcBorders>
            <w:noWrap/>
            <w:vAlign w:val="center"/>
          </w:tcPr>
          <w:p w14:paraId="702B68FE">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奇台县水政监察大队2024年度工作计划</w:t>
            </w:r>
          </w:p>
        </w:tc>
        <w:tc>
          <w:tcPr>
            <w:tcW w:w="1134" w:type="dxa"/>
            <w:tcBorders>
              <w:top w:val="nil"/>
              <w:left w:val="nil"/>
              <w:bottom w:val="single" w:color="auto" w:sz="4" w:space="0"/>
              <w:right w:val="single" w:color="auto" w:sz="4" w:space="0"/>
            </w:tcBorders>
            <w:noWrap/>
            <w:vAlign w:val="center"/>
          </w:tcPr>
          <w:p w14:paraId="4C67D986">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4710D042">
            <w:pPr>
              <w:jc w:val="center"/>
              <w:rPr>
                <w:rFonts w:hint="eastAsia" w:ascii="宋体" w:hAnsi="宋体" w:eastAsia="宋体" w:cs="宋体"/>
                <w:sz w:val="18"/>
                <w:szCs w:val="18"/>
              </w:rPr>
            </w:pPr>
            <w:r>
              <w:rPr>
                <w:rFonts w:hint="eastAsia" w:ascii="宋体" w:hAnsi="宋体" w:eastAsia="宋体" w:cs="宋体"/>
                <w:sz w:val="18"/>
                <w:szCs w:val="18"/>
              </w:rPr>
              <w:t>=5件</w:t>
            </w:r>
          </w:p>
        </w:tc>
        <w:tc>
          <w:tcPr>
            <w:tcW w:w="720" w:type="dxa"/>
            <w:tcBorders>
              <w:top w:val="nil"/>
              <w:left w:val="nil"/>
              <w:bottom w:val="single" w:color="auto" w:sz="4" w:space="0"/>
              <w:right w:val="single" w:color="auto" w:sz="4" w:space="0"/>
            </w:tcBorders>
            <w:noWrap/>
            <w:vAlign w:val="center"/>
          </w:tcPr>
          <w:p w14:paraId="6B124100">
            <w:pPr>
              <w:jc w:val="center"/>
              <w:rPr>
                <w:rFonts w:hint="eastAsia" w:ascii="宋体" w:hAnsi="宋体" w:eastAsia="宋体" w:cs="宋体"/>
                <w:sz w:val="18"/>
                <w:szCs w:val="18"/>
              </w:rPr>
            </w:pPr>
            <w:r>
              <w:rPr>
                <w:rFonts w:hint="eastAsia" w:ascii="宋体" w:hAnsi="宋体" w:eastAsia="宋体" w:cs="宋体"/>
                <w:sz w:val="18"/>
                <w:szCs w:val="18"/>
              </w:rPr>
              <w:t>20</w:t>
            </w:r>
          </w:p>
        </w:tc>
      </w:tr>
      <w:tr w14:paraId="06CCB57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5A055E0">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30B7B1F">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A7F1AC6">
            <w:pPr>
              <w:jc w:val="center"/>
              <w:rPr>
                <w:rFonts w:hint="eastAsia" w:ascii="宋体" w:hAnsi="宋体" w:eastAsia="宋体" w:cs="宋体"/>
                <w:sz w:val="18"/>
                <w:szCs w:val="18"/>
              </w:rPr>
            </w:pPr>
            <w:r>
              <w:rPr>
                <w:rFonts w:hint="eastAsia" w:ascii="宋体" w:hAnsi="宋体" w:eastAsia="宋体" w:cs="宋体"/>
                <w:sz w:val="18"/>
                <w:szCs w:val="18"/>
              </w:rPr>
              <w:t>开展执法巡查次数</w:t>
            </w:r>
          </w:p>
        </w:tc>
        <w:tc>
          <w:tcPr>
            <w:tcW w:w="1242" w:type="dxa"/>
            <w:tcBorders>
              <w:top w:val="nil"/>
              <w:left w:val="nil"/>
              <w:bottom w:val="single" w:color="auto" w:sz="4" w:space="0"/>
              <w:right w:val="single" w:color="auto" w:sz="4" w:space="0"/>
            </w:tcBorders>
            <w:noWrap/>
            <w:vAlign w:val="center"/>
          </w:tcPr>
          <w:p w14:paraId="4932CE7C">
            <w:pPr>
              <w:jc w:val="center"/>
              <w:rPr>
                <w:rFonts w:hint="eastAsia" w:ascii="宋体" w:hAnsi="宋体" w:eastAsia="宋体" w:cs="宋体"/>
                <w:sz w:val="18"/>
                <w:szCs w:val="18"/>
              </w:rPr>
            </w:pPr>
            <w:r>
              <w:rPr>
                <w:rFonts w:hint="eastAsia" w:ascii="宋体" w:hAnsi="宋体" w:eastAsia="宋体" w:cs="宋体"/>
                <w:sz w:val="18"/>
                <w:szCs w:val="18"/>
              </w:rPr>
              <w:t>&gt;=100次</w:t>
            </w:r>
          </w:p>
        </w:tc>
        <w:tc>
          <w:tcPr>
            <w:tcW w:w="1417" w:type="dxa"/>
            <w:tcBorders>
              <w:top w:val="nil"/>
              <w:left w:val="nil"/>
              <w:bottom w:val="single" w:color="auto" w:sz="4" w:space="0"/>
              <w:right w:val="single" w:color="auto" w:sz="4" w:space="0"/>
            </w:tcBorders>
            <w:noWrap/>
            <w:vAlign w:val="center"/>
          </w:tcPr>
          <w:p w14:paraId="3D28397F">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奇台县水政监察大队2024年度工作计划</w:t>
            </w:r>
          </w:p>
        </w:tc>
        <w:tc>
          <w:tcPr>
            <w:tcW w:w="1134" w:type="dxa"/>
            <w:tcBorders>
              <w:top w:val="nil"/>
              <w:left w:val="nil"/>
              <w:bottom w:val="single" w:color="auto" w:sz="4" w:space="0"/>
              <w:right w:val="single" w:color="auto" w:sz="4" w:space="0"/>
            </w:tcBorders>
            <w:noWrap/>
            <w:vAlign w:val="center"/>
          </w:tcPr>
          <w:p w14:paraId="4B329DCB">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6FDC5AB9">
            <w:pPr>
              <w:jc w:val="center"/>
              <w:rPr>
                <w:rFonts w:hint="eastAsia" w:ascii="宋体" w:hAnsi="宋体" w:eastAsia="宋体" w:cs="宋体"/>
                <w:sz w:val="18"/>
                <w:szCs w:val="18"/>
              </w:rPr>
            </w:pPr>
            <w:r>
              <w:rPr>
                <w:rFonts w:hint="eastAsia" w:ascii="宋体" w:hAnsi="宋体" w:eastAsia="宋体" w:cs="宋体"/>
                <w:sz w:val="18"/>
                <w:szCs w:val="18"/>
              </w:rPr>
              <w:t>=100次</w:t>
            </w:r>
          </w:p>
        </w:tc>
        <w:tc>
          <w:tcPr>
            <w:tcW w:w="720" w:type="dxa"/>
            <w:tcBorders>
              <w:top w:val="nil"/>
              <w:left w:val="nil"/>
              <w:bottom w:val="single" w:color="auto" w:sz="4" w:space="0"/>
              <w:right w:val="single" w:color="auto" w:sz="4" w:space="0"/>
            </w:tcBorders>
            <w:noWrap/>
            <w:vAlign w:val="center"/>
          </w:tcPr>
          <w:p w14:paraId="73914D36">
            <w:pPr>
              <w:jc w:val="center"/>
              <w:rPr>
                <w:rFonts w:hint="eastAsia" w:ascii="宋体" w:hAnsi="宋体" w:eastAsia="宋体" w:cs="宋体"/>
                <w:sz w:val="18"/>
                <w:szCs w:val="18"/>
              </w:rPr>
            </w:pPr>
            <w:r>
              <w:rPr>
                <w:rFonts w:hint="eastAsia" w:ascii="宋体" w:hAnsi="宋体" w:eastAsia="宋体" w:cs="宋体"/>
                <w:sz w:val="18"/>
                <w:szCs w:val="18"/>
              </w:rPr>
              <w:t>20</w:t>
            </w:r>
          </w:p>
        </w:tc>
      </w:tr>
      <w:tr w14:paraId="7717FA4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659FACE">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4F79E9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A8C7E31">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开展水法宣传活动次数</w:t>
            </w:r>
          </w:p>
        </w:tc>
        <w:tc>
          <w:tcPr>
            <w:tcW w:w="1242" w:type="dxa"/>
            <w:tcBorders>
              <w:top w:val="nil"/>
              <w:left w:val="nil"/>
              <w:bottom w:val="single" w:color="auto" w:sz="4" w:space="0"/>
              <w:right w:val="single" w:color="auto" w:sz="4" w:space="0"/>
            </w:tcBorders>
            <w:noWrap/>
            <w:vAlign w:val="center"/>
          </w:tcPr>
          <w:p w14:paraId="5AD20E91">
            <w:pPr>
              <w:jc w:val="center"/>
              <w:rPr>
                <w:rFonts w:hint="eastAsia" w:ascii="宋体" w:hAnsi="宋体" w:eastAsia="宋体" w:cs="宋体"/>
                <w:sz w:val="18"/>
                <w:szCs w:val="18"/>
              </w:rPr>
            </w:pPr>
            <w:r>
              <w:rPr>
                <w:rFonts w:hint="eastAsia" w:ascii="宋体" w:hAnsi="宋体" w:eastAsia="宋体" w:cs="宋体"/>
                <w:sz w:val="18"/>
                <w:szCs w:val="18"/>
              </w:rPr>
              <w:t>&gt;=5次</w:t>
            </w:r>
          </w:p>
        </w:tc>
        <w:tc>
          <w:tcPr>
            <w:tcW w:w="1417" w:type="dxa"/>
            <w:tcBorders>
              <w:top w:val="nil"/>
              <w:left w:val="nil"/>
              <w:bottom w:val="single" w:color="auto" w:sz="4" w:space="0"/>
              <w:right w:val="single" w:color="auto" w:sz="4" w:space="0"/>
            </w:tcBorders>
            <w:noWrap/>
            <w:vAlign w:val="center"/>
          </w:tcPr>
          <w:p w14:paraId="4785B8AD">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奇台县水政监察大队2024年度工作计划</w:t>
            </w:r>
          </w:p>
        </w:tc>
        <w:tc>
          <w:tcPr>
            <w:tcW w:w="1134" w:type="dxa"/>
            <w:tcBorders>
              <w:top w:val="nil"/>
              <w:left w:val="nil"/>
              <w:bottom w:val="single" w:color="auto" w:sz="4" w:space="0"/>
              <w:right w:val="single" w:color="auto" w:sz="4" w:space="0"/>
            </w:tcBorders>
            <w:noWrap/>
            <w:vAlign w:val="center"/>
          </w:tcPr>
          <w:p w14:paraId="700AA32E">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63230FD9">
            <w:pPr>
              <w:jc w:val="center"/>
              <w:rPr>
                <w:rFonts w:hint="eastAsia" w:ascii="宋体" w:hAnsi="宋体" w:eastAsia="宋体" w:cs="宋体"/>
                <w:sz w:val="18"/>
                <w:szCs w:val="18"/>
              </w:rPr>
            </w:pPr>
            <w:r>
              <w:rPr>
                <w:rFonts w:hint="eastAsia" w:ascii="宋体" w:hAnsi="宋体" w:eastAsia="宋体" w:cs="宋体"/>
                <w:sz w:val="18"/>
                <w:szCs w:val="18"/>
              </w:rPr>
              <w:t>=5次</w:t>
            </w:r>
          </w:p>
        </w:tc>
        <w:tc>
          <w:tcPr>
            <w:tcW w:w="720" w:type="dxa"/>
            <w:tcBorders>
              <w:top w:val="nil"/>
              <w:left w:val="nil"/>
              <w:bottom w:val="single" w:color="auto" w:sz="4" w:space="0"/>
              <w:right w:val="single" w:color="auto" w:sz="4" w:space="0"/>
            </w:tcBorders>
            <w:noWrap/>
            <w:vAlign w:val="center"/>
          </w:tcPr>
          <w:p w14:paraId="5323E6A6">
            <w:pPr>
              <w:jc w:val="center"/>
              <w:rPr>
                <w:rFonts w:hint="eastAsia" w:ascii="宋体" w:hAnsi="宋体" w:eastAsia="宋体" w:cs="宋体"/>
                <w:sz w:val="18"/>
                <w:szCs w:val="18"/>
              </w:rPr>
            </w:pPr>
            <w:r>
              <w:rPr>
                <w:rFonts w:hint="eastAsia" w:ascii="宋体" w:hAnsi="宋体" w:eastAsia="宋体" w:cs="宋体"/>
                <w:sz w:val="18"/>
                <w:szCs w:val="18"/>
              </w:rPr>
              <w:t>15</w:t>
            </w:r>
          </w:p>
        </w:tc>
      </w:tr>
      <w:tr w14:paraId="66A02A6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DEA6CB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55A3F7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2408F1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依法监督水保方案的编制数量</w:t>
            </w:r>
          </w:p>
        </w:tc>
        <w:tc>
          <w:tcPr>
            <w:tcW w:w="1242" w:type="dxa"/>
            <w:tcBorders>
              <w:top w:val="nil"/>
              <w:left w:val="nil"/>
              <w:bottom w:val="single" w:color="auto" w:sz="4" w:space="0"/>
              <w:right w:val="single" w:color="auto" w:sz="4" w:space="0"/>
            </w:tcBorders>
            <w:noWrap/>
            <w:vAlign w:val="center"/>
          </w:tcPr>
          <w:p w14:paraId="01BF4D2A">
            <w:pPr>
              <w:jc w:val="center"/>
              <w:rPr>
                <w:rFonts w:hint="eastAsia" w:ascii="宋体" w:hAnsi="宋体" w:eastAsia="宋体" w:cs="宋体"/>
                <w:sz w:val="18"/>
                <w:szCs w:val="18"/>
              </w:rPr>
            </w:pPr>
            <w:r>
              <w:rPr>
                <w:rFonts w:hint="eastAsia" w:ascii="宋体" w:hAnsi="宋体" w:eastAsia="宋体" w:cs="宋体"/>
                <w:sz w:val="18"/>
                <w:szCs w:val="18"/>
              </w:rPr>
              <w:t>&gt;=6项</w:t>
            </w:r>
          </w:p>
        </w:tc>
        <w:tc>
          <w:tcPr>
            <w:tcW w:w="1417" w:type="dxa"/>
            <w:tcBorders>
              <w:top w:val="nil"/>
              <w:left w:val="nil"/>
              <w:bottom w:val="single" w:color="auto" w:sz="4" w:space="0"/>
              <w:right w:val="single" w:color="auto" w:sz="4" w:space="0"/>
            </w:tcBorders>
            <w:noWrap/>
            <w:vAlign w:val="center"/>
          </w:tcPr>
          <w:p w14:paraId="230000E1">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奇台县水政监察大队2024年度工作计划</w:t>
            </w:r>
          </w:p>
        </w:tc>
        <w:tc>
          <w:tcPr>
            <w:tcW w:w="1134" w:type="dxa"/>
            <w:tcBorders>
              <w:top w:val="nil"/>
              <w:left w:val="nil"/>
              <w:bottom w:val="single" w:color="auto" w:sz="4" w:space="0"/>
              <w:right w:val="single" w:color="auto" w:sz="4" w:space="0"/>
            </w:tcBorders>
            <w:noWrap/>
            <w:vAlign w:val="center"/>
          </w:tcPr>
          <w:p w14:paraId="522E8030">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5CF89C6F">
            <w:pPr>
              <w:jc w:val="center"/>
              <w:rPr>
                <w:rFonts w:hint="eastAsia" w:ascii="宋体" w:hAnsi="宋体" w:eastAsia="宋体" w:cs="宋体"/>
                <w:sz w:val="18"/>
                <w:szCs w:val="18"/>
              </w:rPr>
            </w:pPr>
            <w:r>
              <w:rPr>
                <w:rFonts w:hint="eastAsia" w:ascii="宋体" w:hAnsi="宋体" w:eastAsia="宋体" w:cs="宋体"/>
                <w:sz w:val="18"/>
                <w:szCs w:val="18"/>
              </w:rPr>
              <w:t>=6项</w:t>
            </w:r>
          </w:p>
        </w:tc>
        <w:tc>
          <w:tcPr>
            <w:tcW w:w="720" w:type="dxa"/>
            <w:tcBorders>
              <w:top w:val="nil"/>
              <w:left w:val="nil"/>
              <w:bottom w:val="single" w:color="auto" w:sz="4" w:space="0"/>
              <w:right w:val="single" w:color="auto" w:sz="4" w:space="0"/>
            </w:tcBorders>
            <w:noWrap/>
            <w:vAlign w:val="center"/>
          </w:tcPr>
          <w:p w14:paraId="489636D9">
            <w:pPr>
              <w:jc w:val="center"/>
              <w:rPr>
                <w:rFonts w:hint="eastAsia" w:ascii="宋体" w:hAnsi="宋体" w:eastAsia="宋体" w:cs="宋体"/>
                <w:sz w:val="18"/>
                <w:szCs w:val="18"/>
              </w:rPr>
            </w:pPr>
            <w:r>
              <w:rPr>
                <w:rFonts w:hint="eastAsia" w:ascii="宋体" w:hAnsi="宋体" w:eastAsia="宋体" w:cs="宋体"/>
                <w:sz w:val="18"/>
                <w:szCs w:val="18"/>
              </w:rPr>
              <w:t>20</w:t>
            </w:r>
          </w:p>
        </w:tc>
      </w:tr>
      <w:tr w14:paraId="3708EC5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9883C2A">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6A78E34F">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AB5358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开展水行政执法人员培训次数</w:t>
            </w:r>
          </w:p>
        </w:tc>
        <w:tc>
          <w:tcPr>
            <w:tcW w:w="1242" w:type="dxa"/>
            <w:tcBorders>
              <w:top w:val="nil"/>
              <w:left w:val="nil"/>
              <w:bottom w:val="single" w:color="auto" w:sz="4" w:space="0"/>
              <w:right w:val="single" w:color="auto" w:sz="4" w:space="0"/>
            </w:tcBorders>
            <w:noWrap/>
            <w:vAlign w:val="center"/>
          </w:tcPr>
          <w:p w14:paraId="54D4329F">
            <w:pPr>
              <w:jc w:val="center"/>
              <w:rPr>
                <w:rFonts w:hint="eastAsia" w:ascii="宋体" w:hAnsi="宋体" w:eastAsia="宋体" w:cs="宋体"/>
                <w:sz w:val="18"/>
                <w:szCs w:val="18"/>
              </w:rPr>
            </w:pPr>
            <w:r>
              <w:rPr>
                <w:rFonts w:hint="eastAsia" w:ascii="宋体" w:hAnsi="宋体" w:eastAsia="宋体" w:cs="宋体"/>
                <w:sz w:val="18"/>
                <w:szCs w:val="18"/>
              </w:rPr>
              <w:t>&gt;=2次</w:t>
            </w:r>
          </w:p>
        </w:tc>
        <w:tc>
          <w:tcPr>
            <w:tcW w:w="1417" w:type="dxa"/>
            <w:tcBorders>
              <w:top w:val="nil"/>
              <w:left w:val="nil"/>
              <w:bottom w:val="single" w:color="auto" w:sz="4" w:space="0"/>
              <w:right w:val="single" w:color="auto" w:sz="4" w:space="0"/>
            </w:tcBorders>
            <w:noWrap/>
            <w:vAlign w:val="center"/>
          </w:tcPr>
          <w:p w14:paraId="6BA6D3C7">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奇台县水政监察大队2024年度工作计划</w:t>
            </w:r>
          </w:p>
        </w:tc>
        <w:tc>
          <w:tcPr>
            <w:tcW w:w="1134" w:type="dxa"/>
            <w:tcBorders>
              <w:top w:val="nil"/>
              <w:left w:val="nil"/>
              <w:bottom w:val="single" w:color="auto" w:sz="4" w:space="0"/>
              <w:right w:val="single" w:color="auto" w:sz="4" w:space="0"/>
            </w:tcBorders>
            <w:noWrap/>
            <w:vAlign w:val="center"/>
          </w:tcPr>
          <w:p w14:paraId="7A176736">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6EDF6E70">
            <w:pPr>
              <w:jc w:val="center"/>
              <w:rPr>
                <w:rFonts w:hint="eastAsia" w:ascii="宋体" w:hAnsi="宋体" w:eastAsia="宋体" w:cs="宋体"/>
                <w:sz w:val="18"/>
                <w:szCs w:val="18"/>
              </w:rPr>
            </w:pPr>
            <w:r>
              <w:rPr>
                <w:rFonts w:hint="eastAsia" w:ascii="宋体" w:hAnsi="宋体" w:eastAsia="宋体" w:cs="宋体"/>
                <w:sz w:val="18"/>
                <w:szCs w:val="18"/>
              </w:rPr>
              <w:t>=2次</w:t>
            </w:r>
          </w:p>
        </w:tc>
        <w:tc>
          <w:tcPr>
            <w:tcW w:w="720" w:type="dxa"/>
            <w:tcBorders>
              <w:top w:val="nil"/>
              <w:left w:val="nil"/>
              <w:bottom w:val="single" w:color="auto" w:sz="4" w:space="0"/>
              <w:right w:val="single" w:color="auto" w:sz="4" w:space="0"/>
            </w:tcBorders>
            <w:noWrap/>
            <w:vAlign w:val="center"/>
          </w:tcPr>
          <w:p w14:paraId="0C9CA737">
            <w:pPr>
              <w:jc w:val="center"/>
              <w:rPr>
                <w:rFonts w:hint="eastAsia" w:ascii="宋体" w:hAnsi="宋体" w:eastAsia="宋体" w:cs="宋体"/>
                <w:sz w:val="18"/>
                <w:szCs w:val="18"/>
              </w:rPr>
            </w:pPr>
            <w:r>
              <w:rPr>
                <w:rFonts w:hint="eastAsia" w:ascii="宋体" w:hAnsi="宋体" w:eastAsia="宋体" w:cs="宋体"/>
                <w:sz w:val="18"/>
                <w:szCs w:val="18"/>
              </w:rPr>
              <w:t>15</w:t>
            </w:r>
          </w:p>
        </w:tc>
      </w:tr>
    </w:tbl>
    <w:p w14:paraId="6C5E8004">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0621A2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7"/>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753E0F77">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4E9332F2">
            <w:pPr>
              <w:jc w:val="center"/>
              <w:rPr>
                <w:rFonts w:hint="eastAsia" w:ascii="宋体" w:hAnsi="宋体" w:eastAsia="宋体" w:cs="宋体"/>
                <w:b/>
                <w:bCs/>
                <w:color w:val="000000"/>
                <w:sz w:val="18"/>
                <w:szCs w:val="18"/>
              </w:rPr>
            </w:pPr>
            <w:bookmarkStart w:id="8" w:name="_Hlk201837198"/>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00165EC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中小企业欠款项目化解</w:t>
            </w:r>
          </w:p>
        </w:tc>
      </w:tr>
      <w:tr w14:paraId="21001CDC">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68E444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181211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奇台县水政监察大队</w:t>
            </w:r>
          </w:p>
        </w:tc>
        <w:tc>
          <w:tcPr>
            <w:tcW w:w="708" w:type="pct"/>
            <w:gridSpan w:val="2"/>
            <w:tcBorders>
              <w:top w:val="single" w:color="auto" w:sz="4" w:space="0"/>
              <w:left w:val="nil"/>
              <w:bottom w:val="single" w:color="auto" w:sz="4" w:space="0"/>
              <w:right w:val="single" w:color="auto" w:sz="4" w:space="0"/>
            </w:tcBorders>
            <w:vAlign w:val="center"/>
          </w:tcPr>
          <w:p w14:paraId="0832DF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2BBFD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奇台县水政监察大队</w:t>
            </w:r>
          </w:p>
        </w:tc>
      </w:tr>
      <w:tr w14:paraId="351AAE7D">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1C5FE8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265B18C2">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0FD1A1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782C4E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56B9A5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2B13D1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25AF3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66430B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C9D89D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BA4D357">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D4C99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5EBB0E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290.00</w:t>
            </w:r>
          </w:p>
        </w:tc>
        <w:tc>
          <w:tcPr>
            <w:tcW w:w="982" w:type="pct"/>
            <w:gridSpan w:val="3"/>
            <w:tcBorders>
              <w:top w:val="single" w:color="auto" w:sz="4" w:space="0"/>
              <w:left w:val="nil"/>
              <w:bottom w:val="single" w:color="auto" w:sz="4" w:space="0"/>
              <w:right w:val="single" w:color="auto" w:sz="4" w:space="0"/>
            </w:tcBorders>
            <w:vAlign w:val="center"/>
          </w:tcPr>
          <w:p w14:paraId="492109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290.00</w:t>
            </w:r>
          </w:p>
        </w:tc>
        <w:tc>
          <w:tcPr>
            <w:tcW w:w="708" w:type="pct"/>
            <w:gridSpan w:val="2"/>
            <w:tcBorders>
              <w:top w:val="single" w:color="auto" w:sz="4" w:space="0"/>
              <w:left w:val="nil"/>
              <w:bottom w:val="single" w:color="auto" w:sz="4" w:space="0"/>
              <w:right w:val="single" w:color="auto" w:sz="4" w:space="0"/>
            </w:tcBorders>
            <w:vAlign w:val="center"/>
          </w:tcPr>
          <w:p w14:paraId="137FD9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290.00</w:t>
            </w:r>
          </w:p>
        </w:tc>
        <w:tc>
          <w:tcPr>
            <w:tcW w:w="671" w:type="pct"/>
            <w:gridSpan w:val="2"/>
            <w:tcBorders>
              <w:top w:val="nil"/>
              <w:left w:val="nil"/>
              <w:bottom w:val="single" w:color="auto" w:sz="4" w:space="0"/>
              <w:right w:val="single" w:color="auto" w:sz="4" w:space="0"/>
            </w:tcBorders>
            <w:vAlign w:val="center"/>
          </w:tcPr>
          <w:p w14:paraId="2AD359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090FF2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43CA8D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1A90E7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2BDD645">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7D1F4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2CA741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290.00</w:t>
            </w:r>
          </w:p>
        </w:tc>
        <w:tc>
          <w:tcPr>
            <w:tcW w:w="982" w:type="pct"/>
            <w:gridSpan w:val="3"/>
            <w:tcBorders>
              <w:top w:val="single" w:color="auto" w:sz="4" w:space="0"/>
              <w:left w:val="nil"/>
              <w:bottom w:val="single" w:color="auto" w:sz="4" w:space="0"/>
              <w:right w:val="single" w:color="auto" w:sz="4" w:space="0"/>
            </w:tcBorders>
            <w:vAlign w:val="center"/>
          </w:tcPr>
          <w:p w14:paraId="2796AC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290.00</w:t>
            </w:r>
          </w:p>
        </w:tc>
        <w:tc>
          <w:tcPr>
            <w:tcW w:w="708" w:type="pct"/>
            <w:gridSpan w:val="2"/>
            <w:tcBorders>
              <w:top w:val="single" w:color="auto" w:sz="4" w:space="0"/>
              <w:left w:val="nil"/>
              <w:bottom w:val="single" w:color="auto" w:sz="4" w:space="0"/>
              <w:right w:val="single" w:color="auto" w:sz="4" w:space="0"/>
            </w:tcBorders>
            <w:vAlign w:val="center"/>
          </w:tcPr>
          <w:p w14:paraId="5A6495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290.00</w:t>
            </w:r>
          </w:p>
        </w:tc>
        <w:tc>
          <w:tcPr>
            <w:tcW w:w="671" w:type="pct"/>
            <w:gridSpan w:val="2"/>
            <w:tcBorders>
              <w:top w:val="nil"/>
              <w:left w:val="nil"/>
              <w:bottom w:val="single" w:color="auto" w:sz="4" w:space="0"/>
              <w:right w:val="single" w:color="auto" w:sz="4" w:space="0"/>
            </w:tcBorders>
            <w:vAlign w:val="center"/>
          </w:tcPr>
          <w:p w14:paraId="5FD950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F00E4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04A68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18F2245">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D9BC88F">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C6A09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4AE99E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7F7159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A884E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A46DC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B743E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588F0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9C9D264">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3B225B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3024C9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0E504D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00F9CE2">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E990BA4">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206046B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根据奇财债【2024】4号《关于下达2024年中小企业欠款项目化解的通知》精神，化解债务1笔，有效保障单位良好信用。</w:t>
            </w:r>
          </w:p>
        </w:tc>
        <w:tc>
          <w:tcPr>
            <w:tcW w:w="2559" w:type="pct"/>
            <w:gridSpan w:val="7"/>
            <w:tcBorders>
              <w:top w:val="single" w:color="auto" w:sz="4" w:space="0"/>
              <w:left w:val="nil"/>
              <w:bottom w:val="single" w:color="auto" w:sz="4" w:space="0"/>
              <w:right w:val="single" w:color="auto" w:sz="4" w:space="0"/>
            </w:tcBorders>
            <w:vAlign w:val="center"/>
          </w:tcPr>
          <w:p w14:paraId="2886379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债务资金已按期支付290万元，化解债务1笔，有效保障单位良好信用</w:t>
            </w:r>
          </w:p>
        </w:tc>
      </w:tr>
      <w:tr w14:paraId="5E85389B">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32025BB3">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1F84B4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10B72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6F2601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00152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DD4B7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148FE9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003DB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5F0989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0BEA34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2EFCF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4FE3B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832AF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6B7E11F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1436581">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7D96B8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AFFC0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0893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1AD986B9">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261228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1B2E4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=1笔</w:t>
            </w:r>
          </w:p>
        </w:tc>
        <w:tc>
          <w:tcPr>
            <w:tcW w:w="333" w:type="pct"/>
            <w:tcBorders>
              <w:top w:val="nil"/>
              <w:left w:val="nil"/>
              <w:bottom w:val="single" w:color="auto" w:sz="4" w:space="0"/>
              <w:right w:val="single" w:color="auto" w:sz="4" w:space="0"/>
            </w:tcBorders>
            <w:vAlign w:val="center"/>
          </w:tcPr>
          <w:p w14:paraId="670576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=1笔</w:t>
            </w:r>
          </w:p>
        </w:tc>
        <w:tc>
          <w:tcPr>
            <w:tcW w:w="328" w:type="pct"/>
            <w:tcBorders>
              <w:top w:val="nil"/>
              <w:left w:val="nil"/>
              <w:bottom w:val="single" w:color="auto" w:sz="4" w:space="0"/>
              <w:right w:val="single" w:color="auto" w:sz="4" w:space="0"/>
            </w:tcBorders>
            <w:vAlign w:val="center"/>
          </w:tcPr>
          <w:p w14:paraId="57A85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156A9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4C24F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D6DF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DB11C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E8DCA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0950DE9">
            <w:pPr>
              <w:jc w:val="center"/>
              <w:rPr>
                <w:rFonts w:hint="eastAsia" w:ascii="宋体" w:hAnsi="宋体" w:eastAsia="宋体" w:cs="宋体"/>
                <w:color w:val="000000"/>
                <w:sz w:val="18"/>
                <w:szCs w:val="18"/>
              </w:rPr>
            </w:pPr>
          </w:p>
        </w:tc>
      </w:tr>
      <w:tr w14:paraId="097B1CB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199F91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AF64DC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611FA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AB92204">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0B5ACD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59C66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C1ED4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5D5A7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096A8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EC171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E2FC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9CA49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06D78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2C638BB">
            <w:pPr>
              <w:jc w:val="center"/>
              <w:rPr>
                <w:rFonts w:hint="eastAsia" w:ascii="宋体" w:hAnsi="宋体" w:eastAsia="宋体" w:cs="宋体"/>
                <w:color w:val="000000"/>
                <w:sz w:val="18"/>
                <w:szCs w:val="18"/>
              </w:rPr>
            </w:pPr>
          </w:p>
        </w:tc>
      </w:tr>
      <w:tr w14:paraId="70099CE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309D2C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AE857F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E834B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0DE75916">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7F5157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EA0CB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9AEAA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CCD2A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5EB44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DB1D2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9DCCD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6CC39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3B566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111F1231">
            <w:pPr>
              <w:jc w:val="center"/>
              <w:rPr>
                <w:rFonts w:hint="eastAsia" w:ascii="宋体" w:hAnsi="宋体" w:eastAsia="宋体" w:cs="宋体"/>
                <w:color w:val="000000"/>
                <w:sz w:val="18"/>
                <w:szCs w:val="18"/>
              </w:rPr>
            </w:pPr>
          </w:p>
        </w:tc>
      </w:tr>
      <w:tr w14:paraId="251B53B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BD5C946">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3975D7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0E992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0BAC8E4E">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75DBF4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233DB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A893B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DBAFD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99542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E2DB0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9E3F9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9E175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95AAD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6BBFE65">
            <w:pPr>
              <w:jc w:val="center"/>
              <w:rPr>
                <w:rFonts w:hint="eastAsia" w:ascii="宋体" w:hAnsi="宋体" w:eastAsia="宋体" w:cs="宋体"/>
                <w:color w:val="000000"/>
                <w:sz w:val="18"/>
                <w:szCs w:val="18"/>
              </w:rPr>
            </w:pPr>
          </w:p>
        </w:tc>
      </w:tr>
      <w:tr w14:paraId="7A1EC17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4666F77">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8CEEA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050B86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263AFF3B">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405E46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BC2EA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FBA49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8B3EB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96759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CF094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488C0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D578E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310C3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5391672">
            <w:pPr>
              <w:jc w:val="center"/>
              <w:rPr>
                <w:rFonts w:hint="eastAsia" w:ascii="宋体" w:hAnsi="宋体" w:eastAsia="宋体" w:cs="宋体"/>
                <w:color w:val="000000"/>
                <w:sz w:val="18"/>
                <w:szCs w:val="18"/>
              </w:rPr>
            </w:pPr>
          </w:p>
        </w:tc>
      </w:tr>
      <w:tr w14:paraId="4149D8F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8F1F3D1">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52341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4A46F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634AAC0D">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42B755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E5038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368127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13CF68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6F780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01C50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945B8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2C666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604980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ED80BCE">
            <w:pPr>
              <w:jc w:val="center"/>
              <w:rPr>
                <w:rFonts w:hint="eastAsia" w:ascii="宋体" w:hAnsi="宋体" w:eastAsia="宋体" w:cs="宋体"/>
                <w:color w:val="000000"/>
                <w:sz w:val="18"/>
                <w:szCs w:val="18"/>
              </w:rPr>
            </w:pPr>
          </w:p>
        </w:tc>
      </w:tr>
      <w:tr w14:paraId="48552227">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914802C">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2860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5A557D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1CCBB5FA">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4E10ED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A870F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3" w:type="pct"/>
            <w:tcBorders>
              <w:top w:val="nil"/>
              <w:left w:val="nil"/>
              <w:bottom w:val="single" w:color="auto" w:sz="4" w:space="0"/>
              <w:right w:val="single" w:color="auto" w:sz="4" w:space="0"/>
            </w:tcBorders>
            <w:vAlign w:val="center"/>
          </w:tcPr>
          <w:p w14:paraId="2A6F4B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0AB47B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8F124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6216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B5B18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0C517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41972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5F57DA0E">
            <w:pPr>
              <w:jc w:val="center"/>
              <w:rPr>
                <w:rFonts w:hint="eastAsia" w:ascii="宋体" w:hAnsi="宋体" w:eastAsia="宋体" w:cs="宋体"/>
                <w:color w:val="000000"/>
                <w:sz w:val="18"/>
                <w:szCs w:val="18"/>
              </w:rPr>
            </w:pPr>
          </w:p>
        </w:tc>
      </w:tr>
      <w:tr w14:paraId="592DE26D">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050C0E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3A9736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55FF84BA">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4693AE88">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2A9B84E1">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2B456D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18D59B2">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6B6BEF5">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6BC886CE">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6E889D2">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21FBEFDE">
            <w:pPr>
              <w:rPr>
                <w:rFonts w:hint="eastAsia" w:ascii="宋体" w:hAnsi="宋体" w:eastAsia="宋体" w:cs="宋体"/>
                <w:color w:val="000000"/>
                <w:sz w:val="18"/>
                <w:szCs w:val="18"/>
              </w:rPr>
            </w:pPr>
          </w:p>
        </w:tc>
      </w:tr>
      <w:bookmarkEnd w:id="8"/>
    </w:tbl>
    <w:p w14:paraId="5054541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E2A4CF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60"/>
        <w:gridCol w:w="565"/>
        <w:gridCol w:w="819"/>
        <w:gridCol w:w="577"/>
        <w:gridCol w:w="666"/>
        <w:gridCol w:w="666"/>
        <w:gridCol w:w="566"/>
        <w:gridCol w:w="666"/>
        <w:gridCol w:w="591"/>
        <w:gridCol w:w="568"/>
        <w:gridCol w:w="564"/>
        <w:gridCol w:w="566"/>
        <w:gridCol w:w="906"/>
      </w:tblGrid>
      <w:tr w14:paraId="31E7C989">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47D8A2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5CD6A79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奇财农[2024]10号奇台县水政监察大队地下水资源管理和机电井执法巡查资金</w:t>
            </w:r>
          </w:p>
        </w:tc>
      </w:tr>
      <w:tr w14:paraId="029C1BE0">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242B4E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2C6BCA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奇台县水政监察大队</w:t>
            </w:r>
          </w:p>
        </w:tc>
        <w:tc>
          <w:tcPr>
            <w:tcW w:w="666" w:type="pct"/>
            <w:gridSpan w:val="2"/>
            <w:tcBorders>
              <w:top w:val="single" w:color="auto" w:sz="4" w:space="0"/>
              <w:left w:val="nil"/>
              <w:bottom w:val="single" w:color="auto" w:sz="4" w:space="0"/>
              <w:right w:val="single" w:color="auto" w:sz="4" w:space="0"/>
            </w:tcBorders>
            <w:vAlign w:val="center"/>
          </w:tcPr>
          <w:p w14:paraId="3E35AE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2C7AEB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奇台县水政监察大队</w:t>
            </w:r>
          </w:p>
        </w:tc>
      </w:tr>
      <w:tr w14:paraId="76631301">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39E618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4B4C5B98">
            <w:pPr>
              <w:jc w:val="center"/>
              <w:rPr>
                <w:rFonts w:hint="eastAsia"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4B62A5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226274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360E0D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543156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03C068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077D8B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9812A0C">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1DCF3F0">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248731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7188A9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992" w:type="pct"/>
            <w:gridSpan w:val="3"/>
            <w:tcBorders>
              <w:top w:val="single" w:color="auto" w:sz="4" w:space="0"/>
              <w:left w:val="nil"/>
              <w:bottom w:val="single" w:color="auto" w:sz="4" w:space="0"/>
              <w:right w:val="single" w:color="auto" w:sz="4" w:space="0"/>
            </w:tcBorders>
            <w:vAlign w:val="center"/>
          </w:tcPr>
          <w:p w14:paraId="22EE0B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666" w:type="pct"/>
            <w:gridSpan w:val="2"/>
            <w:tcBorders>
              <w:top w:val="single" w:color="auto" w:sz="4" w:space="0"/>
              <w:left w:val="nil"/>
              <w:bottom w:val="single" w:color="auto" w:sz="4" w:space="0"/>
              <w:right w:val="single" w:color="auto" w:sz="4" w:space="0"/>
            </w:tcBorders>
            <w:vAlign w:val="center"/>
          </w:tcPr>
          <w:p w14:paraId="214E51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678" w:type="pct"/>
            <w:gridSpan w:val="2"/>
            <w:tcBorders>
              <w:top w:val="nil"/>
              <w:left w:val="nil"/>
              <w:bottom w:val="single" w:color="auto" w:sz="4" w:space="0"/>
              <w:right w:val="single" w:color="auto" w:sz="4" w:space="0"/>
            </w:tcBorders>
            <w:vAlign w:val="center"/>
          </w:tcPr>
          <w:p w14:paraId="548C55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26B823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7" w:type="pct"/>
            <w:tcBorders>
              <w:top w:val="nil"/>
              <w:left w:val="nil"/>
              <w:bottom w:val="single" w:color="auto" w:sz="4" w:space="0"/>
              <w:right w:val="single" w:color="auto" w:sz="4" w:space="0"/>
            </w:tcBorders>
            <w:vAlign w:val="center"/>
          </w:tcPr>
          <w:p w14:paraId="01321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74BA003">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6B370A97">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399E2E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04660B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992" w:type="pct"/>
            <w:gridSpan w:val="3"/>
            <w:tcBorders>
              <w:top w:val="single" w:color="auto" w:sz="4" w:space="0"/>
              <w:left w:val="nil"/>
              <w:bottom w:val="single" w:color="auto" w:sz="4" w:space="0"/>
              <w:right w:val="single" w:color="auto" w:sz="4" w:space="0"/>
            </w:tcBorders>
            <w:vAlign w:val="center"/>
          </w:tcPr>
          <w:p w14:paraId="59E2FC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666" w:type="pct"/>
            <w:gridSpan w:val="2"/>
            <w:tcBorders>
              <w:top w:val="single" w:color="auto" w:sz="4" w:space="0"/>
              <w:left w:val="nil"/>
              <w:bottom w:val="single" w:color="auto" w:sz="4" w:space="0"/>
              <w:right w:val="single" w:color="auto" w:sz="4" w:space="0"/>
            </w:tcBorders>
            <w:vAlign w:val="center"/>
          </w:tcPr>
          <w:p w14:paraId="740534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678" w:type="pct"/>
            <w:gridSpan w:val="2"/>
            <w:tcBorders>
              <w:top w:val="nil"/>
              <w:left w:val="nil"/>
              <w:bottom w:val="single" w:color="auto" w:sz="4" w:space="0"/>
              <w:right w:val="single" w:color="auto" w:sz="4" w:space="0"/>
            </w:tcBorders>
            <w:vAlign w:val="center"/>
          </w:tcPr>
          <w:p w14:paraId="06C835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49B1C3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4395DC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15F6997">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B468594">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3B7F6D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229BDF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50E45E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641BC7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18BD91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3B85FE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1E79CA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7096398">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04629D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563945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6E2B1D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E599778">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0E3E6137">
            <w:pPr>
              <w:rPr>
                <w:rFonts w:hint="eastAsia"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0A2427C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财农[2024]10号文件《关于拨付地下水资源管理和机电井执法巡查资金的通知》精神，奇台县水政监察大队全力做好地下水资源开发利用和地下水资源保护管理工作。通过该项工作的实施提升了地下水资源管理决策、监测分析、应急处置能力，遏制非法开采、超采、无计量取用地下水行为，严守用水总量“红线”控制，促进水资源健康、和谐发展。</w:t>
            </w:r>
          </w:p>
        </w:tc>
        <w:tc>
          <w:tcPr>
            <w:tcW w:w="2534" w:type="pct"/>
            <w:gridSpan w:val="7"/>
            <w:tcBorders>
              <w:top w:val="single" w:color="auto" w:sz="4" w:space="0"/>
              <w:left w:val="nil"/>
              <w:bottom w:val="single" w:color="auto" w:sz="4" w:space="0"/>
              <w:right w:val="single" w:color="auto" w:sz="4" w:space="0"/>
            </w:tcBorders>
            <w:vAlign w:val="center"/>
          </w:tcPr>
          <w:p w14:paraId="28173BB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通过该项工作的实施提升了地下水资源管理决策、监测分析、应急处置能力，遏制非法开采、超采、无计量取用地下水行为，严守用水总量“红线”控制，促进水资源健康、和谐发展。</w:t>
            </w:r>
          </w:p>
        </w:tc>
      </w:tr>
      <w:tr w14:paraId="0C71F009">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6E14A9D6">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29C46F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6FF1A0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23B293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14D7CD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35FE30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7389E8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0C969C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08FE93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295CF8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6EBDB8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7F649F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523F02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565EC32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F2FA1CD">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0A12519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7BD059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02F73F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6249BBC6">
            <w:pPr>
              <w:rPr>
                <w:rFonts w:hint="eastAsia" w:ascii="宋体" w:hAnsi="宋体" w:eastAsia="宋体" w:cs="宋体"/>
                <w:color w:val="000000"/>
                <w:sz w:val="18"/>
                <w:szCs w:val="18"/>
              </w:rPr>
            </w:pPr>
            <w:r>
              <w:rPr>
                <w:rFonts w:hint="eastAsia" w:ascii="宋体" w:hAnsi="宋体" w:eastAsia="宋体" w:cs="宋体"/>
                <w:color w:val="000000"/>
                <w:sz w:val="18"/>
                <w:szCs w:val="18"/>
              </w:rPr>
              <w:t>机电井焊封数量</w:t>
            </w:r>
          </w:p>
        </w:tc>
        <w:tc>
          <w:tcPr>
            <w:tcW w:w="338" w:type="pct"/>
            <w:tcBorders>
              <w:top w:val="nil"/>
              <w:left w:val="nil"/>
              <w:bottom w:val="single" w:color="auto" w:sz="4" w:space="0"/>
              <w:right w:val="single" w:color="auto" w:sz="4" w:space="0"/>
            </w:tcBorders>
            <w:vAlign w:val="center"/>
          </w:tcPr>
          <w:p w14:paraId="41B580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6AFF9E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&gt;=133眼</w:t>
            </w:r>
          </w:p>
        </w:tc>
        <w:tc>
          <w:tcPr>
            <w:tcW w:w="337" w:type="pct"/>
            <w:tcBorders>
              <w:top w:val="nil"/>
              <w:left w:val="nil"/>
              <w:bottom w:val="single" w:color="auto" w:sz="4" w:space="0"/>
              <w:right w:val="single" w:color="auto" w:sz="4" w:space="0"/>
            </w:tcBorders>
            <w:vAlign w:val="center"/>
          </w:tcPr>
          <w:p w14:paraId="6B789A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=128眼</w:t>
            </w:r>
          </w:p>
        </w:tc>
        <w:tc>
          <w:tcPr>
            <w:tcW w:w="332" w:type="pct"/>
            <w:tcBorders>
              <w:top w:val="nil"/>
              <w:left w:val="nil"/>
              <w:bottom w:val="single" w:color="auto" w:sz="4" w:space="0"/>
              <w:right w:val="single" w:color="auto" w:sz="4" w:space="0"/>
            </w:tcBorders>
            <w:vAlign w:val="center"/>
          </w:tcPr>
          <w:p w14:paraId="0CC5B6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104</w:t>
            </w:r>
          </w:p>
        </w:tc>
        <w:tc>
          <w:tcPr>
            <w:tcW w:w="334" w:type="pct"/>
            <w:tcBorders>
              <w:top w:val="nil"/>
              <w:left w:val="nil"/>
              <w:bottom w:val="single" w:color="auto" w:sz="4" w:space="0"/>
              <w:right w:val="single" w:color="auto" w:sz="4" w:space="0"/>
            </w:tcBorders>
            <w:vAlign w:val="center"/>
          </w:tcPr>
          <w:p w14:paraId="17F9FD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9.6</w:t>
            </w:r>
          </w:p>
        </w:tc>
        <w:tc>
          <w:tcPr>
            <w:tcW w:w="346" w:type="pct"/>
            <w:tcBorders>
              <w:top w:val="nil"/>
              <w:left w:val="nil"/>
              <w:bottom w:val="single" w:color="auto" w:sz="4" w:space="0"/>
              <w:right w:val="single" w:color="auto" w:sz="4" w:space="0"/>
            </w:tcBorders>
            <w:vAlign w:val="center"/>
          </w:tcPr>
          <w:p w14:paraId="6C7CC2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936CD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66A23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0CE51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0612ED8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奇台县机电井数量较大，精准设定目标存在较大困难，虽然在广泛调查了解的基础上进行设定目标，但仍然不可避免存在目标设定不够精准的问题。</w:t>
            </w:r>
          </w:p>
        </w:tc>
      </w:tr>
      <w:tr w14:paraId="19BF2B9F">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015EEC35">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31986052">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DB3E8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39E453CD">
            <w:pPr>
              <w:rPr>
                <w:rFonts w:hint="eastAsia" w:ascii="宋体" w:hAnsi="宋体" w:eastAsia="宋体" w:cs="宋体"/>
                <w:color w:val="000000"/>
                <w:sz w:val="18"/>
                <w:szCs w:val="18"/>
              </w:rPr>
            </w:pPr>
            <w:r>
              <w:rPr>
                <w:rFonts w:hint="eastAsia" w:ascii="宋体" w:hAnsi="宋体" w:eastAsia="宋体" w:cs="宋体"/>
                <w:color w:val="000000"/>
                <w:sz w:val="18"/>
                <w:szCs w:val="18"/>
              </w:rPr>
              <w:t>保障用车数量</w:t>
            </w:r>
          </w:p>
        </w:tc>
        <w:tc>
          <w:tcPr>
            <w:tcW w:w="338" w:type="pct"/>
            <w:tcBorders>
              <w:top w:val="nil"/>
              <w:left w:val="nil"/>
              <w:bottom w:val="single" w:color="auto" w:sz="4" w:space="0"/>
              <w:right w:val="single" w:color="auto" w:sz="4" w:space="0"/>
            </w:tcBorders>
            <w:vAlign w:val="center"/>
          </w:tcPr>
          <w:p w14:paraId="076FBA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644A62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=5辆</w:t>
            </w:r>
          </w:p>
        </w:tc>
        <w:tc>
          <w:tcPr>
            <w:tcW w:w="337" w:type="pct"/>
            <w:tcBorders>
              <w:top w:val="nil"/>
              <w:left w:val="nil"/>
              <w:bottom w:val="single" w:color="auto" w:sz="4" w:space="0"/>
              <w:right w:val="single" w:color="auto" w:sz="4" w:space="0"/>
            </w:tcBorders>
            <w:vAlign w:val="center"/>
          </w:tcPr>
          <w:p w14:paraId="14A07D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=5辆</w:t>
            </w:r>
          </w:p>
        </w:tc>
        <w:tc>
          <w:tcPr>
            <w:tcW w:w="332" w:type="pct"/>
            <w:tcBorders>
              <w:top w:val="nil"/>
              <w:left w:val="nil"/>
              <w:bottom w:val="single" w:color="auto" w:sz="4" w:space="0"/>
              <w:right w:val="single" w:color="auto" w:sz="4" w:space="0"/>
            </w:tcBorders>
            <w:vAlign w:val="center"/>
          </w:tcPr>
          <w:p w14:paraId="6BF26C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E44B8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D72A9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2EAE3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3815D8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39317B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3A4F92CA">
            <w:pPr>
              <w:jc w:val="center"/>
              <w:rPr>
                <w:rFonts w:hint="eastAsia" w:ascii="宋体" w:hAnsi="宋体" w:eastAsia="宋体" w:cs="宋体"/>
                <w:color w:val="000000"/>
                <w:sz w:val="18"/>
                <w:szCs w:val="18"/>
              </w:rPr>
            </w:pPr>
          </w:p>
        </w:tc>
      </w:tr>
      <w:tr w14:paraId="21856F49">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5F93D3D">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55AF3C21">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EA298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7EB5D10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机电井焊封验收合格率</w:t>
            </w:r>
          </w:p>
        </w:tc>
        <w:tc>
          <w:tcPr>
            <w:tcW w:w="338" w:type="pct"/>
            <w:tcBorders>
              <w:top w:val="nil"/>
              <w:left w:val="nil"/>
              <w:bottom w:val="single" w:color="auto" w:sz="4" w:space="0"/>
              <w:right w:val="single" w:color="auto" w:sz="4" w:space="0"/>
            </w:tcBorders>
            <w:vAlign w:val="center"/>
          </w:tcPr>
          <w:p w14:paraId="202157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3A3163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13D283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0E0656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4347D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0CB11D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1B823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038D5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F71E3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F37FA2C">
            <w:pPr>
              <w:jc w:val="center"/>
              <w:rPr>
                <w:rFonts w:hint="eastAsia" w:ascii="宋体" w:hAnsi="宋体" w:eastAsia="宋体" w:cs="宋体"/>
                <w:color w:val="000000"/>
                <w:sz w:val="18"/>
                <w:szCs w:val="18"/>
              </w:rPr>
            </w:pPr>
          </w:p>
        </w:tc>
      </w:tr>
      <w:tr w14:paraId="47F3A1A6">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70AFC65">
            <w:pPr>
              <w:rPr>
                <w:rFonts w:hint="eastAsia"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1B815D00">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CD986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4FFED52E">
            <w:pPr>
              <w:rPr>
                <w:rFonts w:hint="eastAsia" w:ascii="宋体" w:hAnsi="宋体" w:eastAsia="宋体" w:cs="宋体"/>
                <w:color w:val="000000"/>
                <w:sz w:val="18"/>
                <w:szCs w:val="18"/>
              </w:rPr>
            </w:pPr>
            <w:r>
              <w:rPr>
                <w:rFonts w:hint="eastAsia" w:ascii="宋体" w:hAnsi="宋体" w:eastAsia="宋体" w:cs="宋体"/>
                <w:color w:val="000000"/>
                <w:sz w:val="18"/>
                <w:szCs w:val="18"/>
              </w:rPr>
              <w:t>机电井焊封完工时间</w:t>
            </w:r>
          </w:p>
        </w:tc>
        <w:tc>
          <w:tcPr>
            <w:tcW w:w="338" w:type="pct"/>
            <w:tcBorders>
              <w:top w:val="nil"/>
              <w:left w:val="nil"/>
              <w:bottom w:val="single" w:color="auto" w:sz="4" w:space="0"/>
              <w:right w:val="single" w:color="auto" w:sz="4" w:space="0"/>
            </w:tcBorders>
            <w:vAlign w:val="center"/>
          </w:tcPr>
          <w:p w14:paraId="7E4520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3CFAB4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=2024年5月30日</w:t>
            </w:r>
          </w:p>
        </w:tc>
        <w:tc>
          <w:tcPr>
            <w:tcW w:w="337" w:type="pct"/>
            <w:tcBorders>
              <w:top w:val="nil"/>
              <w:left w:val="nil"/>
              <w:bottom w:val="single" w:color="auto" w:sz="4" w:space="0"/>
              <w:right w:val="single" w:color="auto" w:sz="4" w:space="0"/>
            </w:tcBorders>
            <w:vAlign w:val="center"/>
          </w:tcPr>
          <w:p w14:paraId="78E562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=100年5月30日</w:t>
            </w:r>
          </w:p>
        </w:tc>
        <w:tc>
          <w:tcPr>
            <w:tcW w:w="332" w:type="pct"/>
            <w:tcBorders>
              <w:top w:val="nil"/>
              <w:left w:val="nil"/>
              <w:bottom w:val="single" w:color="auto" w:sz="4" w:space="0"/>
              <w:right w:val="single" w:color="auto" w:sz="4" w:space="0"/>
            </w:tcBorders>
            <w:vAlign w:val="center"/>
          </w:tcPr>
          <w:p w14:paraId="12FD83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2ABB8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0C539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93E31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1F988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CED88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1FA2E9E4">
            <w:pPr>
              <w:jc w:val="center"/>
              <w:rPr>
                <w:rFonts w:hint="eastAsia" w:ascii="宋体" w:hAnsi="宋体" w:eastAsia="宋体" w:cs="宋体"/>
                <w:color w:val="000000"/>
                <w:sz w:val="18"/>
                <w:szCs w:val="18"/>
              </w:rPr>
            </w:pPr>
          </w:p>
        </w:tc>
      </w:tr>
      <w:tr w14:paraId="79B82CB6">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88D44A1">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0E8EC0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15889E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352B9BD2">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8" w:type="pct"/>
            <w:tcBorders>
              <w:top w:val="nil"/>
              <w:left w:val="nil"/>
              <w:bottom w:val="single" w:color="auto" w:sz="4" w:space="0"/>
              <w:right w:val="single" w:color="auto" w:sz="4" w:space="0"/>
            </w:tcBorders>
            <w:vAlign w:val="center"/>
          </w:tcPr>
          <w:p w14:paraId="6505A5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24A439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4B3B96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480FB4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D903E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41B2FF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AF99D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50D67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E5436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4FC95469">
            <w:pPr>
              <w:jc w:val="center"/>
              <w:rPr>
                <w:rFonts w:hint="eastAsia" w:ascii="宋体" w:hAnsi="宋体" w:eastAsia="宋体" w:cs="宋体"/>
                <w:color w:val="000000"/>
                <w:sz w:val="18"/>
                <w:szCs w:val="18"/>
              </w:rPr>
            </w:pPr>
          </w:p>
        </w:tc>
      </w:tr>
      <w:tr w14:paraId="17A62551">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99849E4">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525768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7E4CF0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68A83BA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有效保护地下水资源开发利用</w:t>
            </w:r>
          </w:p>
        </w:tc>
        <w:tc>
          <w:tcPr>
            <w:tcW w:w="338" w:type="pct"/>
            <w:tcBorders>
              <w:top w:val="nil"/>
              <w:left w:val="nil"/>
              <w:bottom w:val="single" w:color="auto" w:sz="4" w:space="0"/>
              <w:right w:val="single" w:color="auto" w:sz="4" w:space="0"/>
            </w:tcBorders>
            <w:vAlign w:val="center"/>
          </w:tcPr>
          <w:p w14:paraId="190669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261CD8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有效保护</w:t>
            </w:r>
          </w:p>
        </w:tc>
        <w:tc>
          <w:tcPr>
            <w:tcW w:w="337" w:type="pct"/>
            <w:tcBorders>
              <w:top w:val="nil"/>
              <w:left w:val="nil"/>
              <w:bottom w:val="single" w:color="auto" w:sz="4" w:space="0"/>
              <w:right w:val="single" w:color="auto" w:sz="4" w:space="0"/>
            </w:tcBorders>
            <w:vAlign w:val="center"/>
          </w:tcPr>
          <w:p w14:paraId="3BA45B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2" w:type="pct"/>
            <w:tcBorders>
              <w:top w:val="nil"/>
              <w:left w:val="nil"/>
              <w:bottom w:val="single" w:color="auto" w:sz="4" w:space="0"/>
              <w:right w:val="single" w:color="auto" w:sz="4" w:space="0"/>
            </w:tcBorders>
            <w:vAlign w:val="center"/>
          </w:tcPr>
          <w:p w14:paraId="2B6075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E8B2A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2BFB55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641132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2C161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4FB996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1DE28F74">
            <w:pPr>
              <w:jc w:val="center"/>
              <w:rPr>
                <w:rFonts w:hint="eastAsia" w:ascii="宋体" w:hAnsi="宋体" w:eastAsia="宋体" w:cs="宋体"/>
                <w:color w:val="000000"/>
                <w:sz w:val="18"/>
                <w:szCs w:val="18"/>
              </w:rPr>
            </w:pPr>
          </w:p>
        </w:tc>
      </w:tr>
      <w:tr w14:paraId="0A992B92">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5BF25589">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7AC863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748CD4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59BB2017">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338" w:type="pct"/>
            <w:tcBorders>
              <w:top w:val="nil"/>
              <w:left w:val="nil"/>
              <w:bottom w:val="single" w:color="auto" w:sz="4" w:space="0"/>
              <w:right w:val="single" w:color="auto" w:sz="4" w:space="0"/>
            </w:tcBorders>
            <w:vAlign w:val="center"/>
          </w:tcPr>
          <w:p w14:paraId="7ACAF0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567504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7" w:type="pct"/>
            <w:tcBorders>
              <w:top w:val="nil"/>
              <w:left w:val="nil"/>
              <w:bottom w:val="single" w:color="auto" w:sz="4" w:space="0"/>
              <w:right w:val="single" w:color="auto" w:sz="4" w:space="0"/>
            </w:tcBorders>
            <w:vAlign w:val="center"/>
          </w:tcPr>
          <w:p w14:paraId="623E14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2" w:type="pct"/>
            <w:tcBorders>
              <w:top w:val="nil"/>
              <w:left w:val="nil"/>
              <w:bottom w:val="single" w:color="auto" w:sz="4" w:space="0"/>
              <w:right w:val="single" w:color="auto" w:sz="4" w:space="0"/>
            </w:tcBorders>
            <w:vAlign w:val="center"/>
          </w:tcPr>
          <w:p w14:paraId="029833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40331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29A09A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15287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625CD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134241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6FCF9BCE">
            <w:pPr>
              <w:jc w:val="center"/>
              <w:rPr>
                <w:rFonts w:hint="eastAsia" w:ascii="宋体" w:hAnsi="宋体" w:eastAsia="宋体" w:cs="宋体"/>
                <w:color w:val="000000"/>
                <w:sz w:val="18"/>
                <w:szCs w:val="18"/>
              </w:rPr>
            </w:pPr>
          </w:p>
        </w:tc>
      </w:tr>
      <w:tr w14:paraId="4788049E">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31292B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137F2E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11176EE4">
            <w:pPr>
              <w:jc w:val="center"/>
              <w:rPr>
                <w:rFonts w:hint="eastAsia"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4B05C817">
            <w:pPr>
              <w:jc w:val="center"/>
              <w:rPr>
                <w:rFonts w:hint="eastAsia"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37D9FB17">
            <w:pPr>
              <w:jc w:val="cente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408267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99.60分</w:t>
            </w:r>
          </w:p>
        </w:tc>
        <w:tc>
          <w:tcPr>
            <w:tcW w:w="346" w:type="pct"/>
            <w:tcBorders>
              <w:top w:val="single" w:color="auto" w:sz="4" w:space="0"/>
              <w:left w:val="nil"/>
              <w:bottom w:val="single" w:color="auto" w:sz="4" w:space="0"/>
              <w:right w:val="single" w:color="auto" w:sz="4" w:space="0"/>
            </w:tcBorders>
            <w:vAlign w:val="center"/>
          </w:tcPr>
          <w:p w14:paraId="65DA4012">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00D8E33C">
            <w:pPr>
              <w:rPr>
                <w:rFonts w:hint="eastAsia"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1B922F78">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5233CAB0">
            <w:pPr>
              <w:rPr>
                <w:rFonts w:hint="eastAsia"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27F39AD7">
            <w:pPr>
              <w:rPr>
                <w:rFonts w:hint="eastAsia" w:ascii="宋体" w:hAnsi="宋体" w:eastAsia="宋体" w:cs="宋体"/>
                <w:color w:val="000000"/>
                <w:sz w:val="18"/>
                <w:szCs w:val="18"/>
              </w:rPr>
            </w:pPr>
          </w:p>
        </w:tc>
      </w:tr>
    </w:tbl>
    <w:p w14:paraId="48260B6C">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69108E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3"/>
        <w:gridCol w:w="557"/>
        <w:gridCol w:w="810"/>
        <w:gridCol w:w="568"/>
        <w:gridCol w:w="666"/>
        <w:gridCol w:w="666"/>
        <w:gridCol w:w="557"/>
        <w:gridCol w:w="756"/>
        <w:gridCol w:w="582"/>
        <w:gridCol w:w="559"/>
        <w:gridCol w:w="555"/>
        <w:gridCol w:w="557"/>
        <w:gridCol w:w="904"/>
      </w:tblGrid>
      <w:tr w14:paraId="25448E13">
        <w:tblPrEx>
          <w:tblCellMar>
            <w:top w:w="0" w:type="dxa"/>
            <w:left w:w="108" w:type="dxa"/>
            <w:bottom w:w="0" w:type="dxa"/>
            <w:right w:w="108" w:type="dxa"/>
          </w:tblCellMar>
        </w:tblPrEx>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350F31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22DD77A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奇财农[2024]40号奇台县坎尔孜乡等七个乡镇地下水综合治理费用</w:t>
            </w:r>
          </w:p>
        </w:tc>
      </w:tr>
      <w:tr w14:paraId="00BE804F">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520B36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13299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奇台县水政监察大队</w:t>
            </w:r>
          </w:p>
        </w:tc>
        <w:tc>
          <w:tcPr>
            <w:tcW w:w="650" w:type="pct"/>
            <w:gridSpan w:val="2"/>
            <w:tcBorders>
              <w:top w:val="single" w:color="auto" w:sz="4" w:space="0"/>
              <w:left w:val="nil"/>
              <w:bottom w:val="single" w:color="auto" w:sz="4" w:space="0"/>
              <w:right w:val="single" w:color="auto" w:sz="4" w:space="0"/>
            </w:tcBorders>
            <w:vAlign w:val="center"/>
          </w:tcPr>
          <w:p w14:paraId="3CF05B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6BE665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奇台县水政监察大队</w:t>
            </w:r>
          </w:p>
        </w:tc>
      </w:tr>
      <w:tr w14:paraId="76D88BEE">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274D04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50A63C5E">
            <w:pPr>
              <w:jc w:val="center"/>
              <w:rPr>
                <w:rFonts w:hint="eastAsia" w:ascii="宋体" w:hAnsi="宋体" w:eastAsia="宋体" w:cs="宋体"/>
                <w:color w:val="000000"/>
                <w:sz w:val="18"/>
                <w:szCs w:val="18"/>
              </w:rPr>
            </w:pPr>
          </w:p>
        </w:tc>
        <w:tc>
          <w:tcPr>
            <w:tcW w:w="476" w:type="pct"/>
            <w:tcBorders>
              <w:top w:val="single" w:color="auto" w:sz="4" w:space="0"/>
              <w:left w:val="nil"/>
              <w:bottom w:val="single" w:color="auto" w:sz="4" w:space="0"/>
              <w:right w:val="single" w:color="auto" w:sz="4" w:space="0"/>
            </w:tcBorders>
            <w:vAlign w:val="center"/>
          </w:tcPr>
          <w:p w14:paraId="1466B7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4398C2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566859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1" w:type="pct"/>
            <w:gridSpan w:val="2"/>
            <w:tcBorders>
              <w:top w:val="nil"/>
              <w:left w:val="nil"/>
              <w:bottom w:val="single" w:color="auto" w:sz="4" w:space="0"/>
              <w:right w:val="single" w:color="auto" w:sz="4" w:space="0"/>
            </w:tcBorders>
            <w:vAlign w:val="center"/>
          </w:tcPr>
          <w:p w14:paraId="7C2DD0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0499D5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9" w:type="pct"/>
            <w:tcBorders>
              <w:top w:val="nil"/>
              <w:left w:val="nil"/>
              <w:bottom w:val="single" w:color="auto" w:sz="4" w:space="0"/>
              <w:right w:val="single" w:color="auto" w:sz="4" w:space="0"/>
            </w:tcBorders>
            <w:vAlign w:val="center"/>
          </w:tcPr>
          <w:p w14:paraId="1CA166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98A4E69">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6C7D1847">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16194E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63E5AE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w:t>
            </w:r>
          </w:p>
        </w:tc>
        <w:tc>
          <w:tcPr>
            <w:tcW w:w="996" w:type="pct"/>
            <w:gridSpan w:val="3"/>
            <w:tcBorders>
              <w:top w:val="single" w:color="auto" w:sz="4" w:space="0"/>
              <w:left w:val="nil"/>
              <w:bottom w:val="single" w:color="auto" w:sz="4" w:space="0"/>
              <w:right w:val="single" w:color="auto" w:sz="4" w:space="0"/>
            </w:tcBorders>
            <w:vAlign w:val="center"/>
          </w:tcPr>
          <w:p w14:paraId="7D6A76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w:t>
            </w:r>
          </w:p>
        </w:tc>
        <w:tc>
          <w:tcPr>
            <w:tcW w:w="650" w:type="pct"/>
            <w:gridSpan w:val="2"/>
            <w:tcBorders>
              <w:top w:val="single" w:color="auto" w:sz="4" w:space="0"/>
              <w:left w:val="nil"/>
              <w:bottom w:val="single" w:color="auto" w:sz="4" w:space="0"/>
              <w:right w:val="single" w:color="auto" w:sz="4" w:space="0"/>
            </w:tcBorders>
            <w:vAlign w:val="center"/>
          </w:tcPr>
          <w:p w14:paraId="785644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w:t>
            </w:r>
          </w:p>
        </w:tc>
        <w:tc>
          <w:tcPr>
            <w:tcW w:w="681" w:type="pct"/>
            <w:gridSpan w:val="2"/>
            <w:tcBorders>
              <w:top w:val="nil"/>
              <w:left w:val="nil"/>
              <w:bottom w:val="single" w:color="auto" w:sz="4" w:space="0"/>
              <w:right w:val="single" w:color="auto" w:sz="4" w:space="0"/>
            </w:tcBorders>
            <w:vAlign w:val="center"/>
          </w:tcPr>
          <w:p w14:paraId="20A0E4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577410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9" w:type="pct"/>
            <w:tcBorders>
              <w:top w:val="nil"/>
              <w:left w:val="nil"/>
              <w:bottom w:val="single" w:color="auto" w:sz="4" w:space="0"/>
              <w:right w:val="single" w:color="auto" w:sz="4" w:space="0"/>
            </w:tcBorders>
            <w:vAlign w:val="center"/>
          </w:tcPr>
          <w:p w14:paraId="1A9FA5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CED7A23">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49EF08AE">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722CE2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3F070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w:t>
            </w:r>
          </w:p>
        </w:tc>
        <w:tc>
          <w:tcPr>
            <w:tcW w:w="996" w:type="pct"/>
            <w:gridSpan w:val="3"/>
            <w:tcBorders>
              <w:top w:val="single" w:color="auto" w:sz="4" w:space="0"/>
              <w:left w:val="nil"/>
              <w:bottom w:val="single" w:color="auto" w:sz="4" w:space="0"/>
              <w:right w:val="single" w:color="auto" w:sz="4" w:space="0"/>
            </w:tcBorders>
            <w:vAlign w:val="center"/>
          </w:tcPr>
          <w:p w14:paraId="0CA189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w:t>
            </w:r>
          </w:p>
        </w:tc>
        <w:tc>
          <w:tcPr>
            <w:tcW w:w="650" w:type="pct"/>
            <w:gridSpan w:val="2"/>
            <w:tcBorders>
              <w:top w:val="single" w:color="auto" w:sz="4" w:space="0"/>
              <w:left w:val="nil"/>
              <w:bottom w:val="single" w:color="auto" w:sz="4" w:space="0"/>
              <w:right w:val="single" w:color="auto" w:sz="4" w:space="0"/>
            </w:tcBorders>
            <w:vAlign w:val="center"/>
          </w:tcPr>
          <w:p w14:paraId="2C15F1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w:t>
            </w:r>
          </w:p>
        </w:tc>
        <w:tc>
          <w:tcPr>
            <w:tcW w:w="681" w:type="pct"/>
            <w:gridSpan w:val="2"/>
            <w:tcBorders>
              <w:top w:val="nil"/>
              <w:left w:val="nil"/>
              <w:bottom w:val="single" w:color="auto" w:sz="4" w:space="0"/>
              <w:right w:val="single" w:color="auto" w:sz="4" w:space="0"/>
            </w:tcBorders>
            <w:vAlign w:val="center"/>
          </w:tcPr>
          <w:p w14:paraId="60EE18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294175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4F3B31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6989380">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2D7364B6">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3EEB65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679BC8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5E76D0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0F2BCF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81" w:type="pct"/>
            <w:gridSpan w:val="2"/>
            <w:tcBorders>
              <w:top w:val="nil"/>
              <w:left w:val="nil"/>
              <w:bottom w:val="single" w:color="auto" w:sz="4" w:space="0"/>
              <w:right w:val="single" w:color="auto" w:sz="4" w:space="0"/>
            </w:tcBorders>
            <w:vAlign w:val="center"/>
          </w:tcPr>
          <w:p w14:paraId="1ED17F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661F44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58830D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B72C3E4">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165F5E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63C9AA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4AA29D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7373A89">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5CD1F7EA">
            <w:pPr>
              <w:rPr>
                <w:rFonts w:hint="eastAsia" w:ascii="宋体" w:hAnsi="宋体" w:eastAsia="宋体" w:cs="宋体"/>
                <w:color w:val="000000"/>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7E20B00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通过地下水综合整治项目的实施，加强农业用水管理，减少农业取水总量，落实治理措施，封停机电井控制水源井数量，完善计量设施控制取水量，核定用电量控制灌溉水量，达到地下水水位有效上升的局面。</w:t>
            </w:r>
          </w:p>
        </w:tc>
        <w:tc>
          <w:tcPr>
            <w:tcW w:w="2526" w:type="pct"/>
            <w:gridSpan w:val="7"/>
            <w:tcBorders>
              <w:top w:val="single" w:color="auto" w:sz="4" w:space="0"/>
              <w:left w:val="nil"/>
              <w:bottom w:val="single" w:color="auto" w:sz="4" w:space="0"/>
              <w:right w:val="single" w:color="auto" w:sz="4" w:space="0"/>
            </w:tcBorders>
            <w:vAlign w:val="center"/>
          </w:tcPr>
          <w:p w14:paraId="470E35E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截止2024年12月31日，地下水综合整治费用补助乡镇7个，奇台县水政监测大队分别签订了测绘合同、机电井焊封合同、宣传印刷合同，共3份。已于2024年12月20日前全部实施完毕，有效控制了地下水水位下降。</w:t>
            </w:r>
          </w:p>
        </w:tc>
      </w:tr>
      <w:tr w14:paraId="34CA86FC">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6CCD5C27">
            <w:pPr>
              <w:rPr>
                <w:rFonts w:hint="eastAsia"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1D5541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3" w:type="pct"/>
            <w:tcBorders>
              <w:top w:val="nil"/>
              <w:left w:val="nil"/>
              <w:bottom w:val="single" w:color="auto" w:sz="4" w:space="0"/>
              <w:right w:val="single" w:color="auto" w:sz="4" w:space="0"/>
            </w:tcBorders>
            <w:vAlign w:val="center"/>
          </w:tcPr>
          <w:p w14:paraId="6ACB06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09CB2E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9" w:type="pct"/>
            <w:tcBorders>
              <w:top w:val="nil"/>
              <w:left w:val="nil"/>
              <w:bottom w:val="single" w:color="auto" w:sz="4" w:space="0"/>
              <w:right w:val="single" w:color="auto" w:sz="4" w:space="0"/>
            </w:tcBorders>
            <w:vAlign w:val="center"/>
          </w:tcPr>
          <w:p w14:paraId="52B28C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9" w:type="pct"/>
            <w:tcBorders>
              <w:top w:val="nil"/>
              <w:left w:val="nil"/>
              <w:bottom w:val="single" w:color="auto" w:sz="4" w:space="0"/>
              <w:right w:val="single" w:color="auto" w:sz="4" w:space="0"/>
            </w:tcBorders>
            <w:vAlign w:val="center"/>
          </w:tcPr>
          <w:p w14:paraId="26C30E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8" w:type="pct"/>
            <w:tcBorders>
              <w:top w:val="nil"/>
              <w:left w:val="nil"/>
              <w:bottom w:val="single" w:color="auto" w:sz="4" w:space="0"/>
              <w:right w:val="single" w:color="auto" w:sz="4" w:space="0"/>
            </w:tcBorders>
            <w:vAlign w:val="center"/>
          </w:tcPr>
          <w:p w14:paraId="241FF9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3" w:type="pct"/>
            <w:tcBorders>
              <w:top w:val="nil"/>
              <w:left w:val="nil"/>
              <w:bottom w:val="single" w:color="auto" w:sz="4" w:space="0"/>
              <w:right w:val="single" w:color="auto" w:sz="4" w:space="0"/>
            </w:tcBorders>
            <w:vAlign w:val="center"/>
          </w:tcPr>
          <w:p w14:paraId="79B3A3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17" w:type="pct"/>
            <w:tcBorders>
              <w:top w:val="nil"/>
              <w:left w:val="nil"/>
              <w:bottom w:val="single" w:color="auto" w:sz="4" w:space="0"/>
              <w:right w:val="single" w:color="auto" w:sz="4" w:space="0"/>
            </w:tcBorders>
            <w:vAlign w:val="center"/>
          </w:tcPr>
          <w:p w14:paraId="7B87E2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7" w:type="pct"/>
            <w:tcBorders>
              <w:top w:val="nil"/>
              <w:left w:val="nil"/>
              <w:bottom w:val="single" w:color="auto" w:sz="4" w:space="0"/>
              <w:right w:val="single" w:color="auto" w:sz="4" w:space="0"/>
            </w:tcBorders>
            <w:vAlign w:val="center"/>
          </w:tcPr>
          <w:p w14:paraId="271B14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4" w:type="pct"/>
            <w:tcBorders>
              <w:top w:val="nil"/>
              <w:left w:val="nil"/>
              <w:bottom w:val="single" w:color="auto" w:sz="4" w:space="0"/>
              <w:right w:val="single" w:color="auto" w:sz="4" w:space="0"/>
            </w:tcBorders>
            <w:vAlign w:val="center"/>
          </w:tcPr>
          <w:p w14:paraId="54DCBC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2" w:type="pct"/>
            <w:tcBorders>
              <w:top w:val="nil"/>
              <w:left w:val="nil"/>
              <w:bottom w:val="single" w:color="auto" w:sz="4" w:space="0"/>
              <w:right w:val="single" w:color="auto" w:sz="4" w:space="0"/>
            </w:tcBorders>
            <w:vAlign w:val="center"/>
          </w:tcPr>
          <w:p w14:paraId="333DC6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3" w:type="pct"/>
            <w:tcBorders>
              <w:top w:val="nil"/>
              <w:left w:val="nil"/>
              <w:bottom w:val="single" w:color="auto" w:sz="4" w:space="0"/>
              <w:right w:val="single" w:color="auto" w:sz="4" w:space="0"/>
            </w:tcBorders>
            <w:vAlign w:val="center"/>
          </w:tcPr>
          <w:p w14:paraId="640198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9" w:type="pct"/>
            <w:tcBorders>
              <w:top w:val="nil"/>
              <w:left w:val="nil"/>
              <w:bottom w:val="single" w:color="auto" w:sz="4" w:space="0"/>
              <w:right w:val="single" w:color="auto" w:sz="4" w:space="0"/>
            </w:tcBorders>
            <w:vAlign w:val="center"/>
          </w:tcPr>
          <w:p w14:paraId="2C402B5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179F16B">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58A9531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7" w:type="pct"/>
            <w:vMerge w:val="restart"/>
            <w:tcBorders>
              <w:top w:val="nil"/>
              <w:left w:val="nil"/>
              <w:right w:val="single" w:color="auto" w:sz="4" w:space="0"/>
            </w:tcBorders>
            <w:vAlign w:val="center"/>
          </w:tcPr>
          <w:p w14:paraId="72E5F9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3" w:type="pct"/>
            <w:tcBorders>
              <w:top w:val="nil"/>
              <w:left w:val="nil"/>
              <w:bottom w:val="single" w:color="auto" w:sz="4" w:space="0"/>
              <w:right w:val="single" w:color="auto" w:sz="4" w:space="0"/>
            </w:tcBorders>
            <w:vAlign w:val="center"/>
          </w:tcPr>
          <w:p w14:paraId="7B9A6F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6EAE516B">
            <w:pPr>
              <w:rPr>
                <w:rFonts w:hint="eastAsia" w:ascii="宋体" w:hAnsi="宋体" w:eastAsia="宋体" w:cs="宋体"/>
                <w:color w:val="000000"/>
                <w:sz w:val="18"/>
                <w:szCs w:val="18"/>
              </w:rPr>
            </w:pPr>
            <w:r>
              <w:rPr>
                <w:rFonts w:hint="eastAsia" w:ascii="宋体" w:hAnsi="宋体" w:eastAsia="宋体" w:cs="宋体"/>
                <w:color w:val="000000"/>
                <w:sz w:val="18"/>
                <w:szCs w:val="18"/>
              </w:rPr>
              <w:t>补助乡镇数量</w:t>
            </w:r>
          </w:p>
        </w:tc>
        <w:tc>
          <w:tcPr>
            <w:tcW w:w="339" w:type="pct"/>
            <w:tcBorders>
              <w:top w:val="nil"/>
              <w:left w:val="nil"/>
              <w:bottom w:val="single" w:color="auto" w:sz="4" w:space="0"/>
              <w:right w:val="single" w:color="auto" w:sz="4" w:space="0"/>
            </w:tcBorders>
            <w:vAlign w:val="center"/>
          </w:tcPr>
          <w:p w14:paraId="307656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46E53E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=7个</w:t>
            </w:r>
          </w:p>
        </w:tc>
        <w:tc>
          <w:tcPr>
            <w:tcW w:w="338" w:type="pct"/>
            <w:tcBorders>
              <w:top w:val="nil"/>
              <w:left w:val="nil"/>
              <w:bottom w:val="single" w:color="auto" w:sz="4" w:space="0"/>
              <w:right w:val="single" w:color="auto" w:sz="4" w:space="0"/>
            </w:tcBorders>
            <w:vAlign w:val="center"/>
          </w:tcPr>
          <w:p w14:paraId="63AD6E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=7个</w:t>
            </w:r>
          </w:p>
        </w:tc>
        <w:tc>
          <w:tcPr>
            <w:tcW w:w="333" w:type="pct"/>
            <w:tcBorders>
              <w:top w:val="nil"/>
              <w:left w:val="nil"/>
              <w:bottom w:val="single" w:color="auto" w:sz="4" w:space="0"/>
              <w:right w:val="single" w:color="auto" w:sz="4" w:space="0"/>
            </w:tcBorders>
            <w:vAlign w:val="center"/>
          </w:tcPr>
          <w:p w14:paraId="0F7836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1D752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0C824B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7D8E02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BF4C6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086CB8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4DE691F3">
            <w:pPr>
              <w:jc w:val="center"/>
              <w:rPr>
                <w:rFonts w:hint="eastAsia" w:ascii="宋体" w:hAnsi="宋体" w:eastAsia="宋体" w:cs="宋体"/>
                <w:color w:val="000000"/>
                <w:sz w:val="18"/>
                <w:szCs w:val="18"/>
              </w:rPr>
            </w:pPr>
          </w:p>
        </w:tc>
      </w:tr>
      <w:tr w14:paraId="60BC4049">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5E2F5D0D">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5A11AAFD">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72D9A1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222897AB">
            <w:pPr>
              <w:rPr>
                <w:rFonts w:hint="eastAsia" w:ascii="宋体" w:hAnsi="宋体" w:eastAsia="宋体" w:cs="宋体"/>
                <w:color w:val="000000"/>
                <w:sz w:val="18"/>
                <w:szCs w:val="18"/>
              </w:rPr>
            </w:pPr>
            <w:r>
              <w:rPr>
                <w:rFonts w:hint="eastAsia" w:ascii="宋体" w:hAnsi="宋体" w:eastAsia="宋体" w:cs="宋体"/>
                <w:color w:val="000000"/>
                <w:sz w:val="18"/>
                <w:szCs w:val="18"/>
              </w:rPr>
              <w:t>合同签订个数</w:t>
            </w:r>
          </w:p>
        </w:tc>
        <w:tc>
          <w:tcPr>
            <w:tcW w:w="339" w:type="pct"/>
            <w:tcBorders>
              <w:top w:val="nil"/>
              <w:left w:val="nil"/>
              <w:bottom w:val="single" w:color="auto" w:sz="4" w:space="0"/>
              <w:right w:val="single" w:color="auto" w:sz="4" w:space="0"/>
            </w:tcBorders>
            <w:vAlign w:val="center"/>
          </w:tcPr>
          <w:p w14:paraId="0A4F41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1D8FD4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=3个</w:t>
            </w:r>
          </w:p>
        </w:tc>
        <w:tc>
          <w:tcPr>
            <w:tcW w:w="338" w:type="pct"/>
            <w:tcBorders>
              <w:top w:val="nil"/>
              <w:left w:val="nil"/>
              <w:bottom w:val="single" w:color="auto" w:sz="4" w:space="0"/>
              <w:right w:val="single" w:color="auto" w:sz="4" w:space="0"/>
            </w:tcBorders>
            <w:vAlign w:val="center"/>
          </w:tcPr>
          <w:p w14:paraId="31DE54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=3个</w:t>
            </w:r>
          </w:p>
        </w:tc>
        <w:tc>
          <w:tcPr>
            <w:tcW w:w="333" w:type="pct"/>
            <w:tcBorders>
              <w:top w:val="nil"/>
              <w:left w:val="nil"/>
              <w:bottom w:val="single" w:color="auto" w:sz="4" w:space="0"/>
              <w:right w:val="single" w:color="auto" w:sz="4" w:space="0"/>
            </w:tcBorders>
            <w:vAlign w:val="center"/>
          </w:tcPr>
          <w:p w14:paraId="395A9F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4ACE9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588A51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4D550C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52BE6F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6ECB5F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0B233531">
            <w:pPr>
              <w:jc w:val="center"/>
              <w:rPr>
                <w:rFonts w:hint="eastAsia" w:ascii="宋体" w:hAnsi="宋体" w:eastAsia="宋体" w:cs="宋体"/>
                <w:color w:val="000000"/>
                <w:sz w:val="18"/>
                <w:szCs w:val="18"/>
              </w:rPr>
            </w:pPr>
          </w:p>
        </w:tc>
      </w:tr>
      <w:tr w14:paraId="5BF088D1">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0FB2628">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2DF3AD1E">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784510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0C988AA0">
            <w:pPr>
              <w:rPr>
                <w:rFonts w:hint="eastAsia" w:ascii="宋体" w:hAnsi="宋体" w:eastAsia="宋体" w:cs="宋体"/>
                <w:color w:val="000000"/>
                <w:sz w:val="18"/>
                <w:szCs w:val="18"/>
              </w:rPr>
            </w:pPr>
            <w:r>
              <w:rPr>
                <w:rFonts w:hint="eastAsia" w:ascii="宋体" w:hAnsi="宋体" w:eastAsia="宋体" w:cs="宋体"/>
                <w:color w:val="000000"/>
                <w:sz w:val="18"/>
                <w:szCs w:val="18"/>
              </w:rPr>
              <w:t>协议签订准确率</w:t>
            </w:r>
          </w:p>
        </w:tc>
        <w:tc>
          <w:tcPr>
            <w:tcW w:w="339" w:type="pct"/>
            <w:tcBorders>
              <w:top w:val="nil"/>
              <w:left w:val="nil"/>
              <w:bottom w:val="single" w:color="auto" w:sz="4" w:space="0"/>
              <w:right w:val="single" w:color="auto" w:sz="4" w:space="0"/>
            </w:tcBorders>
            <w:vAlign w:val="center"/>
          </w:tcPr>
          <w:p w14:paraId="530AE5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641DF2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6BE6AE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BBE55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FE7C6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19BC9A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738E9C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103AC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44F4F8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04EB8F99">
            <w:pPr>
              <w:jc w:val="center"/>
              <w:rPr>
                <w:rFonts w:hint="eastAsia" w:ascii="宋体" w:hAnsi="宋体" w:eastAsia="宋体" w:cs="宋体"/>
                <w:color w:val="000000"/>
                <w:sz w:val="18"/>
                <w:szCs w:val="18"/>
              </w:rPr>
            </w:pPr>
          </w:p>
        </w:tc>
      </w:tr>
      <w:tr w14:paraId="3F80F6A2">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5BDA885">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47F6D40D">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6331D9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0A710699">
            <w:pPr>
              <w:rPr>
                <w:rFonts w:hint="eastAsia" w:ascii="宋体" w:hAnsi="宋体" w:eastAsia="宋体" w:cs="宋体"/>
                <w:color w:val="000000"/>
                <w:sz w:val="18"/>
                <w:szCs w:val="18"/>
              </w:rPr>
            </w:pPr>
            <w:r>
              <w:rPr>
                <w:rFonts w:hint="eastAsia" w:ascii="宋体" w:hAnsi="宋体" w:eastAsia="宋体" w:cs="宋体"/>
                <w:color w:val="000000"/>
                <w:sz w:val="18"/>
                <w:szCs w:val="18"/>
              </w:rPr>
              <w:t>合同签订准确率</w:t>
            </w:r>
          </w:p>
        </w:tc>
        <w:tc>
          <w:tcPr>
            <w:tcW w:w="339" w:type="pct"/>
            <w:tcBorders>
              <w:top w:val="nil"/>
              <w:left w:val="nil"/>
              <w:bottom w:val="single" w:color="auto" w:sz="4" w:space="0"/>
              <w:right w:val="single" w:color="auto" w:sz="4" w:space="0"/>
            </w:tcBorders>
            <w:vAlign w:val="center"/>
          </w:tcPr>
          <w:p w14:paraId="2D16D6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604016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15ADA1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10CE4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269AB8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18AC1B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1D9740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EA2B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5368E5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7A3E34EA">
            <w:pPr>
              <w:jc w:val="center"/>
              <w:rPr>
                <w:rFonts w:hint="eastAsia" w:ascii="宋体" w:hAnsi="宋体" w:eastAsia="宋体" w:cs="宋体"/>
                <w:color w:val="000000"/>
                <w:sz w:val="18"/>
                <w:szCs w:val="18"/>
              </w:rPr>
            </w:pPr>
          </w:p>
        </w:tc>
      </w:tr>
      <w:tr w14:paraId="5E7CC82D">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518287FB">
            <w:pPr>
              <w:rPr>
                <w:rFonts w:hint="eastAsia"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17A78DF0">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11FCFD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318DD63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补助资金发放完成时间</w:t>
            </w:r>
          </w:p>
        </w:tc>
        <w:tc>
          <w:tcPr>
            <w:tcW w:w="339" w:type="pct"/>
            <w:tcBorders>
              <w:top w:val="nil"/>
              <w:left w:val="nil"/>
              <w:bottom w:val="single" w:color="auto" w:sz="4" w:space="0"/>
              <w:right w:val="single" w:color="auto" w:sz="4" w:space="0"/>
            </w:tcBorders>
            <w:vAlign w:val="center"/>
          </w:tcPr>
          <w:p w14:paraId="295F4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470BA3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12月20日前</w:t>
            </w:r>
          </w:p>
        </w:tc>
        <w:tc>
          <w:tcPr>
            <w:tcW w:w="338" w:type="pct"/>
            <w:tcBorders>
              <w:top w:val="nil"/>
              <w:left w:val="nil"/>
              <w:bottom w:val="single" w:color="auto" w:sz="4" w:space="0"/>
              <w:right w:val="single" w:color="auto" w:sz="4" w:space="0"/>
            </w:tcBorders>
            <w:vAlign w:val="center"/>
          </w:tcPr>
          <w:p w14:paraId="24834A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=12月20日前</w:t>
            </w:r>
          </w:p>
        </w:tc>
        <w:tc>
          <w:tcPr>
            <w:tcW w:w="333" w:type="pct"/>
            <w:tcBorders>
              <w:top w:val="nil"/>
              <w:left w:val="nil"/>
              <w:bottom w:val="single" w:color="auto" w:sz="4" w:space="0"/>
              <w:right w:val="single" w:color="auto" w:sz="4" w:space="0"/>
            </w:tcBorders>
            <w:vAlign w:val="center"/>
          </w:tcPr>
          <w:p w14:paraId="5BD4F3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38A18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33E154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6626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73799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5AFFF1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27E6DB6E">
            <w:pPr>
              <w:jc w:val="center"/>
              <w:rPr>
                <w:rFonts w:hint="eastAsia" w:ascii="宋体" w:hAnsi="宋体" w:eastAsia="宋体" w:cs="宋体"/>
                <w:color w:val="000000"/>
                <w:sz w:val="18"/>
                <w:szCs w:val="18"/>
              </w:rPr>
            </w:pPr>
          </w:p>
        </w:tc>
      </w:tr>
      <w:tr w14:paraId="1077C433">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74184F8B">
            <w:pPr>
              <w:rPr>
                <w:rFonts w:hint="eastAsia" w:ascii="宋体" w:hAnsi="宋体" w:eastAsia="宋体" w:cs="宋体"/>
                <w:color w:val="000000"/>
                <w:sz w:val="18"/>
                <w:szCs w:val="18"/>
              </w:rPr>
            </w:pPr>
          </w:p>
        </w:tc>
        <w:tc>
          <w:tcPr>
            <w:tcW w:w="337" w:type="pct"/>
            <w:vMerge w:val="restart"/>
            <w:tcBorders>
              <w:top w:val="nil"/>
              <w:left w:val="nil"/>
              <w:right w:val="single" w:color="auto" w:sz="4" w:space="0"/>
            </w:tcBorders>
            <w:vAlign w:val="center"/>
          </w:tcPr>
          <w:p w14:paraId="63B088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3" w:type="pct"/>
            <w:tcBorders>
              <w:top w:val="nil"/>
              <w:left w:val="nil"/>
              <w:bottom w:val="single" w:color="auto" w:sz="4" w:space="0"/>
              <w:right w:val="single" w:color="auto" w:sz="4" w:space="0"/>
            </w:tcBorders>
            <w:vAlign w:val="center"/>
          </w:tcPr>
          <w:p w14:paraId="06752E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587B15F9">
            <w:pPr>
              <w:rPr>
                <w:rFonts w:hint="eastAsia" w:ascii="宋体" w:hAnsi="宋体" w:eastAsia="宋体" w:cs="宋体"/>
                <w:color w:val="000000"/>
                <w:sz w:val="18"/>
                <w:szCs w:val="18"/>
              </w:rPr>
            </w:pPr>
            <w:r>
              <w:rPr>
                <w:rFonts w:hint="eastAsia" w:ascii="宋体" w:hAnsi="宋体" w:eastAsia="宋体" w:cs="宋体"/>
                <w:color w:val="000000"/>
                <w:sz w:val="18"/>
                <w:szCs w:val="18"/>
              </w:rPr>
              <w:t>乡镇补助经费</w:t>
            </w:r>
          </w:p>
        </w:tc>
        <w:tc>
          <w:tcPr>
            <w:tcW w:w="339" w:type="pct"/>
            <w:tcBorders>
              <w:top w:val="nil"/>
              <w:left w:val="nil"/>
              <w:bottom w:val="single" w:color="auto" w:sz="4" w:space="0"/>
              <w:right w:val="single" w:color="auto" w:sz="4" w:space="0"/>
            </w:tcBorders>
            <w:vAlign w:val="center"/>
          </w:tcPr>
          <w:p w14:paraId="0506E6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74C285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=57万元</w:t>
            </w:r>
          </w:p>
        </w:tc>
        <w:tc>
          <w:tcPr>
            <w:tcW w:w="338" w:type="pct"/>
            <w:tcBorders>
              <w:top w:val="nil"/>
              <w:left w:val="nil"/>
              <w:bottom w:val="single" w:color="auto" w:sz="4" w:space="0"/>
              <w:right w:val="single" w:color="auto" w:sz="4" w:space="0"/>
            </w:tcBorders>
            <w:vAlign w:val="center"/>
          </w:tcPr>
          <w:p w14:paraId="658703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=57万元</w:t>
            </w:r>
          </w:p>
        </w:tc>
        <w:tc>
          <w:tcPr>
            <w:tcW w:w="333" w:type="pct"/>
            <w:tcBorders>
              <w:top w:val="nil"/>
              <w:left w:val="nil"/>
              <w:bottom w:val="single" w:color="auto" w:sz="4" w:space="0"/>
              <w:right w:val="single" w:color="auto" w:sz="4" w:space="0"/>
            </w:tcBorders>
            <w:vAlign w:val="center"/>
          </w:tcPr>
          <w:p w14:paraId="07AFF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59F47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4A7B00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BCAAA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5906AC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7007F5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7C4F7CE8">
            <w:pPr>
              <w:jc w:val="center"/>
              <w:rPr>
                <w:rFonts w:hint="eastAsia" w:ascii="宋体" w:hAnsi="宋体" w:eastAsia="宋体" w:cs="宋体"/>
                <w:color w:val="000000"/>
                <w:sz w:val="18"/>
                <w:szCs w:val="18"/>
              </w:rPr>
            </w:pPr>
          </w:p>
        </w:tc>
      </w:tr>
      <w:tr w14:paraId="5436E006">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5DAE8C00">
            <w:pPr>
              <w:rPr>
                <w:rFonts w:hint="eastAsia"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0C3DD40A">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3AFC36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78C9BF9E">
            <w:pPr>
              <w:rPr>
                <w:rFonts w:hint="eastAsia" w:ascii="宋体" w:hAnsi="宋体" w:eastAsia="宋体" w:cs="宋体"/>
                <w:color w:val="000000"/>
                <w:sz w:val="18"/>
                <w:szCs w:val="18"/>
              </w:rPr>
            </w:pPr>
            <w:r>
              <w:rPr>
                <w:rFonts w:hint="eastAsia" w:ascii="宋体" w:hAnsi="宋体" w:eastAsia="宋体" w:cs="宋体"/>
                <w:color w:val="000000"/>
                <w:sz w:val="18"/>
                <w:szCs w:val="18"/>
              </w:rPr>
              <w:t>项目实施支出成本</w:t>
            </w:r>
          </w:p>
        </w:tc>
        <w:tc>
          <w:tcPr>
            <w:tcW w:w="339" w:type="pct"/>
            <w:tcBorders>
              <w:top w:val="nil"/>
              <w:left w:val="nil"/>
              <w:bottom w:val="single" w:color="auto" w:sz="4" w:space="0"/>
              <w:right w:val="single" w:color="auto" w:sz="4" w:space="0"/>
            </w:tcBorders>
            <w:vAlign w:val="center"/>
          </w:tcPr>
          <w:p w14:paraId="6EC902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30724E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=3万</w:t>
            </w:r>
          </w:p>
        </w:tc>
        <w:tc>
          <w:tcPr>
            <w:tcW w:w="338" w:type="pct"/>
            <w:tcBorders>
              <w:top w:val="nil"/>
              <w:left w:val="nil"/>
              <w:bottom w:val="single" w:color="auto" w:sz="4" w:space="0"/>
              <w:right w:val="single" w:color="auto" w:sz="4" w:space="0"/>
            </w:tcBorders>
            <w:vAlign w:val="center"/>
          </w:tcPr>
          <w:p w14:paraId="2C2764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=3万</w:t>
            </w:r>
          </w:p>
        </w:tc>
        <w:tc>
          <w:tcPr>
            <w:tcW w:w="333" w:type="pct"/>
            <w:tcBorders>
              <w:top w:val="nil"/>
              <w:left w:val="nil"/>
              <w:bottom w:val="single" w:color="auto" w:sz="4" w:space="0"/>
              <w:right w:val="single" w:color="auto" w:sz="4" w:space="0"/>
            </w:tcBorders>
            <w:vAlign w:val="center"/>
          </w:tcPr>
          <w:p w14:paraId="7E3F42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5BDD63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573170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1EC1A4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05CC7F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14220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30E82096">
            <w:pPr>
              <w:jc w:val="center"/>
              <w:rPr>
                <w:rFonts w:hint="eastAsia" w:ascii="宋体" w:hAnsi="宋体" w:eastAsia="宋体" w:cs="宋体"/>
                <w:color w:val="000000"/>
                <w:sz w:val="18"/>
                <w:szCs w:val="18"/>
              </w:rPr>
            </w:pPr>
          </w:p>
        </w:tc>
      </w:tr>
      <w:tr w14:paraId="276C2C07">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583D3599">
            <w:pPr>
              <w:rPr>
                <w:rFonts w:hint="eastAsia"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3F3E0C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3" w:type="pct"/>
            <w:tcBorders>
              <w:top w:val="nil"/>
              <w:left w:val="nil"/>
              <w:bottom w:val="single" w:color="auto" w:sz="4" w:space="0"/>
              <w:right w:val="single" w:color="auto" w:sz="4" w:space="0"/>
            </w:tcBorders>
            <w:vAlign w:val="center"/>
          </w:tcPr>
          <w:p w14:paraId="4A6882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265BFE19">
            <w:pPr>
              <w:rPr>
                <w:rFonts w:hint="eastAsia" w:ascii="宋体" w:hAnsi="宋体" w:eastAsia="宋体" w:cs="宋体"/>
                <w:color w:val="000000"/>
                <w:sz w:val="18"/>
                <w:szCs w:val="18"/>
              </w:rPr>
            </w:pPr>
            <w:r>
              <w:rPr>
                <w:rFonts w:hint="eastAsia" w:ascii="宋体" w:hAnsi="宋体" w:eastAsia="宋体" w:cs="宋体"/>
                <w:color w:val="000000"/>
                <w:sz w:val="18"/>
                <w:szCs w:val="18"/>
              </w:rPr>
              <w:t>地下水水位下降有效控制</w:t>
            </w:r>
          </w:p>
        </w:tc>
        <w:tc>
          <w:tcPr>
            <w:tcW w:w="339" w:type="pct"/>
            <w:tcBorders>
              <w:top w:val="nil"/>
              <w:left w:val="nil"/>
              <w:bottom w:val="single" w:color="auto" w:sz="4" w:space="0"/>
              <w:right w:val="single" w:color="auto" w:sz="4" w:space="0"/>
            </w:tcBorders>
            <w:vAlign w:val="center"/>
          </w:tcPr>
          <w:p w14:paraId="322FC0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19" w:type="pct"/>
            <w:tcBorders>
              <w:top w:val="nil"/>
              <w:left w:val="nil"/>
              <w:bottom w:val="single" w:color="auto" w:sz="4" w:space="0"/>
              <w:right w:val="single" w:color="auto" w:sz="4" w:space="0"/>
            </w:tcBorders>
            <w:vAlign w:val="center"/>
          </w:tcPr>
          <w:p w14:paraId="6CE78A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有效控制</w:t>
            </w:r>
          </w:p>
        </w:tc>
        <w:tc>
          <w:tcPr>
            <w:tcW w:w="338" w:type="pct"/>
            <w:tcBorders>
              <w:top w:val="nil"/>
              <w:left w:val="nil"/>
              <w:bottom w:val="single" w:color="auto" w:sz="4" w:space="0"/>
              <w:right w:val="single" w:color="auto" w:sz="4" w:space="0"/>
            </w:tcBorders>
            <w:vAlign w:val="center"/>
          </w:tcPr>
          <w:p w14:paraId="09C065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有效控制</w:t>
            </w:r>
          </w:p>
        </w:tc>
        <w:tc>
          <w:tcPr>
            <w:tcW w:w="333" w:type="pct"/>
            <w:tcBorders>
              <w:top w:val="nil"/>
              <w:left w:val="nil"/>
              <w:bottom w:val="single" w:color="auto" w:sz="4" w:space="0"/>
              <w:right w:val="single" w:color="auto" w:sz="4" w:space="0"/>
            </w:tcBorders>
            <w:vAlign w:val="center"/>
          </w:tcPr>
          <w:p w14:paraId="34F7E2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24C285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47" w:type="pct"/>
            <w:tcBorders>
              <w:top w:val="nil"/>
              <w:left w:val="nil"/>
              <w:bottom w:val="single" w:color="auto" w:sz="4" w:space="0"/>
              <w:right w:val="single" w:color="auto" w:sz="4" w:space="0"/>
            </w:tcBorders>
            <w:vAlign w:val="center"/>
          </w:tcPr>
          <w:p w14:paraId="557D61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4" w:type="pct"/>
            <w:tcBorders>
              <w:top w:val="nil"/>
              <w:left w:val="nil"/>
              <w:bottom w:val="single" w:color="auto" w:sz="4" w:space="0"/>
              <w:right w:val="single" w:color="auto" w:sz="4" w:space="0"/>
            </w:tcBorders>
            <w:vAlign w:val="center"/>
          </w:tcPr>
          <w:p w14:paraId="46229D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390ED5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3" w:type="pct"/>
            <w:tcBorders>
              <w:top w:val="nil"/>
              <w:left w:val="nil"/>
              <w:bottom w:val="single" w:color="auto" w:sz="4" w:space="0"/>
              <w:right w:val="single" w:color="auto" w:sz="4" w:space="0"/>
            </w:tcBorders>
            <w:vAlign w:val="center"/>
          </w:tcPr>
          <w:p w14:paraId="092D85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3255FA32">
            <w:pPr>
              <w:jc w:val="center"/>
              <w:rPr>
                <w:rFonts w:hint="eastAsia" w:ascii="宋体" w:hAnsi="宋体" w:eastAsia="宋体" w:cs="宋体"/>
                <w:color w:val="000000"/>
                <w:sz w:val="18"/>
                <w:szCs w:val="18"/>
              </w:rPr>
            </w:pPr>
          </w:p>
        </w:tc>
      </w:tr>
      <w:tr w14:paraId="21914D89">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7BE1D6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21F06F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1FFA4B19">
            <w:pPr>
              <w:jc w:val="center"/>
              <w:rPr>
                <w:rFonts w:hint="eastAsia" w:ascii="宋体" w:hAnsi="宋体" w:eastAsia="宋体" w:cs="宋体"/>
                <w:color w:val="000000"/>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601FB77A">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3BCEA268">
            <w:pPr>
              <w:jc w:val="center"/>
              <w:rPr>
                <w:rFonts w:hint="eastAsia" w:ascii="宋体" w:hAnsi="宋体" w:eastAsia="宋体" w:cs="宋体"/>
                <w:color w:val="000000"/>
                <w:sz w:val="18"/>
                <w:szCs w:val="18"/>
              </w:rPr>
            </w:pPr>
          </w:p>
        </w:tc>
        <w:tc>
          <w:tcPr>
            <w:tcW w:w="317" w:type="pct"/>
            <w:tcBorders>
              <w:top w:val="single" w:color="auto" w:sz="4" w:space="0"/>
              <w:left w:val="nil"/>
              <w:bottom w:val="single" w:color="auto" w:sz="4" w:space="0"/>
              <w:right w:val="single" w:color="auto" w:sz="4" w:space="0"/>
            </w:tcBorders>
            <w:vAlign w:val="center"/>
          </w:tcPr>
          <w:p w14:paraId="01393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0AED2B6A">
            <w:pP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47A74398">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76D90B80">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7F9B1798">
            <w:pPr>
              <w:rPr>
                <w:rFonts w:hint="eastAsia" w:ascii="宋体" w:hAnsi="宋体" w:eastAsia="宋体" w:cs="宋体"/>
                <w:color w:val="000000"/>
                <w:sz w:val="18"/>
                <w:szCs w:val="18"/>
              </w:rPr>
            </w:pPr>
          </w:p>
        </w:tc>
        <w:tc>
          <w:tcPr>
            <w:tcW w:w="529" w:type="pct"/>
            <w:tcBorders>
              <w:top w:val="single" w:color="auto" w:sz="4" w:space="0"/>
              <w:left w:val="nil"/>
              <w:bottom w:val="single" w:color="auto" w:sz="4" w:space="0"/>
              <w:right w:val="single" w:color="auto" w:sz="4" w:space="0"/>
            </w:tcBorders>
            <w:vAlign w:val="center"/>
          </w:tcPr>
          <w:p w14:paraId="7BE52A36">
            <w:pPr>
              <w:rPr>
                <w:rFonts w:hint="eastAsia" w:ascii="宋体" w:hAnsi="宋体" w:eastAsia="宋体" w:cs="宋体"/>
                <w:color w:val="000000"/>
                <w:sz w:val="18"/>
                <w:szCs w:val="18"/>
              </w:rPr>
            </w:pPr>
          </w:p>
        </w:tc>
      </w:tr>
    </w:tbl>
    <w:p w14:paraId="5E58343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8D9268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32BF2F01">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3DA915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1AA478E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昌州财农[2022]40号2022年智能计量设备运行维护费</w:t>
            </w:r>
          </w:p>
        </w:tc>
      </w:tr>
      <w:tr w14:paraId="6ACBD35F">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6B7B01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68EAA2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奇台县水政监察大队</w:t>
            </w:r>
          </w:p>
        </w:tc>
        <w:tc>
          <w:tcPr>
            <w:tcW w:w="708" w:type="pct"/>
            <w:gridSpan w:val="2"/>
            <w:tcBorders>
              <w:top w:val="single" w:color="auto" w:sz="4" w:space="0"/>
              <w:left w:val="nil"/>
              <w:bottom w:val="single" w:color="auto" w:sz="4" w:space="0"/>
              <w:right w:val="single" w:color="auto" w:sz="4" w:space="0"/>
            </w:tcBorders>
            <w:vAlign w:val="center"/>
          </w:tcPr>
          <w:p w14:paraId="0C6CBF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42EBCA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奇台县水政监察大队</w:t>
            </w:r>
          </w:p>
        </w:tc>
      </w:tr>
      <w:tr w14:paraId="0059ADE6">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2878D3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3E43B1FE">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461034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76CBC8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2E93C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48CEE1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43A592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41F8C9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73B8C0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B710B74">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AD10B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10BDA0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54.12</w:t>
            </w:r>
          </w:p>
        </w:tc>
        <w:tc>
          <w:tcPr>
            <w:tcW w:w="982" w:type="pct"/>
            <w:gridSpan w:val="3"/>
            <w:tcBorders>
              <w:top w:val="single" w:color="auto" w:sz="4" w:space="0"/>
              <w:left w:val="nil"/>
              <w:bottom w:val="single" w:color="auto" w:sz="4" w:space="0"/>
              <w:right w:val="single" w:color="auto" w:sz="4" w:space="0"/>
            </w:tcBorders>
            <w:vAlign w:val="center"/>
          </w:tcPr>
          <w:p w14:paraId="55CB1F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54.12</w:t>
            </w:r>
          </w:p>
        </w:tc>
        <w:tc>
          <w:tcPr>
            <w:tcW w:w="708" w:type="pct"/>
            <w:gridSpan w:val="2"/>
            <w:tcBorders>
              <w:top w:val="single" w:color="auto" w:sz="4" w:space="0"/>
              <w:left w:val="nil"/>
              <w:bottom w:val="single" w:color="auto" w:sz="4" w:space="0"/>
              <w:right w:val="single" w:color="auto" w:sz="4" w:space="0"/>
            </w:tcBorders>
            <w:vAlign w:val="center"/>
          </w:tcPr>
          <w:p w14:paraId="6C71B8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54.12</w:t>
            </w:r>
          </w:p>
        </w:tc>
        <w:tc>
          <w:tcPr>
            <w:tcW w:w="671" w:type="pct"/>
            <w:gridSpan w:val="2"/>
            <w:tcBorders>
              <w:top w:val="nil"/>
              <w:left w:val="nil"/>
              <w:bottom w:val="single" w:color="auto" w:sz="4" w:space="0"/>
              <w:right w:val="single" w:color="auto" w:sz="4" w:space="0"/>
            </w:tcBorders>
            <w:vAlign w:val="center"/>
          </w:tcPr>
          <w:p w14:paraId="61C169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3E775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192C9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D0E5911">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3276A3B5">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C732A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3921F4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54.12</w:t>
            </w:r>
          </w:p>
        </w:tc>
        <w:tc>
          <w:tcPr>
            <w:tcW w:w="982" w:type="pct"/>
            <w:gridSpan w:val="3"/>
            <w:tcBorders>
              <w:top w:val="single" w:color="auto" w:sz="4" w:space="0"/>
              <w:left w:val="nil"/>
              <w:bottom w:val="single" w:color="auto" w:sz="4" w:space="0"/>
              <w:right w:val="single" w:color="auto" w:sz="4" w:space="0"/>
            </w:tcBorders>
            <w:vAlign w:val="center"/>
          </w:tcPr>
          <w:p w14:paraId="669FEF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54.12</w:t>
            </w:r>
          </w:p>
        </w:tc>
        <w:tc>
          <w:tcPr>
            <w:tcW w:w="708" w:type="pct"/>
            <w:gridSpan w:val="2"/>
            <w:tcBorders>
              <w:top w:val="single" w:color="auto" w:sz="4" w:space="0"/>
              <w:left w:val="nil"/>
              <w:bottom w:val="single" w:color="auto" w:sz="4" w:space="0"/>
              <w:right w:val="single" w:color="auto" w:sz="4" w:space="0"/>
            </w:tcBorders>
            <w:vAlign w:val="center"/>
          </w:tcPr>
          <w:p w14:paraId="20BCAC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54.12</w:t>
            </w:r>
          </w:p>
        </w:tc>
        <w:tc>
          <w:tcPr>
            <w:tcW w:w="671" w:type="pct"/>
            <w:gridSpan w:val="2"/>
            <w:tcBorders>
              <w:top w:val="nil"/>
              <w:left w:val="nil"/>
              <w:bottom w:val="single" w:color="auto" w:sz="4" w:space="0"/>
              <w:right w:val="single" w:color="auto" w:sz="4" w:space="0"/>
            </w:tcBorders>
            <w:vAlign w:val="center"/>
          </w:tcPr>
          <w:p w14:paraId="0142F1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03ED4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578F9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AB3B09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A7BA3A1">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44154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095310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52AF0C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209284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2FF8CC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6BF65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79FDB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5E8B538">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1A8944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1F199B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48037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1E198D4">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3B7CFCB6">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44F7A40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根据昌州财农[2022]40号文件《关于下达2022年中央农业生产和水利救灾资金预算（第八批）的通知》精神，化解债务1笔，有效保障单位良好信用。</w:t>
            </w:r>
          </w:p>
        </w:tc>
        <w:tc>
          <w:tcPr>
            <w:tcW w:w="2559" w:type="pct"/>
            <w:gridSpan w:val="7"/>
            <w:tcBorders>
              <w:top w:val="single" w:color="auto" w:sz="4" w:space="0"/>
              <w:left w:val="nil"/>
              <w:bottom w:val="single" w:color="auto" w:sz="4" w:space="0"/>
              <w:right w:val="single" w:color="auto" w:sz="4" w:space="0"/>
            </w:tcBorders>
            <w:vAlign w:val="center"/>
          </w:tcPr>
          <w:p w14:paraId="6B5BF56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已按照支付欠款资金化解债务1笔，有效保证单位良好信用。</w:t>
            </w:r>
          </w:p>
        </w:tc>
      </w:tr>
      <w:tr w14:paraId="2E8F1EA1">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6B0C9F9">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740F7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262C8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42B7A3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9F521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C00BD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737FD9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AB733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314626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6B4E2D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13838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4E3F7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88AA2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097A294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FB8E852">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4396CE0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0B6B67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277C5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37E0CBC4">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45F5F9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8678D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=1笔</w:t>
            </w:r>
          </w:p>
        </w:tc>
        <w:tc>
          <w:tcPr>
            <w:tcW w:w="333" w:type="pct"/>
            <w:tcBorders>
              <w:top w:val="nil"/>
              <w:left w:val="nil"/>
              <w:bottom w:val="single" w:color="auto" w:sz="4" w:space="0"/>
              <w:right w:val="single" w:color="auto" w:sz="4" w:space="0"/>
            </w:tcBorders>
            <w:vAlign w:val="center"/>
          </w:tcPr>
          <w:p w14:paraId="07B00A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=1笔</w:t>
            </w:r>
          </w:p>
        </w:tc>
        <w:tc>
          <w:tcPr>
            <w:tcW w:w="328" w:type="pct"/>
            <w:tcBorders>
              <w:top w:val="nil"/>
              <w:left w:val="nil"/>
              <w:bottom w:val="single" w:color="auto" w:sz="4" w:space="0"/>
              <w:right w:val="single" w:color="auto" w:sz="4" w:space="0"/>
            </w:tcBorders>
            <w:vAlign w:val="center"/>
          </w:tcPr>
          <w:p w14:paraId="0799AF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DDDB2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D18D9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D6433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823BA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DA668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43F4C1BA">
            <w:pPr>
              <w:jc w:val="center"/>
              <w:rPr>
                <w:rFonts w:hint="eastAsia" w:ascii="宋体" w:hAnsi="宋体" w:eastAsia="宋体" w:cs="宋体"/>
                <w:color w:val="000000"/>
                <w:sz w:val="18"/>
                <w:szCs w:val="18"/>
              </w:rPr>
            </w:pPr>
          </w:p>
        </w:tc>
      </w:tr>
      <w:tr w14:paraId="6C468F9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3B54CE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D54462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51554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6E48AA9C">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74C606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C01AD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7697B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4B707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CB9DD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17490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FE520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42962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2C6AA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A96F51F">
            <w:pPr>
              <w:jc w:val="center"/>
              <w:rPr>
                <w:rFonts w:hint="eastAsia" w:ascii="宋体" w:hAnsi="宋体" w:eastAsia="宋体" w:cs="宋体"/>
                <w:color w:val="000000"/>
                <w:sz w:val="18"/>
                <w:szCs w:val="18"/>
              </w:rPr>
            </w:pPr>
          </w:p>
        </w:tc>
      </w:tr>
      <w:tr w14:paraId="2D44549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A003C5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617F2B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FC7C5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E01E933">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1A5C0E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8B7C1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C9A35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3002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7A32C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9DEA4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D58B26A">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EC15B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ACE29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21C2857">
            <w:pPr>
              <w:jc w:val="center"/>
              <w:rPr>
                <w:rFonts w:hint="eastAsia" w:ascii="宋体" w:hAnsi="宋体" w:eastAsia="宋体" w:cs="宋体"/>
                <w:color w:val="000000"/>
                <w:sz w:val="18"/>
                <w:szCs w:val="18"/>
              </w:rPr>
            </w:pPr>
          </w:p>
        </w:tc>
      </w:tr>
      <w:tr w14:paraId="169A38E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16E0D88">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609EABA">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57ED6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0E0A4D3A">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3C416F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54F37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B0826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2AEB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4D9DE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53387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4EA8F0F">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57F1D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8ADA6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8C7732B">
            <w:pPr>
              <w:jc w:val="center"/>
              <w:rPr>
                <w:rFonts w:hint="eastAsia" w:ascii="宋体" w:hAnsi="宋体" w:eastAsia="宋体" w:cs="宋体"/>
                <w:color w:val="000000"/>
                <w:sz w:val="18"/>
                <w:szCs w:val="18"/>
              </w:rPr>
            </w:pPr>
          </w:p>
        </w:tc>
      </w:tr>
      <w:tr w14:paraId="59500B5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585A832">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3925B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00CA7F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739A6F53">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06ADC7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3C1D0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D6D2C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0548B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68AB7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2B2A1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9F356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74974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805D3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62906A6F">
            <w:pPr>
              <w:jc w:val="center"/>
              <w:rPr>
                <w:rFonts w:hint="eastAsia" w:ascii="宋体" w:hAnsi="宋体" w:eastAsia="宋体" w:cs="宋体"/>
                <w:color w:val="000000"/>
                <w:sz w:val="18"/>
                <w:szCs w:val="18"/>
              </w:rPr>
            </w:pPr>
          </w:p>
        </w:tc>
      </w:tr>
      <w:tr w14:paraId="121716A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ED04C2A">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806EA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4C6326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12BCA5CE">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6A3183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88765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4D56B6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12AB4C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095B3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A0146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DE9DB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F85A2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54C9D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5EB2F2BD">
            <w:pPr>
              <w:jc w:val="center"/>
              <w:rPr>
                <w:rFonts w:hint="eastAsia" w:ascii="宋体" w:hAnsi="宋体" w:eastAsia="宋体" w:cs="宋体"/>
                <w:color w:val="000000"/>
                <w:sz w:val="18"/>
                <w:szCs w:val="18"/>
              </w:rPr>
            </w:pPr>
          </w:p>
        </w:tc>
      </w:tr>
      <w:tr w14:paraId="3479B023">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1ACCBDEA">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B9E8B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C4D4C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4C7CDBEF">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6D0E4F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905BB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3" w:type="pct"/>
            <w:tcBorders>
              <w:top w:val="nil"/>
              <w:left w:val="nil"/>
              <w:bottom w:val="single" w:color="auto" w:sz="4" w:space="0"/>
              <w:right w:val="single" w:color="auto" w:sz="4" w:space="0"/>
            </w:tcBorders>
            <w:vAlign w:val="center"/>
          </w:tcPr>
          <w:p w14:paraId="4BE5DF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4CC896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63E54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02A07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7708D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3FED8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22B2A4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A4CEF00">
            <w:pPr>
              <w:jc w:val="center"/>
              <w:rPr>
                <w:rFonts w:hint="eastAsia" w:ascii="宋体" w:hAnsi="宋体" w:eastAsia="宋体" w:cs="宋体"/>
                <w:color w:val="000000"/>
                <w:sz w:val="18"/>
                <w:szCs w:val="18"/>
              </w:rPr>
            </w:pPr>
          </w:p>
        </w:tc>
      </w:tr>
      <w:tr w14:paraId="56B3E54D">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3B6700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797B2F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05E85CBA">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3E39EF76">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FA45BEE">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6F67A0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5736CA8">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81C5EBE">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236B86A7">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F197029">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DF0B747">
            <w:pPr>
              <w:rPr>
                <w:rFonts w:hint="eastAsia" w:ascii="宋体" w:hAnsi="宋体" w:eastAsia="宋体" w:cs="宋体"/>
                <w:color w:val="000000"/>
                <w:sz w:val="18"/>
                <w:szCs w:val="18"/>
              </w:rPr>
            </w:pPr>
          </w:p>
        </w:tc>
      </w:tr>
    </w:tbl>
    <w:p w14:paraId="4E7091E4">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F99A64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2"/>
        <w:gridCol w:w="546"/>
        <w:gridCol w:w="800"/>
        <w:gridCol w:w="558"/>
        <w:gridCol w:w="666"/>
        <w:gridCol w:w="666"/>
        <w:gridCol w:w="756"/>
        <w:gridCol w:w="666"/>
        <w:gridCol w:w="572"/>
        <w:gridCol w:w="549"/>
        <w:gridCol w:w="545"/>
        <w:gridCol w:w="547"/>
        <w:gridCol w:w="887"/>
      </w:tblGrid>
      <w:tr w14:paraId="759CAD1E">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548CD2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39726BC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昌州财农[2023]55号水资源刚性约束与调度（中央水利发展资金）</w:t>
            </w:r>
          </w:p>
        </w:tc>
      </w:tr>
      <w:tr w14:paraId="3132A7E7">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16AA48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1DA14A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奇台县水政监察大队</w:t>
            </w:r>
          </w:p>
        </w:tc>
        <w:tc>
          <w:tcPr>
            <w:tcW w:w="666" w:type="pct"/>
            <w:gridSpan w:val="2"/>
            <w:tcBorders>
              <w:top w:val="single" w:color="auto" w:sz="4" w:space="0"/>
              <w:left w:val="nil"/>
              <w:bottom w:val="single" w:color="auto" w:sz="4" w:space="0"/>
              <w:right w:val="single" w:color="auto" w:sz="4" w:space="0"/>
            </w:tcBorders>
            <w:vAlign w:val="center"/>
          </w:tcPr>
          <w:p w14:paraId="4FB81A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64D743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奇台县水政监察大队</w:t>
            </w:r>
          </w:p>
        </w:tc>
      </w:tr>
      <w:tr w14:paraId="23956544">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7F600C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22C3E4F3">
            <w:pPr>
              <w:jc w:val="center"/>
              <w:rPr>
                <w:rFonts w:hint="eastAsia"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5032FA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4EB33C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4D1D2E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7380D3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302E8D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04FAC6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87E48A5">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355AA284">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711980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7A5E44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150.00</w:t>
            </w:r>
          </w:p>
        </w:tc>
        <w:tc>
          <w:tcPr>
            <w:tcW w:w="992" w:type="pct"/>
            <w:gridSpan w:val="3"/>
            <w:tcBorders>
              <w:top w:val="single" w:color="auto" w:sz="4" w:space="0"/>
              <w:left w:val="nil"/>
              <w:bottom w:val="single" w:color="auto" w:sz="4" w:space="0"/>
              <w:right w:val="single" w:color="auto" w:sz="4" w:space="0"/>
            </w:tcBorders>
            <w:vAlign w:val="center"/>
          </w:tcPr>
          <w:p w14:paraId="0D77D9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150.00</w:t>
            </w:r>
          </w:p>
        </w:tc>
        <w:tc>
          <w:tcPr>
            <w:tcW w:w="666" w:type="pct"/>
            <w:gridSpan w:val="2"/>
            <w:tcBorders>
              <w:top w:val="single" w:color="auto" w:sz="4" w:space="0"/>
              <w:left w:val="nil"/>
              <w:bottom w:val="single" w:color="auto" w:sz="4" w:space="0"/>
              <w:right w:val="single" w:color="auto" w:sz="4" w:space="0"/>
            </w:tcBorders>
            <w:vAlign w:val="center"/>
          </w:tcPr>
          <w:p w14:paraId="49E63A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150.00</w:t>
            </w:r>
          </w:p>
        </w:tc>
        <w:tc>
          <w:tcPr>
            <w:tcW w:w="678" w:type="pct"/>
            <w:gridSpan w:val="2"/>
            <w:tcBorders>
              <w:top w:val="nil"/>
              <w:left w:val="nil"/>
              <w:bottom w:val="single" w:color="auto" w:sz="4" w:space="0"/>
              <w:right w:val="single" w:color="auto" w:sz="4" w:space="0"/>
            </w:tcBorders>
            <w:vAlign w:val="center"/>
          </w:tcPr>
          <w:p w14:paraId="206DA7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29C74F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7" w:type="pct"/>
            <w:tcBorders>
              <w:top w:val="nil"/>
              <w:left w:val="nil"/>
              <w:bottom w:val="single" w:color="auto" w:sz="4" w:space="0"/>
              <w:right w:val="single" w:color="auto" w:sz="4" w:space="0"/>
            </w:tcBorders>
            <w:vAlign w:val="center"/>
          </w:tcPr>
          <w:p w14:paraId="5E3B00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7A1CA6B">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3FB5ABD2">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378D74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48C98A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150.00</w:t>
            </w:r>
          </w:p>
        </w:tc>
        <w:tc>
          <w:tcPr>
            <w:tcW w:w="992" w:type="pct"/>
            <w:gridSpan w:val="3"/>
            <w:tcBorders>
              <w:top w:val="single" w:color="auto" w:sz="4" w:space="0"/>
              <w:left w:val="nil"/>
              <w:bottom w:val="single" w:color="auto" w:sz="4" w:space="0"/>
              <w:right w:val="single" w:color="auto" w:sz="4" w:space="0"/>
            </w:tcBorders>
            <w:vAlign w:val="center"/>
          </w:tcPr>
          <w:p w14:paraId="76C76B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bookmarkStart w:id="9" w:name="_GoBack"/>
            <w:bookmarkEnd w:id="9"/>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5B6CE3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150.00</w:t>
            </w:r>
          </w:p>
        </w:tc>
        <w:tc>
          <w:tcPr>
            <w:tcW w:w="678" w:type="pct"/>
            <w:gridSpan w:val="2"/>
            <w:tcBorders>
              <w:top w:val="nil"/>
              <w:left w:val="nil"/>
              <w:bottom w:val="single" w:color="auto" w:sz="4" w:space="0"/>
              <w:right w:val="single" w:color="auto" w:sz="4" w:space="0"/>
            </w:tcBorders>
            <w:vAlign w:val="center"/>
          </w:tcPr>
          <w:p w14:paraId="7B5C02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13CEBD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7D4D40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4F97E67">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34DF26BD">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FDDFF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32A069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4EFC72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45B2FD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7EB618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2AE2B0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5597A0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424E278">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627307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71EC76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178569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0C5DD1E">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46110456">
            <w:pPr>
              <w:rPr>
                <w:rFonts w:hint="eastAsia"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15E0431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通过实施“井电双控”设备升级改造项目，有利于提高水资源科学管理调控能力，为保障水资源安全起到重要作用，以信息化方式显著提高水资源开发和利用，减少资源短缺，有效遏制地下水的超采局面。</w:t>
            </w:r>
          </w:p>
        </w:tc>
        <w:tc>
          <w:tcPr>
            <w:tcW w:w="2534" w:type="pct"/>
            <w:gridSpan w:val="7"/>
            <w:tcBorders>
              <w:top w:val="single" w:color="auto" w:sz="4" w:space="0"/>
              <w:left w:val="nil"/>
              <w:bottom w:val="single" w:color="auto" w:sz="4" w:space="0"/>
              <w:right w:val="single" w:color="auto" w:sz="4" w:space="0"/>
            </w:tcBorders>
            <w:vAlign w:val="center"/>
          </w:tcPr>
          <w:p w14:paraId="5779A54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单位今年顺利完成机电井智能设备安装258台，该设备的顺利安装，对于节约水资源，保护地下水开采都会起到非常重要的作用，有利于提高水资源科学管理调控能力，为保障水资源安全，以信息化方式管理水资源和有效遏制地下水的超采局面起到很好的促进作用。</w:t>
            </w:r>
          </w:p>
        </w:tc>
      </w:tr>
      <w:tr w14:paraId="05254172">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71C0C9AC">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0C05BC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53198B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15F8E8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08F236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4F241A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37124D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54300F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52DC26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62C4EC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37A93E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72CCC5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34B7E0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0D1BF8D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0B0966F">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014C6BE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6BD3A3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3126F8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3F0A74E4">
            <w:pPr>
              <w:rPr>
                <w:rFonts w:hint="eastAsia" w:ascii="宋体" w:hAnsi="宋体" w:eastAsia="宋体" w:cs="宋体"/>
                <w:color w:val="000000"/>
                <w:sz w:val="18"/>
                <w:szCs w:val="18"/>
              </w:rPr>
            </w:pPr>
            <w:r>
              <w:rPr>
                <w:rFonts w:hint="eastAsia" w:ascii="宋体" w:hAnsi="宋体" w:eastAsia="宋体" w:cs="宋体"/>
                <w:color w:val="000000"/>
                <w:sz w:val="18"/>
                <w:szCs w:val="18"/>
              </w:rPr>
              <w:t>机电井设备安装数量</w:t>
            </w:r>
          </w:p>
        </w:tc>
        <w:tc>
          <w:tcPr>
            <w:tcW w:w="338" w:type="pct"/>
            <w:tcBorders>
              <w:top w:val="nil"/>
              <w:left w:val="nil"/>
              <w:bottom w:val="single" w:color="auto" w:sz="4" w:space="0"/>
              <w:right w:val="single" w:color="auto" w:sz="4" w:space="0"/>
            </w:tcBorders>
            <w:vAlign w:val="center"/>
          </w:tcPr>
          <w:p w14:paraId="0F3313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3578BE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=258套</w:t>
            </w:r>
          </w:p>
        </w:tc>
        <w:tc>
          <w:tcPr>
            <w:tcW w:w="337" w:type="pct"/>
            <w:tcBorders>
              <w:top w:val="nil"/>
              <w:left w:val="nil"/>
              <w:bottom w:val="single" w:color="auto" w:sz="4" w:space="0"/>
              <w:right w:val="single" w:color="auto" w:sz="4" w:space="0"/>
            </w:tcBorders>
            <w:vAlign w:val="center"/>
          </w:tcPr>
          <w:p w14:paraId="7436D7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=258套</w:t>
            </w:r>
          </w:p>
        </w:tc>
        <w:tc>
          <w:tcPr>
            <w:tcW w:w="332" w:type="pct"/>
            <w:tcBorders>
              <w:top w:val="nil"/>
              <w:left w:val="nil"/>
              <w:bottom w:val="single" w:color="auto" w:sz="4" w:space="0"/>
              <w:right w:val="single" w:color="auto" w:sz="4" w:space="0"/>
            </w:tcBorders>
            <w:vAlign w:val="center"/>
          </w:tcPr>
          <w:p w14:paraId="76EE55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0458B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6FA92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5E34E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7C4E7F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A81B2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0CB902E4">
            <w:pPr>
              <w:jc w:val="center"/>
              <w:rPr>
                <w:rFonts w:hint="eastAsia" w:ascii="宋体" w:hAnsi="宋体" w:eastAsia="宋体" w:cs="宋体"/>
                <w:color w:val="000000"/>
                <w:sz w:val="18"/>
                <w:szCs w:val="18"/>
              </w:rPr>
            </w:pPr>
          </w:p>
        </w:tc>
      </w:tr>
      <w:tr w14:paraId="0A32DF69">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0187DD3F">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543F60D9">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E7350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48D30B9E">
            <w:pPr>
              <w:rPr>
                <w:rFonts w:hint="eastAsia" w:ascii="宋体" w:hAnsi="宋体" w:eastAsia="宋体" w:cs="宋体"/>
                <w:color w:val="000000"/>
                <w:sz w:val="18"/>
                <w:szCs w:val="18"/>
              </w:rPr>
            </w:pPr>
            <w:r>
              <w:rPr>
                <w:rFonts w:hint="eastAsia" w:ascii="宋体" w:hAnsi="宋体" w:eastAsia="宋体" w:cs="宋体"/>
                <w:color w:val="000000"/>
                <w:sz w:val="18"/>
                <w:szCs w:val="18"/>
              </w:rPr>
              <w:t>工程竣工验收合格率</w:t>
            </w:r>
          </w:p>
        </w:tc>
        <w:tc>
          <w:tcPr>
            <w:tcW w:w="338" w:type="pct"/>
            <w:tcBorders>
              <w:top w:val="nil"/>
              <w:left w:val="nil"/>
              <w:bottom w:val="single" w:color="auto" w:sz="4" w:space="0"/>
              <w:right w:val="single" w:color="auto" w:sz="4" w:space="0"/>
            </w:tcBorders>
            <w:vAlign w:val="center"/>
          </w:tcPr>
          <w:p w14:paraId="637180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465CD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2080C9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07C8A3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7480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6156F3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FC0E8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6B4B4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D6B21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1F2C9C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完工验收已经完成，合格率为100%，所有资料已经上报州水利局，待州水利局下发竣工验收批复</w:t>
            </w:r>
          </w:p>
        </w:tc>
      </w:tr>
      <w:tr w14:paraId="2030EAB3">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CB18101">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20AEF69B">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33759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2D79D7A3">
            <w:pPr>
              <w:rPr>
                <w:rFonts w:hint="eastAsia" w:ascii="宋体" w:hAnsi="宋体" w:eastAsia="宋体" w:cs="宋体"/>
                <w:color w:val="000000"/>
                <w:sz w:val="18"/>
                <w:szCs w:val="18"/>
              </w:rPr>
            </w:pPr>
            <w:r>
              <w:rPr>
                <w:rFonts w:hint="eastAsia" w:ascii="宋体" w:hAnsi="宋体" w:eastAsia="宋体" w:cs="宋体"/>
                <w:color w:val="000000"/>
                <w:sz w:val="18"/>
                <w:szCs w:val="18"/>
              </w:rPr>
              <w:t>项目开工时间</w:t>
            </w:r>
          </w:p>
        </w:tc>
        <w:tc>
          <w:tcPr>
            <w:tcW w:w="338" w:type="pct"/>
            <w:tcBorders>
              <w:top w:val="nil"/>
              <w:left w:val="nil"/>
              <w:bottom w:val="single" w:color="auto" w:sz="4" w:space="0"/>
              <w:right w:val="single" w:color="auto" w:sz="4" w:space="0"/>
            </w:tcBorders>
            <w:vAlign w:val="center"/>
          </w:tcPr>
          <w:p w14:paraId="365262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19404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=2023年5月</w:t>
            </w:r>
          </w:p>
        </w:tc>
        <w:tc>
          <w:tcPr>
            <w:tcW w:w="337" w:type="pct"/>
            <w:tcBorders>
              <w:top w:val="nil"/>
              <w:left w:val="nil"/>
              <w:bottom w:val="single" w:color="auto" w:sz="4" w:space="0"/>
              <w:right w:val="single" w:color="auto" w:sz="4" w:space="0"/>
            </w:tcBorders>
            <w:vAlign w:val="center"/>
          </w:tcPr>
          <w:p w14:paraId="767387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=2023年5月</w:t>
            </w:r>
          </w:p>
        </w:tc>
        <w:tc>
          <w:tcPr>
            <w:tcW w:w="332" w:type="pct"/>
            <w:tcBorders>
              <w:top w:val="nil"/>
              <w:left w:val="nil"/>
              <w:bottom w:val="single" w:color="auto" w:sz="4" w:space="0"/>
              <w:right w:val="single" w:color="auto" w:sz="4" w:space="0"/>
            </w:tcBorders>
            <w:vAlign w:val="center"/>
          </w:tcPr>
          <w:p w14:paraId="491F56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24D5B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CC00F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6F22FC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C333E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4EAB6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B63012C">
            <w:pPr>
              <w:jc w:val="center"/>
              <w:rPr>
                <w:rFonts w:hint="eastAsia" w:ascii="宋体" w:hAnsi="宋体" w:eastAsia="宋体" w:cs="宋体"/>
                <w:color w:val="000000"/>
                <w:sz w:val="18"/>
                <w:szCs w:val="18"/>
              </w:rPr>
            </w:pPr>
          </w:p>
        </w:tc>
      </w:tr>
      <w:tr w14:paraId="5C5FC02F">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0FA8964B">
            <w:pPr>
              <w:rPr>
                <w:rFonts w:hint="eastAsia"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519A76BD">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DCA13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3C49536E">
            <w:pPr>
              <w:rPr>
                <w:rFonts w:hint="eastAsia" w:ascii="宋体" w:hAnsi="宋体" w:eastAsia="宋体" w:cs="宋体"/>
                <w:color w:val="000000"/>
                <w:sz w:val="18"/>
                <w:szCs w:val="18"/>
              </w:rPr>
            </w:pPr>
            <w:r>
              <w:rPr>
                <w:rFonts w:hint="eastAsia" w:ascii="宋体" w:hAnsi="宋体" w:eastAsia="宋体" w:cs="宋体"/>
                <w:color w:val="000000"/>
                <w:sz w:val="18"/>
                <w:szCs w:val="18"/>
              </w:rPr>
              <w:t>项目完工时间</w:t>
            </w:r>
          </w:p>
        </w:tc>
        <w:tc>
          <w:tcPr>
            <w:tcW w:w="338" w:type="pct"/>
            <w:tcBorders>
              <w:top w:val="nil"/>
              <w:left w:val="nil"/>
              <w:bottom w:val="single" w:color="auto" w:sz="4" w:space="0"/>
              <w:right w:val="single" w:color="auto" w:sz="4" w:space="0"/>
            </w:tcBorders>
            <w:vAlign w:val="center"/>
          </w:tcPr>
          <w:p w14:paraId="641272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32CF27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=2024年6月</w:t>
            </w:r>
          </w:p>
        </w:tc>
        <w:tc>
          <w:tcPr>
            <w:tcW w:w="337" w:type="pct"/>
            <w:tcBorders>
              <w:top w:val="nil"/>
              <w:left w:val="nil"/>
              <w:bottom w:val="single" w:color="auto" w:sz="4" w:space="0"/>
              <w:right w:val="single" w:color="auto" w:sz="4" w:space="0"/>
            </w:tcBorders>
            <w:vAlign w:val="center"/>
          </w:tcPr>
          <w:p w14:paraId="502049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=2024年10月</w:t>
            </w:r>
          </w:p>
        </w:tc>
        <w:tc>
          <w:tcPr>
            <w:tcW w:w="332" w:type="pct"/>
            <w:tcBorders>
              <w:top w:val="nil"/>
              <w:left w:val="nil"/>
              <w:bottom w:val="single" w:color="auto" w:sz="4" w:space="0"/>
              <w:right w:val="single" w:color="auto" w:sz="4" w:space="0"/>
            </w:tcBorders>
            <w:vAlign w:val="center"/>
          </w:tcPr>
          <w:p w14:paraId="01A778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166.67</w:t>
            </w:r>
          </w:p>
        </w:tc>
        <w:tc>
          <w:tcPr>
            <w:tcW w:w="334" w:type="pct"/>
            <w:tcBorders>
              <w:top w:val="nil"/>
              <w:left w:val="nil"/>
              <w:bottom w:val="single" w:color="auto" w:sz="4" w:space="0"/>
              <w:right w:val="single" w:color="auto" w:sz="4" w:space="0"/>
            </w:tcBorders>
            <w:vAlign w:val="center"/>
          </w:tcPr>
          <w:p w14:paraId="10D3A0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3.33</w:t>
            </w:r>
          </w:p>
        </w:tc>
        <w:tc>
          <w:tcPr>
            <w:tcW w:w="346" w:type="pct"/>
            <w:tcBorders>
              <w:top w:val="nil"/>
              <w:left w:val="nil"/>
              <w:bottom w:val="single" w:color="auto" w:sz="4" w:space="0"/>
              <w:right w:val="single" w:color="auto" w:sz="4" w:space="0"/>
            </w:tcBorders>
            <w:vAlign w:val="center"/>
          </w:tcPr>
          <w:p w14:paraId="21BB8B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2D5BF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D1BB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3C8F3A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5DBAA52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生偏差的原因是：厂家未按时供货，物流延误及天气变化不能施工等原因，造成设备安装滞后，形成偏差。整改措施：一是严格按照工程进度开展项目建设工作。二是要想办法克服困难，解决好项目建设过程中可能遇到的问题，为项目顺利实施奠定基础。</w:t>
            </w:r>
          </w:p>
        </w:tc>
      </w:tr>
      <w:tr w14:paraId="2378C32A">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05CA92F">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5DD34F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0E965E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39AF1FBB">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8" w:type="pct"/>
            <w:tcBorders>
              <w:top w:val="nil"/>
              <w:left w:val="nil"/>
              <w:bottom w:val="single" w:color="auto" w:sz="4" w:space="0"/>
              <w:right w:val="single" w:color="auto" w:sz="4" w:space="0"/>
            </w:tcBorders>
            <w:vAlign w:val="center"/>
          </w:tcPr>
          <w:p w14:paraId="0E610B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3C0D5F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680E0B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7DEB6B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B7D16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18C452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3E8BDE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6D6C2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7E71F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089DA968">
            <w:pPr>
              <w:jc w:val="center"/>
              <w:rPr>
                <w:rFonts w:hint="eastAsia" w:ascii="宋体" w:hAnsi="宋体" w:eastAsia="宋体" w:cs="宋体"/>
                <w:color w:val="000000"/>
                <w:sz w:val="18"/>
                <w:szCs w:val="18"/>
              </w:rPr>
            </w:pPr>
          </w:p>
        </w:tc>
      </w:tr>
      <w:tr w14:paraId="171004FB">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AE3E790">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443780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203D9B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7681D887">
            <w:pPr>
              <w:rPr>
                <w:rFonts w:hint="eastAsia" w:ascii="宋体" w:hAnsi="宋体" w:eastAsia="宋体" w:cs="宋体"/>
                <w:color w:val="000000"/>
                <w:sz w:val="18"/>
                <w:szCs w:val="18"/>
              </w:rPr>
            </w:pPr>
            <w:r>
              <w:rPr>
                <w:rFonts w:hint="eastAsia" w:ascii="宋体" w:hAnsi="宋体" w:eastAsia="宋体" w:cs="宋体"/>
                <w:color w:val="000000"/>
                <w:sz w:val="18"/>
                <w:szCs w:val="18"/>
              </w:rPr>
              <w:t>保护地下水资源开采</w:t>
            </w:r>
          </w:p>
        </w:tc>
        <w:tc>
          <w:tcPr>
            <w:tcW w:w="338" w:type="pct"/>
            <w:tcBorders>
              <w:top w:val="nil"/>
              <w:left w:val="nil"/>
              <w:bottom w:val="single" w:color="auto" w:sz="4" w:space="0"/>
              <w:right w:val="single" w:color="auto" w:sz="4" w:space="0"/>
            </w:tcBorders>
            <w:vAlign w:val="center"/>
          </w:tcPr>
          <w:p w14:paraId="6E5CAB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741917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有效保护</w:t>
            </w:r>
          </w:p>
        </w:tc>
        <w:tc>
          <w:tcPr>
            <w:tcW w:w="337" w:type="pct"/>
            <w:tcBorders>
              <w:top w:val="nil"/>
              <w:left w:val="nil"/>
              <w:bottom w:val="single" w:color="auto" w:sz="4" w:space="0"/>
              <w:right w:val="single" w:color="auto" w:sz="4" w:space="0"/>
            </w:tcBorders>
            <w:vAlign w:val="center"/>
          </w:tcPr>
          <w:p w14:paraId="01B52C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有效保护</w:t>
            </w:r>
          </w:p>
        </w:tc>
        <w:tc>
          <w:tcPr>
            <w:tcW w:w="332" w:type="pct"/>
            <w:tcBorders>
              <w:top w:val="nil"/>
              <w:left w:val="nil"/>
              <w:bottom w:val="single" w:color="auto" w:sz="4" w:space="0"/>
              <w:right w:val="single" w:color="auto" w:sz="4" w:space="0"/>
            </w:tcBorders>
            <w:vAlign w:val="center"/>
          </w:tcPr>
          <w:p w14:paraId="1E71C7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DFA0D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4CE513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B1A0B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12BDB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0A9FC7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2EB5FF4D">
            <w:pPr>
              <w:jc w:val="center"/>
              <w:rPr>
                <w:rFonts w:hint="eastAsia" w:ascii="宋体" w:hAnsi="宋体" w:eastAsia="宋体" w:cs="宋体"/>
                <w:color w:val="000000"/>
                <w:sz w:val="18"/>
                <w:szCs w:val="18"/>
              </w:rPr>
            </w:pPr>
          </w:p>
        </w:tc>
      </w:tr>
      <w:tr w14:paraId="438A9FAF">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5C9BBE67">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5DE453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1B7230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06C461E9">
            <w:pPr>
              <w:rPr>
                <w:rFonts w:hint="eastAsia" w:ascii="宋体" w:hAnsi="宋体" w:eastAsia="宋体" w:cs="宋体"/>
                <w:color w:val="000000"/>
                <w:sz w:val="18"/>
                <w:szCs w:val="18"/>
              </w:rPr>
            </w:pPr>
            <w:r>
              <w:rPr>
                <w:rFonts w:hint="eastAsia" w:ascii="宋体" w:hAnsi="宋体" w:eastAsia="宋体" w:cs="宋体"/>
                <w:color w:val="000000"/>
                <w:sz w:val="18"/>
                <w:szCs w:val="18"/>
              </w:rPr>
              <w:t>取用水户满意度</w:t>
            </w:r>
          </w:p>
        </w:tc>
        <w:tc>
          <w:tcPr>
            <w:tcW w:w="338" w:type="pct"/>
            <w:tcBorders>
              <w:top w:val="nil"/>
              <w:left w:val="nil"/>
              <w:bottom w:val="single" w:color="auto" w:sz="4" w:space="0"/>
              <w:right w:val="single" w:color="auto" w:sz="4" w:space="0"/>
            </w:tcBorders>
            <w:vAlign w:val="center"/>
          </w:tcPr>
          <w:p w14:paraId="36ECD1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362676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7" w:type="pct"/>
            <w:tcBorders>
              <w:top w:val="nil"/>
              <w:left w:val="nil"/>
              <w:bottom w:val="single" w:color="auto" w:sz="4" w:space="0"/>
              <w:right w:val="single" w:color="auto" w:sz="4" w:space="0"/>
            </w:tcBorders>
            <w:vAlign w:val="center"/>
          </w:tcPr>
          <w:p w14:paraId="7CAB4B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=96%</w:t>
            </w:r>
          </w:p>
        </w:tc>
        <w:tc>
          <w:tcPr>
            <w:tcW w:w="332" w:type="pct"/>
            <w:tcBorders>
              <w:top w:val="nil"/>
              <w:left w:val="nil"/>
              <w:bottom w:val="single" w:color="auto" w:sz="4" w:space="0"/>
              <w:right w:val="single" w:color="auto" w:sz="4" w:space="0"/>
            </w:tcBorders>
            <w:vAlign w:val="center"/>
          </w:tcPr>
          <w:p w14:paraId="527DB0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106.67</w:t>
            </w:r>
          </w:p>
        </w:tc>
        <w:tc>
          <w:tcPr>
            <w:tcW w:w="334" w:type="pct"/>
            <w:tcBorders>
              <w:top w:val="nil"/>
              <w:left w:val="nil"/>
              <w:bottom w:val="single" w:color="auto" w:sz="4" w:space="0"/>
              <w:right w:val="single" w:color="auto" w:sz="4" w:space="0"/>
            </w:tcBorders>
            <w:vAlign w:val="center"/>
          </w:tcPr>
          <w:p w14:paraId="3AEE76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694E3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8C0B3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3C38B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4FC0FA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39671B2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生偏差的原因：满意度指标设置比实际目标略低，设置不够精准。整改措施：一是在制定满意度指标前要做好充分的了解，尽量减少偏差率。二是将产生偏差的原因作为今后制定绩效目标的突破点，做到科学合理制定指标。</w:t>
            </w:r>
          </w:p>
        </w:tc>
      </w:tr>
      <w:tr w14:paraId="41C80263">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381CCC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43E1E3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4BD2F86C">
            <w:pPr>
              <w:jc w:val="center"/>
              <w:rPr>
                <w:rFonts w:hint="eastAsia"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7791311B">
            <w:pPr>
              <w:jc w:val="center"/>
              <w:rPr>
                <w:rFonts w:hint="eastAsia"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1815CBE7">
            <w:pPr>
              <w:jc w:val="cente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173C10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93.33分</w:t>
            </w:r>
          </w:p>
        </w:tc>
        <w:tc>
          <w:tcPr>
            <w:tcW w:w="346" w:type="pct"/>
            <w:tcBorders>
              <w:top w:val="single" w:color="auto" w:sz="4" w:space="0"/>
              <w:left w:val="nil"/>
              <w:bottom w:val="single" w:color="auto" w:sz="4" w:space="0"/>
              <w:right w:val="single" w:color="auto" w:sz="4" w:space="0"/>
            </w:tcBorders>
            <w:vAlign w:val="center"/>
          </w:tcPr>
          <w:p w14:paraId="764DC45C">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2072FD2D">
            <w:pPr>
              <w:rPr>
                <w:rFonts w:hint="eastAsia"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766775A5">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7A193406">
            <w:pPr>
              <w:rPr>
                <w:rFonts w:hint="eastAsia"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33EDB866">
            <w:pPr>
              <w:rPr>
                <w:rFonts w:hint="eastAsia" w:ascii="宋体" w:hAnsi="宋体" w:eastAsia="宋体" w:cs="宋体"/>
                <w:color w:val="000000"/>
                <w:sz w:val="18"/>
                <w:szCs w:val="18"/>
              </w:rPr>
            </w:pPr>
          </w:p>
        </w:tc>
      </w:tr>
    </w:tbl>
    <w:p w14:paraId="54C2B624">
      <w:pPr>
        <w:rPr>
          <w:rFonts w:hint="eastAsia" w:ascii="宋体" w:hAnsi="宋体" w:eastAsia="宋体" w:cs="宋体"/>
          <w:b/>
          <w:bCs/>
          <w:sz w:val="18"/>
          <w:szCs w:val="18"/>
          <w:lang w:eastAsia="zh-CN"/>
        </w:rPr>
      </w:pPr>
    </w:p>
    <w:p w14:paraId="28AD2CD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26F9F12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5DA4CEB0">
      <w:pPr>
        <w:rPr>
          <w:rFonts w:hint="eastAsia"/>
          <w:lang w:eastAsia="zh-CN"/>
        </w:rPr>
      </w:pPr>
      <w:r>
        <w:rPr>
          <w:sz w:val="0"/>
          <w:szCs w:val="0"/>
          <w:lang w:eastAsia="zh-CN"/>
        </w:rPr>
        <w:br w:type="page"/>
      </w:r>
    </w:p>
    <w:p w14:paraId="169A234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247755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A6D66B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209773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02EFD1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5B0A7E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5266AD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DDD81B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5C6FC0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BEDC7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E1C0E3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559C66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01DD56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391BFA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71D8E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F9A4A4B">
      <w:pPr>
        <w:rPr>
          <w:rFonts w:hint="eastAsia"/>
          <w:lang w:eastAsia="zh-CN"/>
        </w:rPr>
      </w:pPr>
      <w:r>
        <w:rPr>
          <w:sz w:val="0"/>
          <w:szCs w:val="0"/>
          <w:lang w:eastAsia="zh-CN"/>
        </w:rPr>
        <w:br w:type="page"/>
      </w:r>
    </w:p>
    <w:p w14:paraId="5D211CC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5A58D52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CF720F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FB8D37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0094478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5387F53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1D6C7D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7BCB93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E1ABC2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2B165C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8C5E7F"/>
    <w:rsid w:val="000D7B48"/>
    <w:rsid w:val="00485575"/>
    <w:rsid w:val="005502D7"/>
    <w:rsid w:val="007812FD"/>
    <w:rsid w:val="00890168"/>
    <w:rsid w:val="008C54F4"/>
    <w:rsid w:val="008C5E7F"/>
    <w:rsid w:val="00BD1C81"/>
    <w:rsid w:val="00EF475E"/>
    <w:rsid w:val="48F90270"/>
    <w:rsid w:val="61AE0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7914</Words>
  <Characters>8956</Characters>
  <Lines>1567</Lines>
  <Paragraphs>922</Paragraphs>
  <TotalTime>174</TotalTime>
  <ScaleCrop>false</ScaleCrop>
  <LinksUpToDate>false</LinksUpToDate>
  <CharactersWithSpaces>8966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2025-09-17T09:16:00Z</dcterms:created>
  <dc:creator>雍虹虹</dc:creator>
  <cp:lastModifiedBy>OMG</cp:lastModifiedBy>
  <dcterms:modified xsi:type="dcterms:W3CDTF">2025-09-23T07:41:40Z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2D9F1614F5FC4DE59BFA14F9E777AD2A_12</vt:lpwstr>
  </property>
</Properties>
</file>