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highlight w:val="none"/>
        </w:rPr>
      </w:pPr>
    </w:p>
    <w:p>
      <w:pPr>
        <w:spacing w:line="540" w:lineRule="exact"/>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eastAsia="zh-CN"/>
        </w:rPr>
        <w:t>新疆昌吉州奇台县中葛根渠首水闸除险加固工程</w:t>
      </w:r>
      <w:r>
        <w:rPr>
          <w:rFonts w:eastAsia="方正小标宋_GBK"/>
          <w:kern w:val="0"/>
          <w:sz w:val="48"/>
          <w:szCs w:val="48"/>
          <w:highlight w:val="none"/>
        </w:rPr>
        <w:t>支出绩效评价报告</w:t>
      </w:r>
    </w:p>
    <w:p>
      <w:pPr>
        <w:spacing w:line="540" w:lineRule="exact"/>
        <w:jc w:val="center"/>
        <w:rPr>
          <w:rFonts w:eastAsia="华文中宋"/>
          <w:b/>
          <w:kern w:val="0"/>
          <w:sz w:val="52"/>
          <w:szCs w:val="52"/>
          <w:highlight w:val="none"/>
        </w:rPr>
      </w:pPr>
    </w:p>
    <w:p>
      <w:pPr>
        <w:spacing w:line="540" w:lineRule="exact"/>
        <w:jc w:val="center"/>
        <w:rPr>
          <w:rFonts w:eastAsia="仿宋_GB2312"/>
          <w:kern w:val="0"/>
          <w:sz w:val="36"/>
          <w:szCs w:val="36"/>
          <w:highlight w:val="none"/>
        </w:rPr>
      </w:pPr>
      <w:r>
        <w:rPr>
          <w:rFonts w:eastAsia="仿宋_GB2312"/>
          <w:kern w:val="0"/>
          <w:sz w:val="36"/>
          <w:szCs w:val="36"/>
          <w:highlight w:val="none"/>
        </w:rPr>
        <w:t>（2024年度）</w:t>
      </w: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pStyle w:val="12"/>
        <w:rPr>
          <w:rFonts w:ascii="Times New Roman" w:hAnsi="Times New Roman"/>
          <w:highlight w:val="none"/>
        </w:rPr>
      </w:pPr>
    </w:p>
    <w:p>
      <w:pPr>
        <w:spacing w:line="540" w:lineRule="exact"/>
        <w:jc w:val="center"/>
        <w:rPr>
          <w:rFonts w:eastAsia="仿宋_GB2312"/>
          <w:kern w:val="0"/>
          <w:sz w:val="30"/>
          <w:szCs w:val="30"/>
          <w:highlight w:val="none"/>
        </w:rPr>
      </w:pPr>
    </w:p>
    <w:p>
      <w:pPr>
        <w:spacing w:line="540" w:lineRule="exact"/>
        <w:rPr>
          <w:rFonts w:eastAsia="仿宋_GB2312"/>
          <w:kern w:val="0"/>
          <w:sz w:val="30"/>
          <w:szCs w:val="30"/>
          <w:highlight w:val="none"/>
        </w:rPr>
      </w:pPr>
    </w:p>
    <w:p>
      <w:pPr>
        <w:spacing w:line="240" w:lineRule="auto"/>
        <w:ind w:left="2518" w:leftChars="342" w:hanging="1800" w:hangingChars="500"/>
        <w:jc w:val="left"/>
        <w:rPr>
          <w:rFonts w:hint="eastAsia" w:eastAsia="仿宋_GB2312"/>
          <w:kern w:val="0"/>
          <w:sz w:val="36"/>
          <w:szCs w:val="36"/>
          <w:highlight w:val="none"/>
          <w:lang w:eastAsia="zh-CN"/>
        </w:rPr>
      </w:pPr>
      <w:r>
        <w:rPr>
          <w:rFonts w:eastAsia="仿宋_GB2312"/>
          <w:kern w:val="0"/>
          <w:sz w:val="36"/>
          <w:szCs w:val="36"/>
          <w:highlight w:val="none"/>
        </w:rPr>
        <w:t>项目名称：</w:t>
      </w:r>
      <w:r>
        <w:rPr>
          <w:rFonts w:hint="eastAsia" w:eastAsia="仿宋_GB2312"/>
          <w:kern w:val="0"/>
          <w:sz w:val="36"/>
          <w:szCs w:val="36"/>
          <w:highlight w:val="none"/>
          <w:lang w:eastAsia="zh-CN"/>
        </w:rPr>
        <w:t>新疆昌吉州奇台县中葛根渠首水闸除</w:t>
      </w:r>
    </w:p>
    <w:p>
      <w:pPr>
        <w:spacing w:line="240" w:lineRule="auto"/>
        <w:ind w:left="2514" w:leftChars="1197" w:firstLine="0" w:firstLineChars="0"/>
        <w:jc w:val="left"/>
        <w:rPr>
          <w:rFonts w:eastAsia="仿宋_GB2312"/>
          <w:kern w:val="0"/>
          <w:sz w:val="36"/>
          <w:szCs w:val="36"/>
          <w:highlight w:val="none"/>
        </w:rPr>
      </w:pPr>
      <w:r>
        <w:rPr>
          <w:rFonts w:hint="eastAsia" w:eastAsia="仿宋_GB2312"/>
          <w:kern w:val="0"/>
          <w:sz w:val="36"/>
          <w:szCs w:val="36"/>
          <w:highlight w:val="none"/>
          <w:lang w:eastAsia="zh-CN"/>
        </w:rPr>
        <w:t>险加固工程</w:t>
      </w:r>
    </w:p>
    <w:p>
      <w:pPr>
        <w:spacing w:line="700" w:lineRule="exact"/>
        <w:ind w:firstLine="720" w:firstLineChars="200"/>
        <w:jc w:val="left"/>
        <w:rPr>
          <w:rFonts w:hint="eastAsia" w:eastAsia="仿宋_GB2312"/>
          <w:kern w:val="0"/>
          <w:sz w:val="36"/>
          <w:szCs w:val="36"/>
          <w:highlight w:val="none"/>
          <w:lang w:eastAsia="zh-CN"/>
        </w:rPr>
      </w:pPr>
      <w:r>
        <w:rPr>
          <w:rFonts w:eastAsia="仿宋_GB2312"/>
          <w:kern w:val="0"/>
          <w:sz w:val="36"/>
          <w:szCs w:val="36"/>
          <w:highlight w:val="none"/>
        </w:rPr>
        <w:t>实施单位（公章）：</w:t>
      </w:r>
      <w:r>
        <w:rPr>
          <w:rFonts w:hint="eastAsia" w:eastAsia="仿宋_GB2312"/>
          <w:kern w:val="0"/>
          <w:sz w:val="36"/>
          <w:szCs w:val="36"/>
          <w:highlight w:val="none"/>
          <w:lang w:eastAsia="zh-CN"/>
        </w:rPr>
        <w:t>奇台县水利工程建设管理中心</w:t>
      </w:r>
    </w:p>
    <w:p>
      <w:pPr>
        <w:spacing w:line="700" w:lineRule="exact"/>
        <w:ind w:firstLine="720" w:firstLineChars="200"/>
        <w:jc w:val="left"/>
        <w:rPr>
          <w:rFonts w:hint="eastAsia" w:eastAsia="仿宋_GB2312"/>
          <w:kern w:val="0"/>
          <w:sz w:val="36"/>
          <w:szCs w:val="36"/>
          <w:highlight w:val="none"/>
          <w:lang w:eastAsia="zh-CN"/>
        </w:rPr>
      </w:pPr>
      <w:r>
        <w:rPr>
          <w:rFonts w:eastAsia="仿宋_GB2312"/>
          <w:kern w:val="0"/>
          <w:sz w:val="36"/>
          <w:szCs w:val="36"/>
          <w:highlight w:val="none"/>
        </w:rPr>
        <w:t>主管部门（公章）：</w:t>
      </w:r>
      <w:r>
        <w:rPr>
          <w:rFonts w:hint="eastAsia" w:eastAsia="仿宋_GB2312"/>
          <w:kern w:val="0"/>
          <w:sz w:val="36"/>
          <w:szCs w:val="36"/>
          <w:highlight w:val="none"/>
          <w:lang w:eastAsia="zh-CN"/>
        </w:rPr>
        <w:t>奇台县水利局</w:t>
      </w:r>
    </w:p>
    <w:p>
      <w:pPr>
        <w:spacing w:line="700" w:lineRule="exact"/>
        <w:ind w:firstLine="720" w:firstLineChars="200"/>
        <w:jc w:val="left"/>
        <w:rPr>
          <w:rFonts w:eastAsia="仿宋_GB2312"/>
          <w:kern w:val="0"/>
          <w:sz w:val="36"/>
          <w:szCs w:val="36"/>
          <w:highlight w:val="none"/>
        </w:rPr>
      </w:pPr>
      <w:r>
        <w:rPr>
          <w:rFonts w:eastAsia="仿宋_GB2312"/>
          <w:kern w:val="0"/>
          <w:sz w:val="36"/>
          <w:szCs w:val="36"/>
          <w:highlight w:val="none"/>
        </w:rPr>
        <w:t>项目负责人（签章）：</w:t>
      </w:r>
    </w:p>
    <w:p>
      <w:pPr>
        <w:spacing w:line="700" w:lineRule="exact"/>
        <w:ind w:firstLine="720" w:firstLineChars="2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2025</w:t>
      </w:r>
      <w:r>
        <w:rPr>
          <w:rFonts w:eastAsia="仿宋_GB2312"/>
          <w:kern w:val="0"/>
          <w:sz w:val="36"/>
          <w:szCs w:val="36"/>
          <w:highlight w:val="none"/>
        </w:rPr>
        <w:t>年</w:t>
      </w:r>
      <w:r>
        <w:rPr>
          <w:rFonts w:hint="eastAsia" w:eastAsia="仿宋_GB2312"/>
          <w:kern w:val="0"/>
          <w:sz w:val="36"/>
          <w:szCs w:val="36"/>
          <w:highlight w:val="none"/>
          <w:lang w:val="en-US" w:eastAsia="zh-CN"/>
        </w:rPr>
        <w:t>4</w:t>
      </w:r>
      <w:r>
        <w:rPr>
          <w:rFonts w:eastAsia="仿宋_GB2312"/>
          <w:kern w:val="0"/>
          <w:sz w:val="36"/>
          <w:szCs w:val="36"/>
          <w:highlight w:val="none"/>
        </w:rPr>
        <w:t>月</w:t>
      </w:r>
      <w:r>
        <w:rPr>
          <w:rFonts w:hint="eastAsia" w:eastAsia="仿宋_GB2312"/>
          <w:kern w:val="0"/>
          <w:sz w:val="36"/>
          <w:szCs w:val="36"/>
          <w:highlight w:val="none"/>
          <w:lang w:val="en-US" w:eastAsia="zh-CN"/>
        </w:rPr>
        <w:t>30</w:t>
      </w:r>
      <w:r>
        <w:rPr>
          <w:rFonts w:eastAsia="仿宋_GB2312"/>
          <w:kern w:val="0"/>
          <w:sz w:val="36"/>
          <w:szCs w:val="36"/>
          <w:highlight w:val="none"/>
        </w:rPr>
        <w:t>日</w:t>
      </w:r>
    </w:p>
    <w:p>
      <w:pPr>
        <w:spacing w:line="540" w:lineRule="exact"/>
        <w:jc w:val="center"/>
        <w:rPr>
          <w:rFonts w:eastAsia="仿宋_GB2312"/>
          <w:kern w:val="0"/>
          <w:sz w:val="30"/>
          <w:szCs w:val="30"/>
          <w:highlight w:val="none"/>
        </w:rPr>
      </w:pPr>
    </w:p>
    <w:p>
      <w:pPr>
        <w:spacing w:line="540" w:lineRule="exact"/>
        <w:rPr>
          <w:rStyle w:val="18"/>
          <w:rFonts w:eastAsia="黑体"/>
          <w:b w:val="0"/>
          <w:spacing w:val="-4"/>
          <w:sz w:val="32"/>
          <w:szCs w:val="32"/>
          <w:highlight w:val="none"/>
        </w:rPr>
      </w:pPr>
    </w:p>
    <w:p>
      <w:pPr>
        <w:spacing w:line="540" w:lineRule="exact"/>
        <w:ind w:firstLine="640"/>
        <w:rPr>
          <w:rStyle w:val="18"/>
          <w:rFonts w:eastAsia="黑体"/>
          <w:b w:val="0"/>
          <w:spacing w:val="-4"/>
          <w:sz w:val="32"/>
          <w:szCs w:val="32"/>
          <w:highlight w:val="none"/>
        </w:rPr>
      </w:pPr>
    </w:p>
    <w:p>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pPr>
        <w:pStyle w:val="12"/>
        <w:spacing w:before="0" w:after="0" w:line="560" w:lineRule="exact"/>
        <w:ind w:firstLine="640" w:firstLineChars="200"/>
        <w:jc w:val="both"/>
        <w:outlineLvl w:val="9"/>
        <w:rPr>
          <w:rFonts w:eastAsia="仿宋_GB2312"/>
          <w:b/>
          <w:bCs/>
          <w:sz w:val="32"/>
          <w:szCs w:val="32"/>
          <w:highlight w:val="none"/>
        </w:rPr>
      </w:pPr>
      <w:r>
        <w:rPr>
          <w:rFonts w:hint="eastAsia" w:ascii="Times New Roman" w:hAnsi="Times New Roman" w:eastAsia="仿宋_GB2312" w:cs="Times New Roman"/>
          <w:b w:val="0"/>
          <w:bCs w:val="0"/>
          <w:highlight w:val="none"/>
        </w:rPr>
        <w:t>根据中央关于启动和推进大中型病险水闸除险加固的要求，奇台县人民政府适时启动了《奇台县</w:t>
      </w:r>
      <w:r>
        <w:rPr>
          <w:rFonts w:hint="default" w:ascii="Times New Roman" w:hAnsi="Times New Roman" w:eastAsia="仿宋_GB2312" w:cs="Times New Roman"/>
          <w:b w:val="0"/>
          <w:bCs w:val="0"/>
          <w:highlight w:val="none"/>
        </w:rPr>
        <w:t>中葛根渠首（水闸）除险加固工程项目》，即</w:t>
      </w:r>
      <w:r>
        <w:rPr>
          <w:rFonts w:hint="eastAsia" w:ascii="Times New Roman" w:hAnsi="Times New Roman" w:eastAsia="仿宋_GB2312" w:cs="Times New Roman"/>
          <w:b w:val="0"/>
          <w:bCs w:val="0"/>
          <w:highlight w:val="none"/>
        </w:rPr>
        <w:t>对主要建筑物进行拆除重建，恢复或提高水闸建设标准，消除各种安全隐患，对水闸机电设备进行更新改造，保证水闸功能的长期正常发挥。</w:t>
      </w:r>
      <w:r>
        <w:rPr>
          <w:rFonts w:hint="default" w:ascii="Times New Roman" w:hAnsi="Times New Roman" w:eastAsia="仿宋_GB2312" w:cs="Times New Roman"/>
          <w:b w:val="0"/>
          <w:bCs w:val="0"/>
          <w:highlight w:val="none"/>
        </w:rPr>
        <w:t>中葛根渠首除险加固工程建成后，可</w:t>
      </w:r>
      <w:r>
        <w:rPr>
          <w:rFonts w:hint="eastAsia" w:ascii="Times New Roman" w:hAnsi="Times New Roman" w:eastAsia="仿宋_GB2312" w:cs="Times New Roman"/>
          <w:b w:val="0"/>
          <w:bCs w:val="0"/>
          <w:highlight w:val="none"/>
        </w:rPr>
        <w:t>保证中葛根渠首安全运行，可保证中葛根灌区正常灌溉引水，从而促进中葛根灌区乃至奇台县社会经济持续健康快速发展。</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中葛根渠首（以下简称该枢纽或本工程）位于中葛根河出山口处、中葛根水库下游0.30km处、奇台县南部，距奇台县城约51km，地理位置为东经89°40′48″、北纬43°38′20″，是一座拦河式引水枢纽，该枢纽最初于1968年建成，1985年于新闸址建成并投入运行。中葛根渠首承担奇台县中葛根灌区的灌溉任务，控制灌溉面积为14.22万亩，该枢纽为中型水闸，控制了中葛根灌区的大部分灌溉面积，该枢纽的安全运行对中葛根灌区及奇台县经济发展是至关重要的。</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根据2022年现场调查结论，中葛根渠首土建结构磨损严重，混凝土局部破损，闸门主轨、反轨、底槛表面涂层局部脱落，止水局部失效，启闭机普遍锈蚀，电气线路老化且布置不规范，无行程控制装置，无开度指示装置，无荷载限制装置，未设置渗流、变形等观测设施，无现代化的管理设施，据</w:t>
      </w:r>
      <w:r>
        <w:rPr>
          <w:rFonts w:hint="default" w:ascii="Times New Roman" w:hAnsi="Times New Roman" w:eastAsia="仿宋_GB2312" w:cs="Times New Roman"/>
          <w:b w:val="0"/>
          <w:bCs w:val="0"/>
          <w:highlight w:val="none"/>
        </w:rPr>
        <w:t>根据《水闸安全评价导则》（SL214-2015）及《关于印发奇台县中葛根渠首《水闸安全鉴定报告书》的通知》（昌州水函字［2023］44号），中葛根渠首水闸安全类别评定为四类闸，工程存在严重安全问题，急需进行报废重建。</w:t>
      </w:r>
    </w:p>
    <w:p>
      <w:pPr>
        <w:pStyle w:val="12"/>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2.项目主要内容：</w:t>
      </w:r>
    </w:p>
    <w:p>
      <w:pPr>
        <w:spacing w:line="560" w:lineRule="exact"/>
        <w:ind w:firstLine="600" w:firstLineChars="200"/>
        <w:rPr>
          <w:rFonts w:hint="eastAsia" w:eastAsia="仿宋_GB2312"/>
          <w:sz w:val="30"/>
          <w:szCs w:val="30"/>
          <w:highlight w:val="none"/>
        </w:rPr>
      </w:pPr>
      <w:r>
        <w:rPr>
          <w:rFonts w:eastAsia="仿宋_GB2312"/>
          <w:sz w:val="30"/>
          <w:szCs w:val="30"/>
          <w:highlight w:val="none"/>
        </w:rPr>
        <w:t>（</w:t>
      </w:r>
      <w:r>
        <w:rPr>
          <w:rFonts w:hint="eastAsia" w:eastAsia="仿宋_GB2312"/>
          <w:sz w:val="30"/>
          <w:szCs w:val="30"/>
          <w:highlight w:val="none"/>
        </w:rPr>
        <w:t>1</w:t>
      </w:r>
      <w:r>
        <w:rPr>
          <w:rFonts w:eastAsia="仿宋_GB2312"/>
          <w:sz w:val="30"/>
          <w:szCs w:val="30"/>
          <w:highlight w:val="none"/>
        </w:rPr>
        <w:t>）项目主要内容</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中葛根渠首（水闸）除险加固工程</w:t>
      </w:r>
      <w:r>
        <w:rPr>
          <w:rFonts w:hint="eastAsia" w:ascii="Times New Roman" w:hAnsi="Times New Roman" w:eastAsia="仿宋_GB2312" w:cs="Times New Roman"/>
          <w:b w:val="0"/>
          <w:bCs w:val="0"/>
          <w:highlight w:val="none"/>
        </w:rPr>
        <w:t>位于原闸轴线下游130m处，采用拦河闸形式引水，由引水闸、泄洪冲沙闸及上下游导流堤组成。各建筑物具体布置为：</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1）新建西侧引水闸1座，位于河道左岸，采用开敞式水闸形式，共3孔，单孔净宽3m。</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2）新建东侧引水闸1座，位于河道右岸，采用开敞式水闸形式，共1孔，单孔净宽3m。</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3）新建泄洪冲沙闸1座，位于东西侧引水闸中间，采用开敞式水闸形式，共3孔，单孔净宽5m。</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4）新建上下游导流堤总长355m，为重力式挡土墙型式。</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5）永久桥梁2座，位于左岸柏油路穿越中葛根总干渠处。</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6）管道交叉建筑物即四根管道及相应阀井。</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7）检修平台2座，厚度为0.15m。</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8）护栏1项，即在上下游导流堤两侧、闸室交通桥两侧增设钢护栏，高度为1.20m。</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9）上下游导流堤及铺盖原址恢复1项。</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10）拆除工程1项，即拆除原中葛根渠首。</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11）供电设施1处，总长度为0.8km。</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rPr>
        <w:t>12）新建水利信息化系统1套。</w:t>
      </w:r>
    </w:p>
    <w:p>
      <w:pPr>
        <w:spacing w:line="560" w:lineRule="exact"/>
        <w:ind w:firstLine="640" w:firstLineChars="200"/>
        <w:rPr>
          <w:rFonts w:hint="eastAsia" w:eastAsia="仿宋_GB2312"/>
          <w:sz w:val="32"/>
          <w:szCs w:val="32"/>
          <w:highlight w:val="none"/>
        </w:rPr>
      </w:pPr>
      <w:r>
        <w:rPr>
          <w:rFonts w:eastAsia="仿宋_GB2312"/>
          <w:sz w:val="32"/>
          <w:szCs w:val="32"/>
          <w:highlight w:val="none"/>
        </w:rPr>
        <w:t>（</w:t>
      </w:r>
      <w:r>
        <w:rPr>
          <w:rFonts w:hint="eastAsia" w:eastAsia="仿宋_GB2312"/>
          <w:sz w:val="32"/>
          <w:szCs w:val="32"/>
          <w:highlight w:val="none"/>
        </w:rPr>
        <w:t>2</w:t>
      </w:r>
      <w:r>
        <w:rPr>
          <w:rFonts w:eastAsia="仿宋_GB2312"/>
          <w:sz w:val="32"/>
          <w:szCs w:val="32"/>
          <w:highlight w:val="none"/>
        </w:rPr>
        <w:t>）项目实施情况：</w:t>
      </w:r>
    </w:p>
    <w:p>
      <w:pPr>
        <w:pStyle w:val="12"/>
        <w:spacing w:before="0" w:after="0" w:line="560" w:lineRule="exact"/>
        <w:ind w:firstLine="640" w:firstLineChars="200"/>
        <w:jc w:val="both"/>
        <w:outlineLvl w:val="9"/>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highlight w:val="none"/>
        </w:rPr>
        <w:t>截止202</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rPr>
        <w:t>年</w:t>
      </w:r>
      <w:r>
        <w:rPr>
          <w:rFonts w:hint="eastAsia" w:ascii="Times New Roman" w:hAnsi="Times New Roman" w:eastAsia="仿宋_GB2312" w:cs="Times New Roman"/>
          <w:b w:val="0"/>
          <w:bCs w:val="0"/>
          <w:highlight w:val="none"/>
          <w:lang w:val="en-US" w:eastAsia="zh-CN"/>
        </w:rPr>
        <w:t>12</w:t>
      </w:r>
      <w:r>
        <w:rPr>
          <w:rFonts w:hint="eastAsia" w:ascii="Times New Roman" w:hAnsi="Times New Roman" w:eastAsia="仿宋_GB2312" w:cs="Times New Roman"/>
          <w:b w:val="0"/>
          <w:bCs w:val="0"/>
          <w:highlight w:val="none"/>
        </w:rPr>
        <w:t>月底，</w:t>
      </w:r>
      <w:r>
        <w:rPr>
          <w:rFonts w:hint="eastAsia" w:ascii="Times New Roman" w:hAnsi="Times New Roman" w:eastAsia="仿宋_GB2312" w:cs="Times New Roman"/>
          <w:b w:val="0"/>
          <w:bCs w:val="0"/>
          <w:kern w:val="2"/>
          <w:sz w:val="32"/>
          <w:szCs w:val="32"/>
          <w:highlight w:val="none"/>
          <w:lang w:val="en-US" w:eastAsia="zh-CN" w:bidi="ar-SA"/>
        </w:rPr>
        <w:t>本工程拆除原渠首，新建引水闸4孔、泄洪冲沙闸3孔、桥梁2座、铺盖、导流堤、水文监测系统1套、水利信息化系统1套及配套设施建内容均已全部完工。</w:t>
      </w:r>
    </w:p>
    <w:p>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（1）资金投入情况</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该项目年初预算数</w:t>
      </w:r>
      <w:r>
        <w:rPr>
          <w:rFonts w:hint="eastAsia" w:eastAsia="仿宋_GB2312"/>
          <w:sz w:val="32"/>
          <w:szCs w:val="32"/>
          <w:highlight w:val="none"/>
          <w:lang w:val="en-US" w:eastAsia="zh-CN"/>
        </w:rPr>
        <w:t>3200</w:t>
      </w:r>
      <w:r>
        <w:rPr>
          <w:rFonts w:eastAsia="仿宋_GB2312"/>
          <w:sz w:val="32"/>
          <w:szCs w:val="32"/>
          <w:highlight w:val="none"/>
        </w:rPr>
        <w:t>万元，全年预算数</w:t>
      </w:r>
      <w:r>
        <w:rPr>
          <w:rFonts w:hint="eastAsia" w:eastAsia="仿宋_GB2312"/>
          <w:sz w:val="32"/>
          <w:szCs w:val="32"/>
          <w:highlight w:val="none"/>
          <w:lang w:val="en-US" w:eastAsia="zh-CN"/>
        </w:rPr>
        <w:t>3200</w:t>
      </w:r>
      <w:r>
        <w:rPr>
          <w:rFonts w:eastAsia="仿宋_GB2312"/>
          <w:sz w:val="32"/>
          <w:szCs w:val="32"/>
          <w:highlight w:val="none"/>
        </w:rPr>
        <w:t>万元，该项目资金已全部落实到位，资金来源为</w:t>
      </w:r>
      <w:r>
        <w:rPr>
          <w:rFonts w:hint="eastAsia" w:eastAsia="仿宋_GB2312"/>
          <w:sz w:val="32"/>
          <w:szCs w:val="32"/>
          <w:highlight w:val="none"/>
          <w:lang w:eastAsia="zh-CN"/>
        </w:rPr>
        <w:t>国债资金</w:t>
      </w:r>
      <w:r>
        <w:rPr>
          <w:rFonts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（2）资金使用情况</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该项目年初预算数</w:t>
      </w:r>
      <w:r>
        <w:rPr>
          <w:rFonts w:hint="eastAsia" w:eastAsia="仿宋_GB2312"/>
          <w:sz w:val="32"/>
          <w:szCs w:val="32"/>
          <w:highlight w:val="none"/>
          <w:lang w:val="en-US" w:eastAsia="zh-CN"/>
        </w:rPr>
        <w:t>3200</w:t>
      </w:r>
      <w:r>
        <w:rPr>
          <w:rFonts w:eastAsia="仿宋_GB2312"/>
          <w:sz w:val="32"/>
          <w:szCs w:val="32"/>
          <w:highlight w:val="none"/>
        </w:rPr>
        <w:t>万元，全年预算数</w:t>
      </w:r>
      <w:r>
        <w:rPr>
          <w:rFonts w:hint="eastAsia" w:eastAsia="仿宋_GB2312"/>
          <w:sz w:val="32"/>
          <w:szCs w:val="32"/>
          <w:highlight w:val="none"/>
          <w:lang w:val="en-US" w:eastAsia="zh-CN"/>
        </w:rPr>
        <w:t>3200</w:t>
      </w:r>
      <w:r>
        <w:rPr>
          <w:rFonts w:eastAsia="仿宋_GB2312"/>
          <w:sz w:val="32"/>
          <w:szCs w:val="32"/>
          <w:highlight w:val="none"/>
        </w:rPr>
        <w:t>万元，全年执行数</w:t>
      </w:r>
      <w:r>
        <w:rPr>
          <w:rFonts w:hint="eastAsia" w:eastAsia="仿宋_GB2312"/>
          <w:sz w:val="32"/>
          <w:szCs w:val="32"/>
          <w:highlight w:val="none"/>
          <w:lang w:val="en-US" w:eastAsia="zh-CN"/>
        </w:rPr>
        <w:t>3200</w:t>
      </w:r>
      <w:r>
        <w:rPr>
          <w:rFonts w:eastAsia="仿宋_GB2312"/>
          <w:sz w:val="32"/>
          <w:szCs w:val="32"/>
          <w:highlight w:val="none"/>
        </w:rPr>
        <w:t>万元，预算执行率为</w:t>
      </w:r>
      <w:r>
        <w:rPr>
          <w:rFonts w:hint="eastAsia" w:eastAsia="仿宋_GB2312"/>
          <w:sz w:val="32"/>
          <w:szCs w:val="32"/>
          <w:highlight w:val="none"/>
          <w:lang w:val="en-US" w:eastAsia="zh-CN"/>
        </w:rPr>
        <w:t>100</w:t>
      </w:r>
      <w:r>
        <w:rPr>
          <w:rFonts w:eastAsia="仿宋_GB2312"/>
          <w:sz w:val="32"/>
          <w:szCs w:val="32"/>
          <w:highlight w:val="none"/>
        </w:rPr>
        <w:t>%，主要用于：</w:t>
      </w:r>
      <w:r>
        <w:rPr>
          <w:rFonts w:hint="eastAsia" w:eastAsia="仿宋_GB2312"/>
          <w:sz w:val="32"/>
          <w:szCs w:val="32"/>
          <w:highlight w:val="none"/>
          <w:lang w:eastAsia="zh-CN"/>
        </w:rPr>
        <w:t>工程施工建设</w:t>
      </w:r>
      <w:r>
        <w:rPr>
          <w:rFonts w:eastAsia="仿宋_GB2312"/>
          <w:sz w:val="32"/>
          <w:szCs w:val="32"/>
          <w:highlight w:val="none"/>
        </w:rPr>
        <w:t>。</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pPr>
        <w:spacing w:line="560" w:lineRule="exact"/>
        <w:ind w:firstLine="640" w:firstLineChars="200"/>
        <w:rPr>
          <w:rFonts w:eastAsia="仿宋_GB2312"/>
          <w:sz w:val="32"/>
          <w:szCs w:val="32"/>
          <w:highlight w:val="none"/>
        </w:rPr>
      </w:pPr>
      <w:r>
        <w:rPr>
          <w:rFonts w:eastAsia="仿宋_GB2312"/>
          <w:sz w:val="32"/>
          <w:szCs w:val="32"/>
          <w:highlight w:val="none"/>
        </w:rPr>
        <w:t>1</w:t>
      </w:r>
      <w:r>
        <w:rPr>
          <w:rFonts w:eastAsia="仿宋_GB2312"/>
          <w:b/>
          <w:bCs/>
          <w:sz w:val="32"/>
          <w:szCs w:val="32"/>
          <w:highlight w:val="none"/>
        </w:rPr>
        <w:t>.</w:t>
      </w:r>
      <w:r>
        <w:rPr>
          <w:rFonts w:eastAsia="仿宋_GB2312"/>
          <w:sz w:val="32"/>
          <w:szCs w:val="32"/>
          <w:highlight w:val="none"/>
        </w:rPr>
        <w:t>总体目标</w:t>
      </w:r>
    </w:p>
    <w:p>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拆除原渠首，新建引水闸4孔、泄洪冲沙闸3孔、桥梁2座、铺盖、导流堤、水文监测系统1套、水利信息化系统1套及配套设施建设。确保中葛根河渠首闸安全运行，适时适量供水和测水，从而促进灌区广大群众增产增收。</w:t>
      </w:r>
    </w:p>
    <w:p>
      <w:pPr>
        <w:numPr>
          <w:ilvl w:val="0"/>
          <w:numId w:val="1"/>
        </w:numPr>
        <w:spacing w:line="560" w:lineRule="exact"/>
        <w:ind w:firstLine="640" w:firstLineChars="200"/>
        <w:rPr>
          <w:rFonts w:eastAsia="仿宋_GB2312"/>
          <w:sz w:val="32"/>
          <w:szCs w:val="32"/>
          <w:highlight w:val="none"/>
        </w:rPr>
      </w:pPr>
      <w:r>
        <w:rPr>
          <w:rFonts w:eastAsia="仿宋_GB2312"/>
          <w:sz w:val="32"/>
          <w:szCs w:val="32"/>
          <w:highlight w:val="none"/>
        </w:rPr>
        <w:t>阶段性目标</w:t>
      </w:r>
    </w:p>
    <w:p>
      <w:pPr>
        <w:numPr>
          <w:ilvl w:val="0"/>
          <w:numId w:val="0"/>
        </w:numPr>
        <w:spacing w:line="560" w:lineRule="exact"/>
        <w:ind w:firstLine="640" w:firstLineChars="200"/>
        <w:rPr>
          <w:rFonts w:hint="default" w:eastAsia="仿宋_GB2312"/>
          <w:sz w:val="32"/>
          <w:szCs w:val="32"/>
          <w:highlight w:val="none"/>
          <w:lang w:val="en-US" w:eastAsia="zh-CN"/>
        </w:rPr>
      </w:pPr>
      <w:r>
        <w:rPr>
          <w:rFonts w:hint="eastAsia" w:eastAsia="仿宋_GB2312"/>
          <w:sz w:val="32"/>
          <w:szCs w:val="32"/>
          <w:highlight w:val="none"/>
        </w:rPr>
        <w:t>2024年年底完成混凝土拆除；泄洪冲砂闸闸室及管理站房主体工程、下游护坦、防冲墙、上游铺盖；西侧引水闸闸室及管理站房主体工程、上游铺盖、下游陡坡、消力池、明渠与西干渠连接；东侧引水闸闸室及管理站房主体工程、上游铺盖；上下游导流堤</w:t>
      </w:r>
      <w:r>
        <w:rPr>
          <w:rFonts w:hint="eastAsia" w:eastAsia="仿宋_GB2312"/>
          <w:sz w:val="32"/>
          <w:szCs w:val="32"/>
          <w:highlight w:val="none"/>
          <w:lang w:eastAsia="zh-CN"/>
        </w:rPr>
        <w:t>部分、</w:t>
      </w:r>
      <w:r>
        <w:rPr>
          <w:rFonts w:hint="eastAsia" w:eastAsia="仿宋_GB2312"/>
          <w:sz w:val="32"/>
          <w:szCs w:val="32"/>
          <w:highlight w:val="none"/>
        </w:rPr>
        <w:t>上游导流堤</w:t>
      </w:r>
      <w:r>
        <w:rPr>
          <w:rFonts w:hint="eastAsia" w:eastAsia="仿宋_GB2312"/>
          <w:sz w:val="32"/>
          <w:szCs w:val="32"/>
          <w:highlight w:val="none"/>
          <w:lang w:eastAsia="zh-CN"/>
        </w:rPr>
        <w:t>部分</w:t>
      </w:r>
      <w:r>
        <w:rPr>
          <w:rFonts w:hint="eastAsia" w:eastAsia="仿宋_GB2312"/>
          <w:sz w:val="32"/>
          <w:szCs w:val="32"/>
          <w:highlight w:val="none"/>
        </w:rPr>
        <w:t>底板</w:t>
      </w:r>
      <w:r>
        <w:rPr>
          <w:rFonts w:hint="eastAsia" w:eastAsia="仿宋_GB2312"/>
          <w:sz w:val="32"/>
          <w:szCs w:val="32"/>
          <w:highlight w:val="none"/>
          <w:lang w:eastAsia="zh-CN"/>
        </w:rPr>
        <w:t>；</w:t>
      </w:r>
      <w:r>
        <w:rPr>
          <w:rFonts w:hint="eastAsia" w:eastAsia="仿宋_GB2312"/>
          <w:sz w:val="32"/>
          <w:szCs w:val="32"/>
          <w:highlight w:val="none"/>
        </w:rPr>
        <w:t>东、西侧绿化管道安装</w:t>
      </w:r>
      <w:r>
        <w:rPr>
          <w:rFonts w:hint="eastAsia" w:eastAsia="仿宋_GB2312"/>
          <w:sz w:val="32"/>
          <w:szCs w:val="32"/>
          <w:highlight w:val="none"/>
          <w:lang w:eastAsia="zh-CN"/>
        </w:rPr>
        <w:t>。</w:t>
      </w:r>
    </w:p>
    <w:p>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1.绩效评价完整性</w:t>
      </w:r>
    </w:p>
    <w:p>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本项目的预算绩效评价报告严格遵循相关规范要求，全面覆盖预算编制、执行到验收的全流程管理环节，系统评估项目各阶段实施成效。报告依据项目特点科学构建评价指标体系，综合考量经济性、社会效益等多维度关键指标，每个指标均制定明确的评价标准并清晰标注数据来源，确保评估过程可追溯、结论可验证。在数据采集与分析过程中，采用实地核查、对象访谈及系统数据比对相结合的方式，对异常或缺失数据进行补充调查与专业研判，严格保障数据真实性与完整性。报告内容按照规范框架展开，从项目背景与目标说明入手，详细阐述评价方法及实施路径，逐项分析各指标达成情况，客观指出实施过程中存在的管理问题并提出针对性改进建议，最终形成系统性结论与后续优化方向。通过全链条、多角度的深入分析，报告完整呈现项目实际成效与管理改进空间，未来将持续完善动态监测与评估机制，为提升项目管理水平提供可靠依据。</w:t>
      </w:r>
    </w:p>
    <w:p>
      <w:pPr>
        <w:spacing w:line="560" w:lineRule="exact"/>
        <w:ind w:firstLine="640" w:firstLineChars="200"/>
        <w:rPr>
          <w:rFonts w:eastAsia="仿宋_GB2312"/>
          <w:sz w:val="32"/>
          <w:szCs w:val="32"/>
          <w:highlight w:val="none"/>
        </w:rPr>
      </w:pPr>
      <w:r>
        <w:rPr>
          <w:rFonts w:eastAsia="仿宋_GB2312"/>
          <w:sz w:val="32"/>
          <w:szCs w:val="32"/>
          <w:highlight w:val="none"/>
        </w:rPr>
        <w:t>2.绩效评价的目的</w:t>
      </w:r>
    </w:p>
    <w:p>
      <w:pPr>
        <w:spacing w:line="560" w:lineRule="exact"/>
        <w:ind w:firstLine="640" w:firstLineChars="200"/>
        <w:rPr>
          <w:rFonts w:hint="eastAsia" w:eastAsia="仿宋_GB2312"/>
          <w:sz w:val="32"/>
          <w:szCs w:val="32"/>
          <w:highlight w:val="none"/>
          <w:lang w:eastAsia="zh-CN"/>
        </w:rPr>
      </w:pPr>
      <w:r>
        <w:rPr>
          <w:rFonts w:eastAsia="仿宋_GB2312"/>
          <w:sz w:val="32"/>
          <w:szCs w:val="32"/>
          <w:highlight w:val="none"/>
        </w:rPr>
        <w:t>（1）</w:t>
      </w:r>
      <w:r>
        <w:rPr>
          <w:rFonts w:hint="eastAsia" w:eastAsia="仿宋_GB2312"/>
          <w:sz w:val="32"/>
          <w:szCs w:val="32"/>
          <w:highlight w:val="none"/>
          <w:lang w:eastAsia="zh-CN"/>
        </w:rPr>
        <w:t>工程效果验证</w:t>
      </w:r>
    </w:p>
    <w:p>
      <w:pPr>
        <w:spacing w:line="560" w:lineRule="exact"/>
        <w:ind w:firstLine="640" w:firstLineChars="200"/>
        <w:rPr>
          <w:rFonts w:hint="eastAsia" w:eastAsia="仿宋_GB2312"/>
          <w:sz w:val="32"/>
          <w:szCs w:val="32"/>
          <w:highlight w:val="none"/>
        </w:rPr>
      </w:pPr>
      <w:r>
        <w:rPr>
          <w:rFonts w:eastAsia="仿宋_GB2312"/>
          <w:sz w:val="32"/>
          <w:szCs w:val="32"/>
          <w:highlight w:val="none"/>
        </w:rPr>
        <w:t>通</w:t>
      </w:r>
      <w:r>
        <w:rPr>
          <w:rFonts w:hint="eastAsia" w:eastAsia="仿宋_GB2312"/>
          <w:sz w:val="32"/>
          <w:szCs w:val="32"/>
          <w:highlight w:val="none"/>
        </w:rPr>
        <w:t>过验证设计文件中的防洪标准、结构安全等级、运行功能等硬性指标</w:t>
      </w:r>
      <w:r>
        <w:rPr>
          <w:rFonts w:hint="eastAsia" w:eastAsia="仿宋_GB2312"/>
          <w:sz w:val="32"/>
          <w:szCs w:val="32"/>
          <w:highlight w:val="none"/>
          <w:lang w:eastAsia="zh-CN"/>
        </w:rPr>
        <w:t>来评估设计方案的可行性，通过查阅</w:t>
      </w:r>
      <w:r>
        <w:rPr>
          <w:rFonts w:hint="eastAsia" w:eastAsia="仿宋_GB2312"/>
          <w:sz w:val="32"/>
          <w:szCs w:val="32"/>
          <w:highlight w:val="none"/>
        </w:rPr>
        <w:t>方案（如基础加固方式、材料选型、施工工艺）</w:t>
      </w:r>
      <w:r>
        <w:rPr>
          <w:rFonts w:hint="eastAsia" w:eastAsia="仿宋_GB2312"/>
          <w:sz w:val="32"/>
          <w:szCs w:val="32"/>
          <w:highlight w:val="none"/>
          <w:lang w:eastAsia="zh-CN"/>
        </w:rPr>
        <w:t>和</w:t>
      </w:r>
      <w:r>
        <w:rPr>
          <w:rFonts w:hint="eastAsia" w:eastAsia="仿宋_GB2312"/>
          <w:sz w:val="32"/>
          <w:szCs w:val="32"/>
          <w:highlight w:val="none"/>
        </w:rPr>
        <w:t>分析新技术应用（如智能监测系统）的实际效果</w:t>
      </w:r>
      <w:r>
        <w:rPr>
          <w:rFonts w:hint="eastAsia" w:eastAsia="仿宋_GB2312"/>
          <w:sz w:val="32"/>
          <w:szCs w:val="32"/>
          <w:highlight w:val="none"/>
          <w:lang w:eastAsia="zh-CN"/>
        </w:rPr>
        <w:t>来分析技术方案的科学性和实用性</w:t>
      </w:r>
      <w:r>
        <w:rPr>
          <w:rFonts w:hint="eastAsia" w:eastAsia="仿宋_GB2312"/>
          <w:sz w:val="32"/>
          <w:szCs w:val="32"/>
          <w:highlight w:val="none"/>
        </w:rPr>
        <w:t>，为项目后续的改进与优化提供科学依据。</w:t>
      </w:r>
    </w:p>
    <w:p>
      <w:pPr>
        <w:spacing w:line="560" w:lineRule="exact"/>
        <w:ind w:firstLine="640" w:firstLineChars="200"/>
        <w:rPr>
          <w:rFonts w:eastAsia="仿宋_GB2312"/>
          <w:sz w:val="32"/>
          <w:szCs w:val="32"/>
          <w:highlight w:val="none"/>
        </w:rPr>
      </w:pPr>
      <w:r>
        <w:rPr>
          <w:rFonts w:eastAsia="仿宋_GB2312"/>
          <w:sz w:val="32"/>
          <w:szCs w:val="32"/>
          <w:highlight w:val="none"/>
        </w:rPr>
        <w:t>（2）提升资源利用效率</w:t>
      </w:r>
    </w:p>
    <w:p>
      <w:pPr>
        <w:spacing w:line="560" w:lineRule="exact"/>
        <w:ind w:firstLine="640" w:firstLineChars="200"/>
        <w:rPr>
          <w:rFonts w:eastAsia="仿宋_GB2312"/>
          <w:sz w:val="32"/>
          <w:szCs w:val="32"/>
          <w:highlight w:val="none"/>
        </w:rPr>
      </w:pPr>
      <w:r>
        <w:rPr>
          <w:rFonts w:eastAsia="仿宋_GB2312"/>
          <w:sz w:val="32"/>
          <w:szCs w:val="32"/>
          <w:highlight w:val="none"/>
        </w:rPr>
        <w:t>深入分析单位工程量的造价合理性</w:t>
      </w:r>
      <w:r>
        <w:rPr>
          <w:rFonts w:hint="eastAsia" w:eastAsia="仿宋_GB2312"/>
          <w:sz w:val="32"/>
          <w:szCs w:val="32"/>
          <w:highlight w:val="none"/>
          <w:lang w:eastAsia="zh-CN"/>
        </w:rPr>
        <w:t>，</w:t>
      </w:r>
      <w:r>
        <w:rPr>
          <w:rFonts w:eastAsia="仿宋_GB2312"/>
          <w:sz w:val="32"/>
          <w:szCs w:val="32"/>
          <w:highlight w:val="none"/>
        </w:rPr>
        <w:t>对比预算与实际支出</w:t>
      </w:r>
      <w:r>
        <w:rPr>
          <w:rFonts w:hint="eastAsia" w:eastAsia="仿宋_GB2312"/>
          <w:sz w:val="32"/>
          <w:szCs w:val="32"/>
          <w:highlight w:val="none"/>
          <w:lang w:eastAsia="zh-CN"/>
        </w:rPr>
        <w:t>，</w:t>
      </w:r>
      <w:r>
        <w:rPr>
          <w:rFonts w:eastAsia="仿宋_GB2312"/>
          <w:sz w:val="32"/>
          <w:szCs w:val="32"/>
          <w:highlight w:val="none"/>
        </w:rPr>
        <w:t>量化工程投资与效益（如防洪减灾收益、灌溉面积增加）的比率推动项目在有限的预算资源下实现更高的绩效产出，提升整体资源利用效率，确保财政资金的合理、高效运用。</w:t>
      </w:r>
    </w:p>
    <w:p>
      <w:pPr>
        <w:numPr>
          <w:ilvl w:val="0"/>
          <w:numId w:val="0"/>
        </w:numPr>
        <w:spacing w:line="560" w:lineRule="exact"/>
        <w:ind w:firstLine="640" w:firstLineChars="200"/>
        <w:rPr>
          <w:rFonts w:hint="default" w:eastAsia="仿宋_GB2312"/>
          <w:sz w:val="32"/>
          <w:szCs w:val="32"/>
          <w:highlight w:val="none"/>
        </w:rPr>
      </w:pPr>
      <w:r>
        <w:rPr>
          <w:rFonts w:hint="default" w:ascii="Times New Roman" w:hAnsi="Times New Roman" w:eastAsia="仿宋_GB2312" w:cs="Times New Roman"/>
          <w:kern w:val="2"/>
          <w:sz w:val="32"/>
          <w:szCs w:val="32"/>
          <w:highlight w:val="none"/>
          <w:lang w:val="en-US" w:eastAsia="zh-CN" w:bidi="ar-SA"/>
        </w:rPr>
        <w:t>（3）</w:t>
      </w:r>
      <w:r>
        <w:rPr>
          <w:rFonts w:hint="default" w:eastAsia="仿宋_GB2312"/>
          <w:sz w:val="32"/>
          <w:szCs w:val="32"/>
          <w:highlight w:val="none"/>
        </w:rPr>
        <w:t>社会与生态效益</w:t>
      </w:r>
    </w:p>
    <w:p>
      <w:pPr>
        <w:numPr>
          <w:ilvl w:val="0"/>
          <w:numId w:val="0"/>
        </w:numPr>
        <w:spacing w:line="560" w:lineRule="exact"/>
        <w:ind w:firstLine="640" w:firstLineChars="200"/>
        <w:rPr>
          <w:rFonts w:eastAsia="仿宋_GB2312"/>
          <w:sz w:val="32"/>
          <w:szCs w:val="32"/>
          <w:highlight w:val="none"/>
        </w:rPr>
      </w:pPr>
      <w:r>
        <w:rPr>
          <w:rFonts w:eastAsia="仿宋_GB2312"/>
          <w:sz w:val="32"/>
          <w:szCs w:val="32"/>
          <w:highlight w:val="none"/>
        </w:rPr>
        <w:t>分析灌溉保证率、供水稳定性对粮食产量的影响</w:t>
      </w:r>
      <w:r>
        <w:rPr>
          <w:rFonts w:hint="eastAsia" w:eastAsia="仿宋_GB2312"/>
          <w:sz w:val="32"/>
          <w:szCs w:val="32"/>
          <w:highlight w:val="none"/>
          <w:lang w:eastAsia="zh-CN"/>
        </w:rPr>
        <w:t>，</w:t>
      </w:r>
      <w:r>
        <w:rPr>
          <w:rFonts w:eastAsia="仿宋_GB2312"/>
          <w:sz w:val="32"/>
          <w:szCs w:val="32"/>
          <w:highlight w:val="none"/>
        </w:rPr>
        <w:t>评价抗旱排涝能力的改善效果</w:t>
      </w:r>
      <w:r>
        <w:rPr>
          <w:rFonts w:hint="eastAsia" w:eastAsia="仿宋_GB2312"/>
          <w:sz w:val="32"/>
          <w:szCs w:val="32"/>
          <w:highlight w:val="none"/>
          <w:lang w:eastAsia="zh-CN"/>
        </w:rPr>
        <w:t>，</w:t>
      </w:r>
      <w:r>
        <w:rPr>
          <w:rFonts w:ascii="Times New Roman" w:hAnsi="Times New Roman" w:eastAsia="仿宋_GB2312" w:cs="Times New Roman"/>
          <w:kern w:val="2"/>
          <w:sz w:val="32"/>
          <w:szCs w:val="32"/>
          <w:highlight w:val="none"/>
          <w:lang w:val="en-US" w:eastAsia="zh-CN" w:bidi="ar-SA"/>
        </w:rPr>
        <w:t>调查受益群众对工程安全性、便利性的满意度。</w:t>
      </w:r>
      <w:r>
        <w:rPr>
          <w:rFonts w:eastAsia="仿宋_GB2312"/>
          <w:sz w:val="32"/>
          <w:szCs w:val="32"/>
          <w:highlight w:val="none"/>
        </w:rPr>
        <w:t>主动优化</w:t>
      </w:r>
      <w:r>
        <w:rPr>
          <w:rFonts w:hint="eastAsia" w:eastAsia="仿宋_GB2312"/>
          <w:sz w:val="32"/>
          <w:szCs w:val="32"/>
          <w:highlight w:val="none"/>
          <w:lang w:eastAsia="zh-CN"/>
        </w:rPr>
        <w:t>项目的实用性</w:t>
      </w:r>
      <w:r>
        <w:rPr>
          <w:rFonts w:eastAsia="仿宋_GB2312"/>
          <w:sz w:val="32"/>
          <w:szCs w:val="32"/>
          <w:highlight w:val="none"/>
        </w:rPr>
        <w:t>，</w:t>
      </w:r>
      <w:r>
        <w:rPr>
          <w:rFonts w:hint="eastAsia" w:eastAsia="仿宋_GB2312"/>
          <w:sz w:val="32"/>
          <w:szCs w:val="32"/>
          <w:highlight w:val="none"/>
          <w:lang w:eastAsia="zh-CN"/>
        </w:rPr>
        <w:t>使项目能够更好地服务当地</w:t>
      </w:r>
      <w:r>
        <w:rPr>
          <w:rFonts w:eastAsia="仿宋_GB2312"/>
          <w:sz w:val="32"/>
          <w:szCs w:val="32"/>
          <w:highlight w:val="none"/>
        </w:rPr>
        <w:t>。</w:t>
      </w:r>
    </w:p>
    <w:p>
      <w:pPr>
        <w:spacing w:line="560" w:lineRule="exact"/>
        <w:ind w:firstLine="640" w:firstLineChars="200"/>
        <w:rPr>
          <w:rFonts w:eastAsia="仿宋_GB2312"/>
          <w:sz w:val="32"/>
          <w:szCs w:val="32"/>
          <w:highlight w:val="none"/>
        </w:rPr>
      </w:pPr>
      <w:r>
        <w:rPr>
          <w:rFonts w:eastAsia="仿宋_GB2312"/>
          <w:sz w:val="32"/>
          <w:szCs w:val="32"/>
          <w:highlight w:val="none"/>
        </w:rPr>
        <w:t>（4）为决策提供支持</w:t>
      </w:r>
    </w:p>
    <w:p>
      <w:pPr>
        <w:spacing w:line="560" w:lineRule="exact"/>
        <w:ind w:firstLine="640" w:firstLineChars="200"/>
        <w:rPr>
          <w:rFonts w:eastAsia="仿宋_GB2312"/>
          <w:sz w:val="32"/>
          <w:szCs w:val="32"/>
          <w:highlight w:val="none"/>
        </w:rPr>
      </w:pPr>
      <w:r>
        <w:rPr>
          <w:rFonts w:eastAsia="仿宋_GB2312"/>
          <w:sz w:val="32"/>
          <w:szCs w:val="32"/>
          <w:highlight w:val="none"/>
        </w:rPr>
        <w:t>为项目主管部门、财政部门及相关决策层</w:t>
      </w:r>
      <w:r>
        <w:rPr>
          <w:rFonts w:hint="eastAsia" w:eastAsia="仿宋_GB2312"/>
          <w:sz w:val="32"/>
          <w:szCs w:val="32"/>
          <w:highlight w:val="none"/>
          <w:lang w:eastAsia="zh-CN"/>
        </w:rPr>
        <w:t>提供科学决策依据</w:t>
      </w:r>
      <w:r>
        <w:rPr>
          <w:rFonts w:hint="default" w:eastAsia="仿宋_GB2312"/>
          <w:sz w:val="32"/>
          <w:szCs w:val="32"/>
          <w:highlight w:val="none"/>
          <w:lang w:eastAsia="zh-CN"/>
        </w:rPr>
        <w:t>，减少主观经验依赖</w:t>
      </w:r>
      <w:r>
        <w:rPr>
          <w:rFonts w:hint="eastAsia" w:eastAsia="仿宋_GB2312"/>
          <w:sz w:val="32"/>
          <w:szCs w:val="32"/>
          <w:highlight w:val="none"/>
          <w:lang w:eastAsia="zh-CN"/>
        </w:rPr>
        <w:t>，</w:t>
      </w:r>
      <w:r>
        <w:rPr>
          <w:rFonts w:eastAsia="仿宋_GB2312"/>
          <w:sz w:val="32"/>
          <w:szCs w:val="32"/>
          <w:highlight w:val="none"/>
        </w:rPr>
        <w:t>推动水利、环保、财政等部门在工程监管中的</w:t>
      </w:r>
      <w:r>
        <w:rPr>
          <w:rFonts w:hint="default" w:eastAsia="仿宋_GB2312"/>
          <w:sz w:val="32"/>
          <w:szCs w:val="32"/>
          <w:highlight w:val="none"/>
        </w:rPr>
        <w:t>权责清晰化与协作流程标准化</w:t>
      </w:r>
      <w:r>
        <w:rPr>
          <w:rFonts w:hint="eastAsia" w:eastAsia="仿宋_GB2312"/>
          <w:sz w:val="32"/>
          <w:szCs w:val="32"/>
          <w:highlight w:val="none"/>
          <w:lang w:eastAsia="zh-CN"/>
        </w:rPr>
        <w:t>，</w:t>
      </w:r>
      <w:r>
        <w:rPr>
          <w:rFonts w:eastAsia="仿宋_GB2312"/>
          <w:sz w:val="32"/>
          <w:szCs w:val="32"/>
          <w:highlight w:val="none"/>
        </w:rPr>
        <w:t>促进项目资源的合理分配与有效整合，推动项目管理体系的不断完善与升级，提升公共资源配置的精准度与有效性。</w:t>
      </w:r>
    </w:p>
    <w:p>
      <w:pPr>
        <w:spacing w:line="560" w:lineRule="exact"/>
        <w:ind w:firstLine="640" w:firstLineChars="200"/>
        <w:rPr>
          <w:highlight w:val="none"/>
        </w:rPr>
      </w:pPr>
      <w:r>
        <w:rPr>
          <w:rFonts w:eastAsia="仿宋_GB2312"/>
          <w:sz w:val="32"/>
          <w:szCs w:val="32"/>
          <w:highlight w:val="none"/>
        </w:rPr>
        <w:t>（5）促进项目持续改进</w:t>
      </w:r>
    </w:p>
    <w:p>
      <w:pPr>
        <w:spacing w:line="560" w:lineRule="exact"/>
        <w:ind w:firstLine="640" w:firstLineChars="200"/>
        <w:rPr>
          <w:rFonts w:hint="default" w:ascii="Times New Roman" w:hAnsi="Times New Roman" w:eastAsia="仿宋_GB2312" w:cs="Times New Roman"/>
          <w:kern w:val="2"/>
          <w:sz w:val="32"/>
          <w:szCs w:val="32"/>
          <w:highlight w:val="none"/>
          <w:lang w:val="en-US" w:eastAsia="zh-CN" w:bidi="ar-SA"/>
        </w:rPr>
      </w:pPr>
      <w:r>
        <w:rPr>
          <w:rFonts w:hint="default" w:eastAsia="仿宋_GB2312"/>
          <w:sz w:val="32"/>
          <w:szCs w:val="32"/>
          <w:highlight w:val="none"/>
          <w:lang w:val="en-US" w:eastAsia="zh-CN"/>
        </w:rPr>
        <w:t>通过绩效评价发现工程实施中的不足（如施工质量偏差、管理漏洞），形成问题清单并推动整改，</w:t>
      </w:r>
      <w:r>
        <w:rPr>
          <w:rFonts w:hint="default" w:eastAsia="仿宋_GB2312"/>
          <w:sz w:val="32"/>
          <w:szCs w:val="32"/>
          <w:highlight w:val="none"/>
        </w:rPr>
        <w:t>总结加固工程中的技术亮点和管理经验，形成标准化操作指南</w:t>
      </w:r>
      <w:r>
        <w:rPr>
          <w:rFonts w:hint="eastAsia" w:eastAsia="仿宋_GB2312"/>
          <w:sz w:val="32"/>
          <w:szCs w:val="32"/>
          <w:highlight w:val="none"/>
          <w:lang w:eastAsia="zh-CN"/>
        </w:rPr>
        <w:t>，</w:t>
      </w:r>
      <w:r>
        <w:rPr>
          <w:rFonts w:hint="default" w:eastAsia="仿宋_GB2312"/>
          <w:sz w:val="32"/>
          <w:szCs w:val="32"/>
          <w:highlight w:val="none"/>
          <w:lang w:val="en-US" w:eastAsia="zh-CN"/>
        </w:rPr>
        <w:t>不断提升项目整体绩效水平，实现项目长期稳定发展的目标。</w:t>
      </w:r>
    </w:p>
    <w:p>
      <w:pPr>
        <w:spacing w:line="560" w:lineRule="exact"/>
        <w:ind w:firstLine="640" w:firstLineChars="200"/>
        <w:rPr>
          <w:rFonts w:hint="default" w:eastAsia="仿宋_GB2312"/>
          <w:sz w:val="32"/>
          <w:szCs w:val="32"/>
          <w:highlight w:val="none"/>
          <w:lang w:val="en-US" w:eastAsia="zh-CN"/>
        </w:rPr>
      </w:pPr>
      <w:r>
        <w:rPr>
          <w:rFonts w:hint="eastAsia" w:eastAsia="仿宋_GB2312"/>
          <w:sz w:val="32"/>
          <w:szCs w:val="32"/>
          <w:highlight w:val="none"/>
          <w:lang w:val="en-US" w:eastAsia="zh-CN"/>
        </w:rPr>
        <w:t>项目</w:t>
      </w:r>
      <w:r>
        <w:rPr>
          <w:rFonts w:hint="default" w:eastAsia="仿宋_GB2312"/>
          <w:sz w:val="32"/>
          <w:szCs w:val="32"/>
          <w:highlight w:val="none"/>
          <w:lang w:val="en-US" w:eastAsia="zh-CN"/>
        </w:rPr>
        <w:t>绩效评价不仅是“终点验收”，更是“改进起点”，通过发现问题、总结经验、优化决策，形成“规划-实施-评价-改进”的完整闭环，推动工程全生命周期质量螺旋上升。从单一工程效果扩展到经济、社会、生态、制度等多维度协同，实现“安全保底、资源高效、风险可控、发展可持续”的综合目标。推动项目在预算约束下实现高质量、可持续发展，充分发挥财政资金的经济效益与社会效益。</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w:t>
      </w:r>
      <w:r>
        <w:rPr>
          <w:rFonts w:ascii="Times New Roman" w:hAnsi="Times New Roman" w:eastAsia="仿宋_GB2312"/>
          <w:highlight w:val="none"/>
        </w:rPr>
        <w:t>.</w:t>
      </w:r>
      <w:r>
        <w:rPr>
          <w:rFonts w:ascii="Times New Roman" w:hAnsi="Times New Roman" w:eastAsia="仿宋_GB2312"/>
          <w:b w:val="0"/>
          <w:bCs w:val="0"/>
          <w:highlight w:val="none"/>
        </w:rPr>
        <w:t>绩效评价的对象</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本项目预算绩效评价报告的评价对象是</w:t>
      </w:r>
      <w:r>
        <w:rPr>
          <w:rFonts w:hint="eastAsia" w:ascii="Times New Roman" w:hAnsi="Times New Roman" w:eastAsia="仿宋_GB2312"/>
          <w:b w:val="0"/>
          <w:bCs w:val="0"/>
          <w:highlight w:val="none"/>
          <w:lang w:eastAsia="zh-CN"/>
        </w:rPr>
        <w:t>新疆昌吉州</w:t>
      </w:r>
      <w:r>
        <w:rPr>
          <w:rFonts w:hint="eastAsia" w:ascii="Times New Roman" w:hAnsi="Times New Roman" w:eastAsia="仿宋_GB2312"/>
          <w:b w:val="0"/>
          <w:bCs w:val="0"/>
          <w:highlight w:val="none"/>
        </w:rPr>
        <w:t>奇台县</w:t>
      </w:r>
      <w:r>
        <w:rPr>
          <w:rFonts w:ascii="Times New Roman" w:hAnsi="Times New Roman" w:eastAsia="仿宋_GB2312"/>
          <w:b w:val="0"/>
          <w:bCs w:val="0"/>
          <w:highlight w:val="none"/>
        </w:rPr>
        <w:t>中葛根渠首水闸除险加固工程项目及其预算执行情况。该项目由奇台县水利工程建设管理中心负责实施，旨在</w:t>
      </w:r>
      <w:r>
        <w:rPr>
          <w:rFonts w:hint="eastAsia" w:ascii="Times New Roman" w:hAnsi="Times New Roman" w:eastAsia="仿宋_GB2312"/>
          <w:b w:val="0"/>
          <w:bCs w:val="0"/>
          <w:highlight w:val="none"/>
        </w:rPr>
        <w:t>落实水利部规划计划司2024年底前国债资金使用完毕的节点要求,结合工程资金预算额(</w:t>
      </w:r>
      <w:r>
        <w:rPr>
          <w:rFonts w:hint="eastAsia" w:ascii="Times New Roman" w:hAnsi="Times New Roman" w:eastAsia="仿宋_GB2312"/>
          <w:b w:val="0"/>
          <w:bCs w:val="0"/>
          <w:highlight w:val="none"/>
          <w:lang w:eastAsia="zh-CN"/>
        </w:rPr>
        <w:t>3200万元</w:t>
      </w:r>
      <w:r>
        <w:rPr>
          <w:rFonts w:hint="eastAsia" w:ascii="Times New Roman" w:hAnsi="Times New Roman" w:eastAsia="仿宋_GB2312"/>
          <w:b w:val="0"/>
          <w:bCs w:val="0"/>
          <w:highlight w:val="none"/>
        </w:rPr>
        <w:t>），完成工程量的</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ascii="Times New Roman" w:hAnsi="Times New Roman" w:eastAsia="仿宋_GB2312"/>
          <w:b w:val="0"/>
          <w:bCs w:val="0"/>
          <w:highlight w:val="none"/>
        </w:rPr>
        <w:t>项目预算涵盖从</w:t>
      </w:r>
      <w:r>
        <w:rPr>
          <w:rFonts w:hint="eastAsia" w:ascii="Times New Roman" w:hAnsi="Times New Roman" w:eastAsia="仿宋_GB2312"/>
          <w:b w:val="0"/>
          <w:bCs w:val="0"/>
          <w:highlight w:val="none"/>
        </w:rPr>
        <w:t>2024年4月20日</w:t>
      </w:r>
      <w:r>
        <w:rPr>
          <w:rFonts w:ascii="Times New Roman" w:hAnsi="Times New Roman" w:eastAsia="仿宋_GB2312"/>
          <w:b w:val="0"/>
          <w:bCs w:val="0"/>
          <w:highlight w:val="none"/>
        </w:rPr>
        <w:t>至</w:t>
      </w:r>
      <w:r>
        <w:rPr>
          <w:rFonts w:hint="eastAsia" w:ascii="Times New Roman" w:hAnsi="Times New Roman" w:eastAsia="仿宋_GB2312"/>
          <w:b w:val="0"/>
          <w:bCs w:val="0"/>
          <w:highlight w:val="none"/>
        </w:rPr>
        <w:t>2024年12月3日</w:t>
      </w:r>
      <w:r>
        <w:rPr>
          <w:rFonts w:ascii="Times New Roman" w:hAnsi="Times New Roman" w:eastAsia="仿宋_GB2312"/>
          <w:b w:val="0"/>
          <w:bCs w:val="0"/>
          <w:highlight w:val="none"/>
        </w:rPr>
        <w:t>的全部资金投入与支出，涉及资金总额为</w:t>
      </w:r>
      <w:r>
        <w:rPr>
          <w:rFonts w:hint="eastAsia" w:ascii="Times New Roman" w:hAnsi="Times New Roman" w:eastAsia="仿宋_GB2312"/>
          <w:b w:val="0"/>
          <w:bCs w:val="0"/>
          <w:highlight w:val="none"/>
        </w:rPr>
        <w:t>3200.00</w:t>
      </w:r>
      <w:r>
        <w:rPr>
          <w:rFonts w:ascii="Times New Roman" w:hAnsi="Times New Roman" w:eastAsia="仿宋_GB2312"/>
          <w:b w:val="0"/>
          <w:bCs w:val="0"/>
          <w:highlight w:val="none"/>
        </w:rPr>
        <w:t>万元。</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4.绩效评价的范围</w:t>
      </w:r>
    </w:p>
    <w:p>
      <w:pPr>
        <w:pStyle w:val="12"/>
        <w:widowControl w:val="0"/>
        <w:spacing w:before="0" w:after="0" w:line="560" w:lineRule="exact"/>
        <w:ind w:firstLine="640" w:firstLineChars="200"/>
        <w:jc w:val="both"/>
        <w:outlineLvl w:val="9"/>
        <w:rPr>
          <w:rFonts w:hint="eastAsia" w:ascii="Times New Roman" w:hAnsi="Times New Roman" w:eastAsia="仿宋_GB2312"/>
          <w:b w:val="0"/>
          <w:bCs w:val="0"/>
          <w:highlight w:val="none"/>
        </w:rPr>
      </w:pPr>
      <w:r>
        <w:rPr>
          <w:rFonts w:hint="eastAsia" w:ascii="Times New Roman" w:hAnsi="Times New Roman" w:eastAsia="仿宋_GB2312"/>
          <w:b w:val="0"/>
          <w:bCs w:val="0"/>
          <w:highlight w:val="none"/>
        </w:rPr>
        <w:t>本项目的预算绩效评价体系以全周期、多维度视角构建，其评估范畴横向覆盖财务流程与实施成效，纵向贯穿项目全生命周期的关键管控节点，评价工作立足项目初始筹划阶段，延伸至当前评估节点，系统追踪预算管理全链路运行轨迹，重点聚焦以下核心模块：</w:t>
      </w:r>
    </w:p>
    <w:p>
      <w:pPr>
        <w:pStyle w:val="12"/>
        <w:widowControl w:val="0"/>
        <w:spacing w:before="0" w:after="0" w:line="560" w:lineRule="exact"/>
        <w:ind w:firstLine="640" w:firstLineChars="200"/>
        <w:jc w:val="both"/>
        <w:outlineLvl w:val="9"/>
        <w:rPr>
          <w:rFonts w:hint="eastAsia" w:ascii="Times New Roman" w:hAnsi="Times New Roman" w:eastAsia="仿宋_GB2312"/>
          <w:b w:val="0"/>
          <w:bCs w:val="0"/>
          <w:highlight w:val="none"/>
        </w:rPr>
      </w:pPr>
      <w:r>
        <w:rPr>
          <w:rFonts w:hint="eastAsia" w:ascii="Times New Roman" w:hAnsi="Times New Roman" w:eastAsia="仿宋_GB2312"/>
          <w:b w:val="0"/>
          <w:bCs w:val="0"/>
          <w:highlight w:val="none"/>
          <w:lang w:val="en-US" w:eastAsia="zh-CN"/>
        </w:rPr>
        <w:t>（1）</w:t>
      </w:r>
      <w:r>
        <w:rPr>
          <w:rFonts w:hint="eastAsia" w:ascii="Times New Roman" w:hAnsi="Times New Roman" w:eastAsia="仿宋_GB2312"/>
          <w:b w:val="0"/>
          <w:bCs w:val="0"/>
          <w:highlight w:val="none"/>
        </w:rPr>
        <w:t>项目预算编制与执行：覆盖预算制定全周期动态评估，包括编制规范性（政策契合度、测算方法论）、执行刚性约束（支出偏离度分析）、以及预算动态调整的合规性审查（变更触发机制、再分配效益比）。</w:t>
      </w:r>
    </w:p>
    <w:p>
      <w:pPr>
        <w:pStyle w:val="12"/>
        <w:widowControl w:val="0"/>
        <w:spacing w:before="0" w:after="0" w:line="560" w:lineRule="exact"/>
        <w:ind w:firstLine="640" w:firstLineChars="200"/>
        <w:jc w:val="both"/>
        <w:outlineLvl w:val="9"/>
        <w:rPr>
          <w:rFonts w:hint="eastAsia" w:ascii="Times New Roman" w:hAnsi="Times New Roman" w:eastAsia="仿宋_GB2312"/>
          <w:b w:val="0"/>
          <w:bCs w:val="0"/>
          <w:highlight w:val="none"/>
        </w:rPr>
      </w:pPr>
      <w:r>
        <w:rPr>
          <w:rFonts w:hint="eastAsia" w:ascii="Times New Roman" w:hAnsi="Times New Roman" w:eastAsia="仿宋_GB2312"/>
          <w:b w:val="0"/>
          <w:bCs w:val="0"/>
          <w:highlight w:val="none"/>
          <w:lang w:val="en-US" w:eastAsia="zh-CN"/>
        </w:rPr>
        <w:t>（2）</w:t>
      </w:r>
      <w:r>
        <w:rPr>
          <w:rFonts w:hint="eastAsia" w:ascii="Times New Roman" w:hAnsi="Times New Roman" w:eastAsia="仿宋_GB2312"/>
          <w:b w:val="0"/>
          <w:bCs w:val="0"/>
          <w:highlight w:val="none"/>
        </w:rPr>
        <w:t>资金管理：</w:t>
      </w:r>
      <w:r>
        <w:rPr>
          <w:rFonts w:hint="default" w:ascii="Times New Roman" w:hAnsi="Times New Roman" w:eastAsia="仿宋_GB2312"/>
          <w:b w:val="0"/>
          <w:bCs w:val="0"/>
          <w:highlight w:val="none"/>
        </w:rPr>
        <w:t>构建"配置-流转-效益"三维评估模型：</w:t>
      </w:r>
    </w:p>
    <w:p>
      <w:pPr>
        <w:pStyle w:val="12"/>
        <w:widowControl w:val="0"/>
        <w:spacing w:before="0" w:after="0" w:line="560" w:lineRule="exact"/>
        <w:jc w:val="both"/>
        <w:outlineLvl w:val="9"/>
        <w:rPr>
          <w:rFonts w:hint="eastAsia" w:ascii="Times New Roman" w:hAnsi="Times New Roman" w:eastAsia="仿宋_GB2312"/>
          <w:b w:val="0"/>
          <w:bCs w:val="0"/>
          <w:highlight w:val="none"/>
          <w:lang w:eastAsia="zh-CN"/>
        </w:rPr>
      </w:pPr>
      <w:r>
        <w:rPr>
          <w:rFonts w:hint="default" w:ascii="Times New Roman" w:hAnsi="Times New Roman" w:eastAsia="仿宋_GB2312"/>
          <w:b w:val="0"/>
          <w:bCs w:val="0"/>
          <w:highlight w:val="none"/>
        </w:rPr>
        <w:t>资金配置路径追踪</w:t>
      </w:r>
      <w:r>
        <w:rPr>
          <w:rFonts w:hint="eastAsia" w:ascii="Times New Roman" w:hAnsi="Times New Roman" w:eastAsia="仿宋_GB2312"/>
          <w:b w:val="0"/>
          <w:bCs w:val="0"/>
          <w:highlight w:val="none"/>
          <w:lang w:eastAsia="zh-CN"/>
        </w:rPr>
        <w:t>，</w:t>
      </w:r>
      <w:r>
        <w:rPr>
          <w:rFonts w:hint="default" w:ascii="Times New Roman" w:hAnsi="Times New Roman" w:eastAsia="仿宋_GB2312"/>
          <w:b w:val="0"/>
          <w:bCs w:val="0"/>
          <w:highlight w:val="none"/>
        </w:rPr>
        <w:t>分配决策与项目需求的匹配度验证</w:t>
      </w:r>
      <w:r>
        <w:rPr>
          <w:rFonts w:hint="eastAsia" w:ascii="Times New Roman" w:hAnsi="Times New Roman" w:eastAsia="仿宋_GB2312"/>
          <w:b w:val="0"/>
          <w:bCs w:val="0"/>
          <w:highlight w:val="none"/>
          <w:lang w:eastAsia="zh-CN"/>
        </w:rPr>
        <w:t>；</w:t>
      </w:r>
      <w:r>
        <w:rPr>
          <w:rFonts w:hint="default" w:ascii="Times New Roman" w:hAnsi="Times New Roman" w:eastAsia="仿宋_GB2312"/>
          <w:b w:val="0"/>
          <w:bCs w:val="0"/>
          <w:highlight w:val="none"/>
        </w:rPr>
        <w:t>支出合规性审查</w:t>
      </w:r>
      <w:r>
        <w:rPr>
          <w:rFonts w:hint="eastAsia" w:ascii="Times New Roman" w:hAnsi="Times New Roman" w:eastAsia="仿宋_GB2312"/>
          <w:b w:val="0"/>
          <w:bCs w:val="0"/>
          <w:highlight w:val="none"/>
          <w:lang w:eastAsia="zh-CN"/>
        </w:rPr>
        <w:t>，</w:t>
      </w:r>
      <w:r>
        <w:rPr>
          <w:rFonts w:hint="default" w:ascii="Times New Roman" w:hAnsi="Times New Roman" w:eastAsia="仿宋_GB2312"/>
          <w:b w:val="0"/>
          <w:bCs w:val="0"/>
          <w:highlight w:val="none"/>
        </w:rPr>
        <w:t>支付审批流程、票据完备性、专户管理规范性</w:t>
      </w:r>
      <w:r>
        <w:rPr>
          <w:rFonts w:hint="eastAsia" w:ascii="Times New Roman" w:hAnsi="Times New Roman" w:eastAsia="仿宋_GB2312"/>
          <w:b w:val="0"/>
          <w:bCs w:val="0"/>
          <w:highlight w:val="none"/>
          <w:lang w:eastAsia="zh-CN"/>
        </w:rPr>
        <w:t>；</w:t>
      </w:r>
      <w:r>
        <w:rPr>
          <w:rFonts w:hint="default" w:ascii="Times New Roman" w:hAnsi="Times New Roman" w:eastAsia="仿宋_GB2312"/>
          <w:b w:val="0"/>
          <w:bCs w:val="0"/>
          <w:highlight w:val="none"/>
        </w:rPr>
        <w:t>监管机制有效性</w:t>
      </w:r>
      <w:r>
        <w:rPr>
          <w:rFonts w:hint="eastAsia" w:ascii="Times New Roman" w:hAnsi="Times New Roman" w:eastAsia="仿宋_GB2312"/>
          <w:b w:val="0"/>
          <w:bCs w:val="0"/>
          <w:highlight w:val="none"/>
          <w:lang w:eastAsia="zh-CN"/>
        </w:rPr>
        <w:t>，</w:t>
      </w:r>
      <w:r>
        <w:rPr>
          <w:rFonts w:hint="default" w:ascii="Times New Roman" w:hAnsi="Times New Roman" w:eastAsia="仿宋_GB2312"/>
          <w:b w:val="0"/>
          <w:bCs w:val="0"/>
          <w:highlight w:val="none"/>
        </w:rPr>
        <w:t>审计问题整改率、风险预警响应时效</w:t>
      </w:r>
      <w:r>
        <w:rPr>
          <w:rFonts w:hint="eastAsia" w:ascii="Times New Roman" w:hAnsi="Times New Roman" w:eastAsia="仿宋_GB2312"/>
          <w:b w:val="0"/>
          <w:bCs w:val="0"/>
          <w:highlight w:val="none"/>
          <w:lang w:eastAsia="zh-CN"/>
        </w:rPr>
        <w:t>。</w:t>
      </w:r>
    </w:p>
    <w:p>
      <w:pPr>
        <w:pStyle w:val="11"/>
        <w:keepNext w:val="0"/>
        <w:keepLines w:val="0"/>
        <w:widowControl/>
        <w:numPr>
          <w:ilvl w:val="0"/>
          <w:numId w:val="2"/>
        </w:numPr>
        <w:suppressLineNumbers w:val="0"/>
        <w:shd w:val="clear" w:fill="FFFFFF"/>
        <w:spacing w:before="0" w:beforeAutospacing="0" w:afterAutospacing="0"/>
        <w:ind w:left="0" w:leftChars="0" w:right="0" w:rightChars="0" w:firstLine="640" w:firstLineChars="200"/>
        <w:jc w:val="left"/>
        <w:rPr>
          <w:rFonts w:hint="eastAsia"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项目实施进度与产出：建立"双轴评估坐标系"</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时间轴</w:t>
      </w:r>
      <w:r>
        <w:rPr>
          <w:rFonts w:hint="eastAsia" w:eastAsia="仿宋_GB2312" w:cs="Times New Roman"/>
          <w:b w:val="0"/>
          <w:bCs w:val="0"/>
          <w:kern w:val="28"/>
          <w:sz w:val="32"/>
          <w:szCs w:val="32"/>
          <w:highlight w:val="none"/>
          <w:lang w:val="en-US" w:eastAsia="zh-CN" w:bidi="ar-SA"/>
        </w:rPr>
        <w:t>主要是对</w:t>
      </w:r>
      <w:r>
        <w:rPr>
          <w:rFonts w:hint="default" w:ascii="Times New Roman" w:hAnsi="Times New Roman" w:eastAsia="仿宋_GB2312" w:cs="Times New Roman"/>
          <w:b w:val="0"/>
          <w:bCs w:val="0"/>
          <w:kern w:val="28"/>
          <w:sz w:val="32"/>
          <w:szCs w:val="32"/>
          <w:highlight w:val="none"/>
          <w:lang w:val="en-US" w:eastAsia="zh-CN" w:bidi="ar-SA"/>
        </w:rPr>
        <w:t>计划执行吻合度核查（关键节点达成率、延期风险系数）</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质量轴</w:t>
      </w:r>
      <w:r>
        <w:rPr>
          <w:rFonts w:hint="eastAsia" w:eastAsia="仿宋_GB2312" w:cs="Times New Roman"/>
          <w:b w:val="0"/>
          <w:bCs w:val="0"/>
          <w:kern w:val="28"/>
          <w:sz w:val="32"/>
          <w:szCs w:val="32"/>
          <w:highlight w:val="none"/>
          <w:lang w:val="en-US" w:eastAsia="zh-CN" w:bidi="ar-SA"/>
        </w:rPr>
        <w:t>主要是</w:t>
      </w:r>
      <w:r>
        <w:rPr>
          <w:rFonts w:hint="default" w:ascii="Times New Roman" w:hAnsi="Times New Roman" w:eastAsia="仿宋_GB2312" w:cs="Times New Roman"/>
          <w:b w:val="0"/>
          <w:bCs w:val="0"/>
          <w:kern w:val="28"/>
          <w:sz w:val="32"/>
          <w:szCs w:val="32"/>
          <w:highlight w:val="none"/>
          <w:lang w:val="en-US" w:eastAsia="zh-CN" w:bidi="ar-SA"/>
        </w:rPr>
        <w:t>阶段性成果验收（产出物技术参数达标率、交付物完整性指数）</w:t>
      </w:r>
      <w:r>
        <w:rPr>
          <w:rFonts w:hint="eastAsia" w:eastAsia="仿宋_GB2312" w:cs="Times New Roman"/>
          <w:b w:val="0"/>
          <w:bCs w:val="0"/>
          <w:kern w:val="28"/>
          <w:sz w:val="32"/>
          <w:szCs w:val="32"/>
          <w:highlight w:val="none"/>
          <w:lang w:val="en-US" w:eastAsia="zh-CN" w:bidi="ar-SA"/>
        </w:rPr>
        <w:t>。</w:t>
      </w:r>
    </w:p>
    <w:p>
      <w:pPr>
        <w:pStyle w:val="11"/>
        <w:keepNext w:val="0"/>
        <w:keepLines w:val="0"/>
        <w:widowControl/>
        <w:numPr>
          <w:ilvl w:val="0"/>
          <w:numId w:val="0"/>
        </w:numPr>
        <w:suppressLineNumbers w:val="0"/>
        <w:shd w:val="clear" w:fill="FFFFFF"/>
        <w:spacing w:before="0" w:beforeAutospacing="0" w:afterAutospacing="0"/>
        <w:ind w:right="0" w:rightChars="0" w:firstLine="640" w:firstLineChars="200"/>
        <w:jc w:val="left"/>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（4）社会、</w:t>
      </w:r>
      <w:r>
        <w:rPr>
          <w:rFonts w:hint="eastAsia" w:ascii="Times New Roman" w:hAnsi="Times New Roman" w:eastAsia="仿宋_GB2312" w:cs="Times New Roman"/>
          <w:b w:val="0"/>
          <w:bCs w:val="0"/>
          <w:kern w:val="28"/>
          <w:sz w:val="32"/>
          <w:szCs w:val="32"/>
          <w:highlight w:val="none"/>
          <w:lang w:val="en-US" w:eastAsia="zh-CN" w:bidi="ar-SA"/>
        </w:rPr>
        <w:t>生态</w:t>
      </w:r>
      <w:r>
        <w:rPr>
          <w:rFonts w:hint="default" w:ascii="Times New Roman" w:hAnsi="Times New Roman" w:eastAsia="仿宋_GB2312" w:cs="Times New Roman"/>
          <w:b w:val="0"/>
          <w:bCs w:val="0"/>
          <w:kern w:val="28"/>
          <w:sz w:val="32"/>
          <w:szCs w:val="32"/>
          <w:highlight w:val="none"/>
          <w:lang w:val="en-US" w:eastAsia="zh-CN" w:bidi="ar-SA"/>
        </w:rPr>
        <w:t>等影响：突破传统财务评价边界，构建"三位一体"影响评估体系</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社会民生维度</w:t>
      </w:r>
      <w:r>
        <w:rPr>
          <w:rFonts w:hint="eastAsia" w:eastAsia="仿宋_GB2312" w:cs="Times New Roman"/>
          <w:b w:val="0"/>
          <w:bCs w:val="0"/>
          <w:kern w:val="28"/>
          <w:sz w:val="32"/>
          <w:szCs w:val="32"/>
          <w:highlight w:val="none"/>
          <w:lang w:val="en-US" w:eastAsia="zh-CN" w:bidi="ar-SA"/>
        </w:rPr>
        <w:t>方面主要是</w:t>
      </w:r>
      <w:r>
        <w:rPr>
          <w:rFonts w:hint="default" w:ascii="Times New Roman" w:hAnsi="Times New Roman" w:eastAsia="仿宋_GB2312" w:cs="Times New Roman"/>
          <w:b w:val="0"/>
          <w:bCs w:val="0"/>
          <w:kern w:val="28"/>
          <w:sz w:val="32"/>
          <w:szCs w:val="32"/>
          <w:highlight w:val="none"/>
          <w:lang w:val="en-US" w:eastAsia="zh-CN" w:bidi="ar-SA"/>
        </w:rPr>
        <w:t>公共服务供给改善度、受益群体满意度</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生态环境维度</w:t>
      </w:r>
      <w:r>
        <w:rPr>
          <w:rFonts w:hint="eastAsia" w:eastAsia="仿宋_GB2312" w:cs="Times New Roman"/>
          <w:b w:val="0"/>
          <w:bCs w:val="0"/>
          <w:kern w:val="28"/>
          <w:sz w:val="32"/>
          <w:szCs w:val="32"/>
          <w:highlight w:val="none"/>
          <w:lang w:val="en-US" w:eastAsia="zh-CN" w:bidi="ar-SA"/>
        </w:rPr>
        <w:t>方面主要是</w:t>
      </w:r>
      <w:r>
        <w:rPr>
          <w:rFonts w:hint="default" w:ascii="Times New Roman" w:hAnsi="Times New Roman" w:eastAsia="仿宋_GB2312" w:cs="Times New Roman"/>
          <w:b w:val="0"/>
          <w:bCs w:val="0"/>
          <w:kern w:val="28"/>
          <w:sz w:val="32"/>
          <w:szCs w:val="32"/>
          <w:highlight w:val="none"/>
          <w:lang w:val="en-US" w:eastAsia="zh-CN" w:bidi="ar-SA"/>
        </w:rPr>
        <w:t>碳足迹变化值、生态修复面积比</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经济拉动维度</w:t>
      </w:r>
      <w:r>
        <w:rPr>
          <w:rFonts w:hint="eastAsia" w:eastAsia="仿宋_GB2312" w:cs="Times New Roman"/>
          <w:b w:val="0"/>
          <w:bCs w:val="0"/>
          <w:kern w:val="28"/>
          <w:sz w:val="32"/>
          <w:szCs w:val="32"/>
          <w:highlight w:val="none"/>
          <w:lang w:val="en-US" w:eastAsia="zh-CN" w:bidi="ar-SA"/>
        </w:rPr>
        <w:t>方面主要是</w:t>
      </w:r>
      <w:r>
        <w:rPr>
          <w:rFonts w:hint="default" w:ascii="Times New Roman" w:hAnsi="Times New Roman" w:eastAsia="仿宋_GB2312" w:cs="Times New Roman"/>
          <w:b w:val="0"/>
          <w:bCs w:val="0"/>
          <w:kern w:val="28"/>
          <w:sz w:val="32"/>
          <w:szCs w:val="32"/>
          <w:highlight w:val="none"/>
          <w:lang w:val="en-US" w:eastAsia="zh-CN" w:bidi="ar-SA"/>
        </w:rPr>
        <w:t>产业链激活指数、区域GDP贡献值</w:t>
      </w:r>
    </w:p>
    <w:p>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w:t>
      </w:r>
      <w:r>
        <w:rPr>
          <w:rFonts w:ascii="Times New Roman" w:hAnsi="Times New Roman" w:eastAsia="仿宋_GB2312"/>
          <w:highlight w:val="none"/>
        </w:rPr>
        <w:t>.</w:t>
      </w:r>
      <w:r>
        <w:rPr>
          <w:rFonts w:ascii="Times New Roman" w:hAnsi="Times New Roman" w:eastAsia="仿宋_GB2312"/>
          <w:b w:val="0"/>
          <w:bCs w:val="0"/>
          <w:highlight w:val="none"/>
        </w:rPr>
        <w:t>绩效评价原则</w:t>
      </w:r>
    </w:p>
    <w:p>
      <w:pPr>
        <w:pStyle w:val="1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本项目绩效评价严格遵循四大核心准则，确保评估工作的规范性与实效性：</w:t>
      </w:r>
    </w:p>
    <w:p>
      <w:pPr>
        <w:pStyle w:val="12"/>
        <w:numPr>
          <w:ilvl w:val="0"/>
          <w:numId w:val="0"/>
        </w:numPr>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cs="Times New Roman"/>
          <w:b w:val="0"/>
          <w:bCs w:val="0"/>
          <w:kern w:val="28"/>
          <w:sz w:val="32"/>
          <w:szCs w:val="32"/>
          <w:highlight w:val="none"/>
          <w:lang w:val="en-US" w:eastAsia="zh-CN" w:bidi="ar-SA"/>
        </w:rPr>
        <w:t>（1）</w:t>
      </w:r>
      <w:r>
        <w:rPr>
          <w:rFonts w:hint="eastAsia" w:ascii="Times New Roman" w:hAnsi="Times New Roman" w:eastAsia="仿宋_GB2312"/>
          <w:b w:val="0"/>
          <w:bCs w:val="0"/>
          <w:highlight w:val="none"/>
          <w:lang w:eastAsia="zh-CN"/>
        </w:rPr>
        <w:t>方法论准则</w:t>
      </w:r>
      <w:r>
        <w:rPr>
          <w:rFonts w:ascii="Times New Roman" w:hAnsi="Times New Roman" w:eastAsia="仿宋_GB2312"/>
          <w:b w:val="0"/>
          <w:bCs w:val="0"/>
          <w:highlight w:val="none"/>
        </w:rPr>
        <w:t>。</w:t>
      </w:r>
    </w:p>
    <w:p>
      <w:pPr>
        <w:pStyle w:val="12"/>
        <w:numPr>
          <w:ilvl w:val="0"/>
          <w:numId w:val="0"/>
        </w:numPr>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采用系统化评估工具与标准化流程，通过定量分析与定性研究相结合的方式，确保评价结论的真实性与公允性。</w:t>
      </w:r>
    </w:p>
    <w:p>
      <w:pPr>
        <w:pStyle w:val="12"/>
        <w:numPr>
          <w:ilvl w:val="0"/>
          <w:numId w:val="0"/>
        </w:numPr>
        <w:spacing w:before="0" w:after="0" w:line="560" w:lineRule="exact"/>
        <w:ind w:firstLine="640" w:firstLineChars="200"/>
        <w:jc w:val="both"/>
        <w:outlineLvl w:val="9"/>
        <w:rPr>
          <w:rFonts w:hint="eastAsia"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（2）责任协同准则。</w:t>
      </w:r>
    </w:p>
    <w:p>
      <w:pPr>
        <w:pStyle w:val="11"/>
        <w:keepNext w:val="0"/>
        <w:keepLines w:val="0"/>
        <w:widowControl/>
        <w:suppressLineNumbers w:val="0"/>
        <w:shd w:val="clear" w:fill="FFFFFF"/>
        <w:spacing w:before="0" w:beforeAutospacing="0" w:after="0" w:afterAutospacing="0"/>
        <w:ind w:right="0"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构建三级联评机制：</w:t>
      </w:r>
    </w:p>
    <w:p>
      <w:pPr>
        <w:pStyle w:val="11"/>
        <w:keepNext w:val="0"/>
        <w:keepLines w:val="0"/>
        <w:widowControl/>
        <w:suppressLineNumbers w:val="0"/>
        <w:shd w:val="clear" w:fill="FFFFFF"/>
        <w:spacing w:before="0" w:beforeAutospacing="0" w:after="0" w:afterAutospacing="0"/>
        <w:ind w:right="0" w:firstLine="640" w:firstLineChars="200"/>
        <w:rPr>
          <w:rFonts w:hint="eastAsia"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实施主体自评：遵循"支出责任主体自检"原则，由项目执行方开展基础性评估</w:t>
      </w:r>
    </w:p>
    <w:p>
      <w:pPr>
        <w:pStyle w:val="11"/>
        <w:keepNext w:val="0"/>
        <w:keepLines w:val="0"/>
        <w:widowControl/>
        <w:suppressLineNumbers w:val="0"/>
        <w:spacing w:before="0" w:beforeAutospacing="0" w:after="0" w:afterAutospacing="0"/>
        <w:ind w:right="0" w:firstLine="640" w:firstLineChars="200"/>
        <w:rPr>
          <w:rFonts w:hint="eastAsia"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主管部门核查：在自评基础上进行专业复核与重点抽检</w:t>
      </w:r>
    </w:p>
    <w:p>
      <w:pPr>
        <w:pStyle w:val="11"/>
        <w:keepNext w:val="0"/>
        <w:keepLines w:val="0"/>
        <w:widowControl/>
        <w:suppressLineNumbers w:val="0"/>
        <w:spacing w:before="0" w:beforeAutospacing="0" w:after="0" w:afterAutospacing="0"/>
        <w:ind w:right="0" w:firstLine="640" w:firstLineChars="200"/>
        <w:rPr>
          <w:rFonts w:hint="eastAsia"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财政综合评定：统筹全口径数据开展战略级绩效分析</w:t>
      </w:r>
    </w:p>
    <w:p>
      <w:pPr>
        <w:pStyle w:val="12"/>
        <w:numPr>
          <w:ilvl w:val="0"/>
          <w:numId w:val="0"/>
        </w:numPr>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highlight w:val="none"/>
          <w:lang w:val="en-US" w:eastAsia="zh-CN"/>
        </w:rPr>
        <w:t>（3）</w:t>
      </w:r>
      <w:r>
        <w:rPr>
          <w:rFonts w:hint="eastAsia" w:ascii="Times New Roman" w:hAnsi="Times New Roman" w:eastAsia="仿宋_GB2312"/>
          <w:b w:val="0"/>
          <w:bCs w:val="0"/>
          <w:highlight w:val="none"/>
          <w:lang w:eastAsia="zh-CN"/>
        </w:rPr>
        <w:t>结果应用准则。</w:t>
      </w:r>
    </w:p>
    <w:p>
      <w:pPr>
        <w:pStyle w:val="12"/>
        <w:numPr>
          <w:ilvl w:val="0"/>
          <w:numId w:val="0"/>
        </w:numPr>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default" w:ascii="Times New Roman" w:hAnsi="Times New Roman" w:eastAsia="仿宋_GB2312"/>
          <w:b w:val="0"/>
          <w:bCs w:val="0"/>
          <w:highlight w:val="none"/>
          <w:lang w:eastAsia="zh-CN"/>
        </w:rPr>
        <w:t>建立评价结果与资源配置的强关联机制：</w:t>
      </w:r>
    </w:p>
    <w:p>
      <w:pPr>
        <w:pStyle w:val="12"/>
        <w:numPr>
          <w:ilvl w:val="0"/>
          <w:numId w:val="0"/>
        </w:numPr>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default" w:ascii="Times New Roman" w:hAnsi="Times New Roman" w:eastAsia="仿宋_GB2312"/>
          <w:b w:val="0"/>
          <w:bCs w:val="0"/>
          <w:highlight w:val="none"/>
          <w:lang w:eastAsia="zh-CN"/>
        </w:rPr>
        <w:t>对高效项目优先保障资金供给</w:t>
      </w:r>
      <w:r>
        <w:rPr>
          <w:rFonts w:hint="eastAsia" w:ascii="Times New Roman" w:hAnsi="Times New Roman" w:eastAsia="仿宋_GB2312"/>
          <w:b w:val="0"/>
          <w:bCs w:val="0"/>
          <w:highlight w:val="none"/>
          <w:lang w:eastAsia="zh-CN"/>
        </w:rPr>
        <w:t>；</w:t>
      </w:r>
      <w:r>
        <w:rPr>
          <w:rFonts w:hint="default" w:ascii="Times New Roman" w:hAnsi="Times New Roman" w:eastAsia="仿宋_GB2312"/>
          <w:b w:val="0"/>
          <w:bCs w:val="0"/>
          <w:highlight w:val="none"/>
          <w:lang w:eastAsia="zh-CN"/>
        </w:rPr>
        <w:t>对低效项目实施预算动态核减</w:t>
      </w:r>
      <w:r>
        <w:rPr>
          <w:rFonts w:hint="eastAsia" w:ascii="Times New Roman" w:hAnsi="Times New Roman" w:eastAsia="仿宋_GB2312"/>
          <w:b w:val="0"/>
          <w:bCs w:val="0"/>
          <w:highlight w:val="none"/>
          <w:lang w:eastAsia="zh-CN"/>
        </w:rPr>
        <w:t>；</w:t>
      </w:r>
      <w:r>
        <w:rPr>
          <w:rFonts w:hint="default" w:ascii="Times New Roman" w:hAnsi="Times New Roman" w:eastAsia="仿宋_GB2312"/>
          <w:b w:val="0"/>
          <w:bCs w:val="0"/>
          <w:highlight w:val="none"/>
          <w:lang w:eastAsia="zh-CN"/>
        </w:rPr>
        <w:t>对无效项目启动绩效问责程序</w:t>
      </w:r>
    </w:p>
    <w:p>
      <w:pPr>
        <w:pStyle w:val="1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w:t>
      </w:r>
      <w:r>
        <w:rPr>
          <w:rFonts w:hint="default" w:ascii="Times New Roman" w:hAnsi="Times New Roman" w:eastAsia="仿宋_GB2312"/>
          <w:b w:val="0"/>
          <w:bCs w:val="0"/>
          <w:highlight w:val="none"/>
          <w:lang w:eastAsia="zh-CN"/>
        </w:rPr>
        <w:t>主动接受多元主体监督，保障绩效管理全流程透明度。</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w:t>
      </w:r>
      <w:r>
        <w:rPr>
          <w:rFonts w:ascii="Times New Roman" w:hAnsi="Times New Roman" w:eastAsia="仿宋_GB2312"/>
          <w:highlight w:val="none"/>
        </w:rPr>
        <w:t>.</w:t>
      </w:r>
      <w:r>
        <w:rPr>
          <w:rFonts w:ascii="Times New Roman" w:hAnsi="Times New Roman" w:eastAsia="仿宋_GB2312"/>
          <w:b w:val="0"/>
          <w:bCs w:val="0"/>
          <w:highlight w:val="none"/>
        </w:rPr>
        <w:t>评价指标体系</w:t>
      </w:r>
    </w:p>
    <w:p>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绩效评价总分值100分，根据综合评分结果，90（含）-100分为优、80（含）-90分为良、60（含）-80分为中、60分以下为差。</w:t>
      </w:r>
    </w:p>
    <w:p>
      <w:pPr>
        <w:pStyle w:val="1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 xml:space="preserve">（一）成本效益分析法。是指将投入与产出、效益进行关联性分析的方法。 </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w:t>
      </w:r>
      <w:r>
        <w:rPr>
          <w:rFonts w:ascii="Times New Roman" w:hAnsi="Times New Roman" w:eastAsia="仿宋_GB2312"/>
          <w:highlight w:val="none"/>
        </w:rPr>
        <w:t>.</w:t>
      </w:r>
      <w:r>
        <w:rPr>
          <w:rFonts w:ascii="Times New Roman" w:hAnsi="Times New Roman" w:eastAsia="仿宋_GB2312"/>
          <w:b w:val="0"/>
          <w:bCs w:val="0"/>
          <w:highlight w:val="none"/>
        </w:rPr>
        <w:t>评价标准</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highlight w:val="none"/>
        </w:rPr>
        <w:t>计划</w:t>
      </w:r>
      <w:r>
        <w:rPr>
          <w:rFonts w:ascii="Times New Roman" w:hAnsi="Times New Roman" w:eastAsia="仿宋_GB2312"/>
          <w:b w:val="0"/>
          <w:bCs w:val="0"/>
          <w:highlight w:val="none"/>
        </w:rPr>
        <w:t>标准。</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计划标准。指以预先制定的目标、计划、预算、定额等作为评价标准。</w:t>
      </w:r>
    </w:p>
    <w:p>
      <w:pPr>
        <w:pStyle w:val="12"/>
        <w:numPr>
          <w:ilvl w:val="0"/>
          <w:numId w:val="0"/>
        </w:numPr>
        <w:spacing w:before="0" w:after="0" w:line="560" w:lineRule="exact"/>
        <w:ind w:firstLine="711" w:firstLineChars="200"/>
        <w:jc w:val="both"/>
        <w:rPr>
          <w:rFonts w:ascii="Times New Roman" w:hAnsi="Times New Roman" w:eastAsia="楷体"/>
          <w:color w:val="000000"/>
          <w:spacing w:val="17"/>
          <w:highlight w:val="none"/>
        </w:rPr>
      </w:pPr>
      <w:r>
        <w:rPr>
          <w:rFonts w:hint="eastAsia" w:ascii="Times New Roman" w:hAnsi="Times New Roman" w:eastAsia="楷体" w:cs="Times New Roman"/>
          <w:b/>
          <w:bCs/>
          <w:color w:val="000000"/>
          <w:spacing w:val="17"/>
          <w:kern w:val="28"/>
          <w:sz w:val="32"/>
          <w:szCs w:val="32"/>
          <w:highlight w:val="none"/>
          <w:lang w:val="en-US" w:eastAsia="zh-CN" w:bidi="ar-SA"/>
        </w:rPr>
        <w:t>（三）</w:t>
      </w:r>
      <w:r>
        <w:rPr>
          <w:rFonts w:ascii="Times New Roman" w:hAnsi="Times New Roman" w:eastAsia="楷体"/>
          <w:color w:val="000000"/>
          <w:spacing w:val="17"/>
          <w:highlight w:val="none"/>
        </w:rPr>
        <w:t>绩效评价工作过程</w:t>
      </w:r>
    </w:p>
    <w:p>
      <w:pPr>
        <w:pStyle w:val="11"/>
        <w:keepNext w:val="0"/>
        <w:keepLines w:val="0"/>
        <w:widowControl/>
        <w:suppressLineNumbers w:val="0"/>
        <w:shd w:val="clear" w:fill="FFFFFF"/>
        <w:spacing w:before="0" w:beforeAutospacing="0" w:after="0" w:afterAutospacing="0"/>
        <w:ind w:left="0" w:right="0" w:firstLine="640" w:firstLineChars="200"/>
        <w:rPr>
          <w:rFonts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本次绩效评价工作按照系统化流程有序推进，确保全过程规范严谨：</w:t>
      </w:r>
    </w:p>
    <w:p>
      <w:pPr>
        <w:pStyle w:val="11"/>
        <w:keepNext w:val="0"/>
        <w:keepLines w:val="0"/>
        <w:widowControl/>
        <w:suppressLineNumbers w:val="0"/>
        <w:shd w:val="clear" w:fill="FFFFFF"/>
        <w:spacing w:before="0" w:beforeAutospacing="0" w:after="0" w:afterAutospacing="0"/>
        <w:ind w:left="0" w:right="0"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在筹备阶段，组建跨领域专业团队，明确评价目标与实施路径，制定详细工作计划。围绕项目特性，从决策科学性、过程规范性、产出达标度、效益显著性四个层面构建评价框架，设定多维度的考核标准及权重分配。</w:t>
      </w:r>
    </w:p>
    <w:p>
      <w:pPr>
        <w:pStyle w:val="11"/>
        <w:keepNext w:val="0"/>
        <w:keepLines w:val="0"/>
        <w:widowControl/>
        <w:suppressLineNumbers w:val="0"/>
        <w:shd w:val="clear" w:fill="FFFFFF"/>
        <w:spacing w:before="0" w:beforeAutospacing="0" w:after="0" w:afterAutospacing="0"/>
        <w:ind w:left="0" w:right="0"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通过调取财务资料、查阅项目档案、实地核验成果、征集利益相关方意见等方式全面采集基础信息，对异常数据进行交叉验证与补充修正，建立完整数据链。运用定量分析与定性研判相结合的方法，对照预设目标逐项评估指标完成度，系统梳理项目执行成效与存在问题。</w:t>
      </w:r>
    </w:p>
    <w:p>
      <w:pPr>
        <w:pStyle w:val="11"/>
        <w:keepNext w:val="0"/>
        <w:keepLines w:val="0"/>
        <w:widowControl/>
        <w:suppressLineNumbers w:val="0"/>
        <w:shd w:val="clear" w:fill="FFFFFF"/>
        <w:spacing w:before="0" w:beforeAutospacing="0" w:after="0" w:afterAutospacing="0"/>
        <w:ind w:left="0" w:right="0" w:firstLine="640" w:firstLineChars="200"/>
        <w:rPr>
          <w:rFonts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依据分析结果编制结构化报告，完整呈现评价过程、核心结论及改进建议，通过多方论证完善报告内容。建立长效跟踪机制，定期复查整改落实情况，动态优化评价标准与管理措施，推动项目绩效持续提升。全过程注重逻辑衔接与证据闭环，确保评价结论客观可溯、指导有效。</w:t>
      </w:r>
    </w:p>
    <w:p>
      <w:pPr>
        <w:numPr>
          <w:ilvl w:val="0"/>
          <w:numId w:val="3"/>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pPr>
        <w:pStyle w:val="1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（一）评价情况</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sz w:val="32"/>
          <w:szCs w:val="32"/>
          <w:highlight w:val="none"/>
          <w:lang w:eastAsia="zh-CN"/>
        </w:rPr>
        <w:t>新疆昌吉州</w:t>
      </w:r>
      <w:r>
        <w:rPr>
          <w:rFonts w:hint="eastAsia" w:eastAsia="仿宋_GB2312"/>
          <w:sz w:val="32"/>
          <w:szCs w:val="32"/>
          <w:highlight w:val="none"/>
        </w:rPr>
        <w:t>奇台县</w:t>
      </w:r>
      <w:r>
        <w:rPr>
          <w:rFonts w:eastAsia="仿宋_GB2312"/>
          <w:sz w:val="32"/>
          <w:szCs w:val="32"/>
          <w:highlight w:val="none"/>
        </w:rPr>
        <w:t>中葛根渠首水闸除险加固工程</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eastAsia="zh-CN"/>
        </w:rPr>
        <w:t>质量指标</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时效指标</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ascii="Times New Roman" w:hAnsi="Times New Roman" w:eastAsia="仿宋_GB2312" w:cs="Times New Roman"/>
          <w:sz w:val="32"/>
          <w:szCs w:val="32"/>
          <w:highlight w:val="none"/>
          <w:lang w:eastAsia="zh-CN"/>
        </w:rPr>
        <w:t>效益指标</w:t>
      </w:r>
      <w:r>
        <w:rPr>
          <w:rFonts w:hint="default" w:ascii="Times New Roman" w:hAnsi="Times New Roman" w:eastAsia="仿宋_GB2312" w:cs="Times New Roman"/>
          <w:sz w:val="32"/>
          <w:szCs w:val="32"/>
          <w:highlight w:val="none"/>
        </w:rPr>
        <w:t>取得了显著的成效，如经济效益指标、社会效益指标等。</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奇台县水利建设管理中心</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1"/>
        <w:widowControl/>
        <w:spacing w:beforeAutospacing="0" w:afterAutospacing="0" w:line="560" w:lineRule="exact"/>
        <w:ind w:firstLine="640" w:firstLineChars="200"/>
        <w:rPr>
          <w:rFonts w:eastAsia="仿宋_GB2312"/>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等方面的提升，为项目的利益相关者带来了实实在在的利益。</w:t>
      </w:r>
    </w:p>
    <w:p>
      <w:pPr>
        <w:pStyle w:val="11"/>
        <w:widowControl/>
        <w:spacing w:beforeAutospacing="0" w:afterAutospacing="0" w:line="560" w:lineRule="exact"/>
        <w:ind w:firstLine="640" w:firstLineChars="200"/>
        <w:rPr>
          <w:highlight w:val="none"/>
        </w:rPr>
      </w:pPr>
      <w:r>
        <w:rPr>
          <w:rFonts w:eastAsia="仿宋_GB2312"/>
          <w:sz w:val="32"/>
          <w:szCs w:val="32"/>
          <w:highlight w:val="none"/>
        </w:rPr>
        <w:t>综上所述，</w:t>
      </w:r>
      <w:r>
        <w:rPr>
          <w:rFonts w:hint="eastAsia" w:eastAsia="仿宋_GB2312"/>
          <w:sz w:val="32"/>
          <w:szCs w:val="32"/>
          <w:highlight w:val="none"/>
          <w:lang w:eastAsia="zh-CN"/>
        </w:rPr>
        <w:t>新疆昌吉州</w:t>
      </w:r>
      <w:r>
        <w:rPr>
          <w:rFonts w:hint="eastAsia" w:eastAsia="仿宋_GB2312"/>
          <w:sz w:val="32"/>
          <w:szCs w:val="32"/>
          <w:highlight w:val="none"/>
        </w:rPr>
        <w:t>奇台县</w:t>
      </w:r>
      <w:r>
        <w:rPr>
          <w:rFonts w:eastAsia="仿宋_GB2312"/>
          <w:sz w:val="32"/>
          <w:szCs w:val="32"/>
          <w:highlight w:val="none"/>
        </w:rPr>
        <w:t>中葛根渠首水闸除险加固工程在绩效评价中表现出色，达到了项目的预期目标，并在多个方面取得了显著的成效。</w:t>
      </w:r>
    </w:p>
    <w:p>
      <w:pPr>
        <w:pStyle w:val="1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（二）评价结论</w:t>
      </w:r>
    </w:p>
    <w:p>
      <w:pPr>
        <w:pStyle w:val="1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highlight w:val="none"/>
          <w:lang w:val="en-US" w:eastAsia="zh-CN"/>
        </w:rPr>
        <w:t>80</w:t>
      </w:r>
      <w:r>
        <w:rPr>
          <w:rFonts w:ascii="Times New Roman" w:hAnsi="Times New Roman" w:eastAsia="仿宋_GB2312"/>
          <w:b w:val="0"/>
          <w:bCs w:val="0"/>
          <w:highlight w:val="none"/>
        </w:rPr>
        <w:t>分，属于“</w:t>
      </w:r>
      <w:r>
        <w:rPr>
          <w:rFonts w:hint="eastAsia" w:ascii="Times New Roman" w:hAnsi="Times New Roman" w:eastAsia="仿宋_GB2312"/>
          <w:b w:val="0"/>
          <w:bCs w:val="0"/>
          <w:highlight w:val="none"/>
          <w:lang w:eastAsia="zh-CN"/>
        </w:rPr>
        <w:t>良</w:t>
      </w:r>
      <w:r>
        <w:rPr>
          <w:rFonts w:ascii="Times New Roman" w:hAnsi="Times New Roman" w:eastAsia="仿宋_GB2312"/>
          <w:b w:val="0"/>
          <w:bCs w:val="0"/>
          <w:highlight w:val="none"/>
        </w:rPr>
        <w:t xml:space="preserve">”。其中，项目决策类指标权重为20分，得分为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 xml:space="preserve">%。项目过程类指标权重为20分，得分为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0</w:t>
      </w:r>
      <w:r>
        <w:rPr>
          <w:rFonts w:ascii="Times New Roman" w:hAnsi="Times New Roman" w:eastAsia="仿宋_GB2312"/>
          <w:b w:val="0"/>
          <w:bCs w:val="0"/>
          <w:highlight w:val="none"/>
        </w:rPr>
        <w:t>%。具体打分情况详见：附件1综合评分表。</w:t>
      </w:r>
    </w:p>
    <w:p>
      <w:pPr>
        <w:pStyle w:val="12"/>
        <w:spacing w:before="0" w:after="0"/>
        <w:rPr>
          <w:rFonts w:ascii="Times New Roman" w:hAnsi="Times New Roman" w:eastAsia="仿宋_GB2312"/>
          <w:sz w:val="21"/>
          <w:szCs w:val="21"/>
          <w:highlight w:val="none"/>
        </w:rPr>
      </w:pPr>
      <w:r>
        <w:rPr>
          <w:rFonts w:ascii="Times New Roman" w:hAnsi="Times New Roman" w:eastAsia="仿宋_GB2312"/>
          <w:sz w:val="21"/>
          <w:szCs w:val="21"/>
          <w:highlight w:val="none"/>
        </w:rPr>
        <w:t>表1综合评分表</w:t>
      </w:r>
    </w:p>
    <w:tbl>
      <w:tblPr>
        <w:tblStyle w:val="16"/>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highlight w:val="none"/>
              </w:rPr>
            </w:pPr>
            <w:r>
              <w:rPr>
                <w:rFonts w:eastAsia="仿宋_GB2312"/>
                <w:b/>
                <w:bCs/>
                <w:color w:val="000000"/>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highlight w:val="none"/>
              </w:rPr>
            </w:pPr>
            <w:r>
              <w:rPr>
                <w:rFonts w:eastAsia="仿宋_GB2312"/>
                <w:b/>
                <w:bCs/>
                <w:color w:val="000000"/>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highlight w:val="none"/>
              </w:rPr>
            </w:pPr>
            <w:r>
              <w:rPr>
                <w:rFonts w:eastAsia="仿宋_GB2312"/>
                <w:b/>
                <w:bCs/>
                <w:color w:val="000000"/>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highlight w:val="none"/>
              </w:rPr>
            </w:pPr>
            <w:r>
              <w:rPr>
                <w:rFonts w:hint="eastAsia" w:eastAsia="仿宋_GB2312"/>
                <w:b/>
                <w:bCs/>
                <w:color w:val="000000"/>
                <w:szCs w:val="21"/>
                <w:highlight w:val="none"/>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highlight w:val="none"/>
                <w:lang w:val="en-US" w:eastAsia="zh-CN"/>
              </w:rPr>
            </w:pPr>
            <w:r>
              <w:rPr>
                <w:rFonts w:hint="eastAsia" w:eastAsia="仿宋_GB2312"/>
                <w:color w:val="000000"/>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highlight w:val="none"/>
                <w:lang w:val="en-US" w:eastAsia="zh-CN"/>
              </w:rPr>
            </w:pPr>
            <w:r>
              <w:rPr>
                <w:rFonts w:hint="eastAsia" w:eastAsia="仿宋_GB2312"/>
                <w:color w:val="000000"/>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highlight w:val="none"/>
                <w:lang w:val="en-US" w:eastAsia="zh-CN"/>
              </w:rPr>
            </w:pPr>
            <w:r>
              <w:rPr>
                <w:rFonts w:hint="eastAsia" w:eastAsia="仿宋_GB2312"/>
                <w:color w:val="000000"/>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hint="eastAsia" w:eastAsia="仿宋_GB2312"/>
                <w:color w:val="000000"/>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highlight w:val="none"/>
                <w:lang w:val="en-US" w:eastAsia="zh-CN"/>
              </w:rPr>
            </w:pPr>
            <w:r>
              <w:rPr>
                <w:rFonts w:hint="eastAsia" w:eastAsia="仿宋_GB2312"/>
                <w:color w:val="000000"/>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hint="eastAsia" w:eastAsia="仿宋_GB2312"/>
                <w:color w:val="000000"/>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eastAsia="仿宋_GB2312"/>
                <w:color w:val="000000"/>
                <w:szCs w:val="21"/>
                <w:highlight w:val="none"/>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highlight w:val="none"/>
                <w:lang w:val="en-US" w:eastAsia="zh-CN"/>
              </w:rPr>
            </w:pPr>
            <w:r>
              <w:rPr>
                <w:rFonts w:hint="eastAsia" w:eastAsia="仿宋_GB2312"/>
                <w:color w:val="000000"/>
                <w:szCs w:val="21"/>
                <w:highlight w:val="none"/>
                <w:lang w:val="en-US" w:eastAsia="zh-CN"/>
              </w:rPr>
              <w:t>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highlight w:val="none"/>
              </w:rPr>
            </w:pPr>
            <w:r>
              <w:rPr>
                <w:rFonts w:hint="eastAsia" w:eastAsia="仿宋_GB2312"/>
                <w:color w:val="000000"/>
                <w:szCs w:val="21"/>
                <w:highlight w:val="none"/>
                <w:lang w:val="en-US" w:eastAsia="zh-CN"/>
              </w:rPr>
              <w:t>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color w:val="000000"/>
                <w:szCs w:val="21"/>
                <w:highlight w:val="none"/>
              </w:rPr>
            </w:pPr>
            <w:r>
              <w:rPr>
                <w:rFonts w:eastAsia="仿宋_GB2312"/>
                <w:b/>
                <w:bCs/>
                <w:color w:val="000000"/>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highlight w:val="none"/>
              </w:rPr>
            </w:pPr>
            <w:r>
              <w:rPr>
                <w:rFonts w:eastAsia="仿宋_GB2312"/>
                <w:b/>
                <w:bCs/>
                <w:color w:val="000000"/>
                <w:szCs w:val="21"/>
                <w:highlight w:val="none"/>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Cs w:val="21"/>
                <w:highlight w:val="none"/>
                <w:lang w:val="en-US" w:eastAsia="zh-CN"/>
              </w:rPr>
            </w:pPr>
            <w:r>
              <w:rPr>
                <w:rFonts w:hint="eastAsia" w:eastAsia="仿宋_GB2312"/>
                <w:b/>
                <w:bCs/>
                <w:color w:val="000000"/>
                <w:szCs w:val="21"/>
                <w:highlight w:val="none"/>
                <w:lang w:val="en-US" w:eastAsia="zh-CN"/>
              </w:rPr>
              <w:t>80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highlight w:val="none"/>
              </w:rPr>
            </w:pPr>
            <w:r>
              <w:rPr>
                <w:rFonts w:hint="eastAsia" w:eastAsia="仿宋_GB2312"/>
                <w:color w:val="000000"/>
                <w:szCs w:val="21"/>
                <w:highlight w:val="none"/>
                <w:lang w:val="en-US" w:eastAsia="zh-CN"/>
              </w:rPr>
              <w:t>80%</w:t>
            </w:r>
          </w:p>
        </w:tc>
      </w:tr>
    </w:tbl>
    <w:p>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pPr>
        <w:pStyle w:val="1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项目决策类指标包括项目立项、绩效目标和资金投入三方面的内容，由6个三级指标构成，权重分值为20分，实际得分</w:t>
      </w:r>
      <w:r>
        <w:rPr>
          <w:rFonts w:hint="eastAsia" w:eastAsia="仿宋_GB2312"/>
          <w:sz w:val="32"/>
          <w:szCs w:val="32"/>
          <w:highlight w:val="none"/>
          <w:lang w:val="en-US" w:eastAsia="zh-CN"/>
        </w:rPr>
        <w:t>20</w:t>
      </w:r>
      <w:r>
        <w:rPr>
          <w:rFonts w:eastAsia="仿宋_GB2312"/>
          <w:sz w:val="32"/>
          <w:szCs w:val="32"/>
          <w:highlight w:val="none"/>
        </w:rPr>
        <w:t>分，得分率为</w:t>
      </w:r>
      <w:r>
        <w:rPr>
          <w:rFonts w:hint="eastAsia" w:eastAsia="仿宋_GB2312"/>
          <w:sz w:val="32"/>
          <w:szCs w:val="32"/>
          <w:highlight w:val="none"/>
          <w:lang w:val="en-US" w:eastAsia="zh-CN"/>
        </w:rPr>
        <w:t>100</w:t>
      </w:r>
      <w:r>
        <w:rPr>
          <w:rFonts w:eastAsia="仿宋_GB2312"/>
          <w:sz w:val="32"/>
          <w:szCs w:val="32"/>
          <w:highlight w:val="none"/>
        </w:rPr>
        <w:t>%。</w:t>
      </w:r>
    </w:p>
    <w:p>
      <w:pPr>
        <w:pStyle w:val="22"/>
        <w:spacing w:line="560" w:lineRule="exact"/>
        <w:ind w:firstLine="640"/>
        <w:rPr>
          <w:rFonts w:eastAsia="仿宋_GB2312"/>
          <w:b/>
          <w:bCs/>
          <w:sz w:val="32"/>
          <w:szCs w:val="32"/>
          <w:highlight w:val="none"/>
        </w:rPr>
      </w:pPr>
      <w:r>
        <w:rPr>
          <w:rFonts w:eastAsia="仿宋_GB2312"/>
          <w:b/>
          <w:bCs/>
          <w:sz w:val="32"/>
          <w:szCs w:val="32"/>
          <w:highlight w:val="none"/>
        </w:rPr>
        <w:t>1.项目立项</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（1）立项依据充分性</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该项目立项符合</w:t>
      </w:r>
      <w:r>
        <w:rPr>
          <w:rFonts w:hint="eastAsia" w:eastAsia="仿宋_GB2312"/>
          <w:sz w:val="32"/>
          <w:szCs w:val="32"/>
          <w:highlight w:val="none"/>
        </w:rPr>
        <w:t>（大中型水闸除险加固规划、流域规划修编、《水闸安全鉴定管理办法》（水建管〔2008〕214号）、《水闸安全评价导则SL214-2015》、《关于印发奇台县中葛根渠首《水闸安全鉴定报告书》的通知（昌州水函字【2023】44号），</w:t>
      </w:r>
      <w:r>
        <w:rPr>
          <w:rFonts w:eastAsia="仿宋_GB2312"/>
          <w:sz w:val="32"/>
          <w:szCs w:val="32"/>
          <w:highlight w:val="none"/>
        </w:rPr>
        <w:t>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（2）立项程序规范性</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项目申请、设立过程符合相关要求，</w:t>
      </w:r>
      <w:r>
        <w:rPr>
          <w:rFonts w:eastAsia="仿宋_GB2312"/>
          <w:sz w:val="32"/>
          <w:szCs w:val="32"/>
          <w:highlight w:val="none"/>
          <w:lang w:eastAsia="zh-Hans"/>
        </w:rPr>
        <w:t>严格按照审批流程准备符合要求的文件、材料；</w:t>
      </w:r>
      <w:r>
        <w:rPr>
          <w:rFonts w:eastAsia="仿宋_GB2312"/>
          <w:sz w:val="32"/>
          <w:szCs w:val="32"/>
          <w:highlight w:val="none"/>
        </w:rPr>
        <w:t>根据决算依据编制工作计划和经费预算，经过与部门项目分管领导沟通、筛选确定经费预算计划，确定最终预算方案。项目的审批文件、材料符合相关要求，项目事前经过必要的可行性研究、专家论证、集体决策，保障了程序的规范性。</w:t>
      </w:r>
    </w:p>
    <w:p>
      <w:pPr>
        <w:pStyle w:val="22"/>
        <w:spacing w:line="560" w:lineRule="exact"/>
        <w:ind w:firstLine="640"/>
        <w:rPr>
          <w:rFonts w:eastAsia="仿宋_GB2312"/>
          <w:b/>
          <w:bCs/>
          <w:sz w:val="32"/>
          <w:szCs w:val="32"/>
          <w:highlight w:val="none"/>
        </w:rPr>
      </w:pPr>
      <w:r>
        <w:rPr>
          <w:rFonts w:eastAsia="仿宋_GB2312"/>
          <w:b/>
          <w:bCs/>
          <w:sz w:val="32"/>
          <w:szCs w:val="32"/>
          <w:highlight w:val="none"/>
        </w:rPr>
        <w:t>2.绩效目标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（1）绩效目标合理性</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lang w:eastAsia="zh-Hans"/>
        </w:rPr>
        <w:t>年初结合实际工作内容</w:t>
      </w:r>
      <w:r>
        <w:rPr>
          <w:rFonts w:eastAsia="仿宋_GB2312"/>
          <w:sz w:val="32"/>
          <w:szCs w:val="32"/>
          <w:highlight w:val="none"/>
        </w:rPr>
        <w:t>设定绩效目标</w:t>
      </w:r>
      <w:r>
        <w:rPr>
          <w:rFonts w:eastAsia="仿宋_GB2312"/>
          <w:sz w:val="32"/>
          <w:szCs w:val="32"/>
          <w:highlight w:val="none"/>
          <w:lang w:eastAsia="zh-Hans"/>
        </w:rPr>
        <w:t>，绩效目标</w:t>
      </w:r>
      <w:r>
        <w:rPr>
          <w:rFonts w:eastAsia="仿宋_GB2312"/>
          <w:sz w:val="32"/>
          <w:szCs w:val="32"/>
          <w:highlight w:val="none"/>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（2）绩效指标明确性</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项目设置了明确的预期产出效益和效果，将绩效目标细化分解为具体的绩效指标，绩效目标与项目目标任务数相对应，绩效目标设定的绩效指标清晰、细化、可衡量。</w:t>
      </w:r>
    </w:p>
    <w:p>
      <w:pPr>
        <w:pStyle w:val="22"/>
        <w:spacing w:line="560" w:lineRule="exact"/>
        <w:ind w:firstLine="640"/>
        <w:rPr>
          <w:rFonts w:eastAsia="仿宋_GB2312"/>
          <w:b/>
          <w:bCs/>
          <w:sz w:val="32"/>
          <w:szCs w:val="32"/>
          <w:highlight w:val="none"/>
        </w:rPr>
      </w:pPr>
      <w:r>
        <w:rPr>
          <w:rFonts w:eastAsia="仿宋_GB2312"/>
          <w:b/>
          <w:bCs/>
          <w:sz w:val="32"/>
          <w:szCs w:val="32"/>
          <w:highlight w:val="none"/>
        </w:rPr>
        <w:t>3.资金投入</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（1）预算编制科学性</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首先基于项目实际需求开展全方位费用测算，逐项核算人员、材料、设备等必要开支，确保资金分配与建设任务精准匹配。针对施工周期长、环节多的特点，专门制定分阶段用款计划，明确各节点资金需求上限。</w:t>
      </w:r>
    </w:p>
    <w:p>
      <w:pPr>
        <w:spacing w:line="600" w:lineRule="exact"/>
        <w:ind w:firstLine="640" w:firstLineChars="200"/>
        <w:outlineLvl w:val="0"/>
        <w:rPr>
          <w:rFonts w:eastAsia="仿宋_GB2312"/>
          <w:sz w:val="32"/>
          <w:szCs w:val="32"/>
          <w:highlight w:val="none"/>
        </w:rPr>
      </w:pPr>
      <w:r>
        <w:rPr>
          <w:rFonts w:hint="default" w:eastAsia="仿宋_GB2312"/>
          <w:sz w:val="32"/>
          <w:szCs w:val="32"/>
          <w:highlight w:val="none"/>
        </w:rPr>
        <w:t>同时注重成本效益平衡，通过优化采购方案、减少非必要支出等方式提升资金使用效率。在预算方案中额外设置应急准备金，预先评估可能出现的材料涨价、设计变更等风险，确保突发状况下资金链不断裂。整个预算方案既保证项目顺利推进，又最大限度避免资金浪费，实现</w:t>
      </w:r>
      <w:r>
        <w:rPr>
          <w:rFonts w:hint="eastAsia" w:eastAsia="仿宋_GB2312"/>
          <w:sz w:val="32"/>
          <w:szCs w:val="32"/>
          <w:highlight w:val="none"/>
          <w:lang w:eastAsia="zh-CN"/>
        </w:rPr>
        <w:t>资金合理运用</w:t>
      </w:r>
      <w:r>
        <w:rPr>
          <w:rFonts w:hint="default" w:eastAsia="仿宋_GB2312"/>
          <w:sz w:val="32"/>
          <w:szCs w:val="32"/>
          <w:highlight w:val="none"/>
        </w:rPr>
        <w:t>的管理目标。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（2）资金分配合理性</w:t>
      </w:r>
    </w:p>
    <w:p>
      <w:pPr>
        <w:spacing w:line="560" w:lineRule="exact"/>
        <w:ind w:firstLine="640" w:firstLineChars="200"/>
        <w:rPr>
          <w:rFonts w:ascii="Segoe UI" w:hAnsi="Segoe UI" w:eastAsia="Segoe UI" w:cs="Segoe UI"/>
          <w:i w:val="0"/>
          <w:iCs w:val="0"/>
          <w:caps w:val="0"/>
          <w:color w:val="404040"/>
          <w:spacing w:val="0"/>
          <w:sz w:val="19"/>
          <w:szCs w:val="19"/>
          <w:highlight w:val="none"/>
          <w:shd w:val="clear" w:fill="FFFFFF"/>
        </w:rPr>
      </w:pPr>
      <w:r>
        <w:rPr>
          <w:rFonts w:hint="default" w:eastAsia="仿宋_GB2312"/>
          <w:sz w:val="32"/>
          <w:szCs w:val="32"/>
          <w:highlight w:val="none"/>
        </w:rPr>
        <w:t>本项目的资金分配严格做到公开透明、公平合理，确保每一笔钱都用在最需要的地方。分配方案根据项目实际需要量身定制，针对建设重点环节优先保障资金，同时兼顾各阶段任务需求，提前算清每个环节该花多少钱，既避免资金不足影响进度，又防止过度拨款造成浪费。在制定用款计划时，还专门预留了应对突发情况的备用资金，比如材料价格波动、设计变更等可能增加成本的情况，确保遇到问题时资金不断链、项目不停摆。</w:t>
      </w:r>
    </w:p>
    <w:p>
      <w:pPr>
        <w:spacing w:line="560" w:lineRule="exact"/>
        <w:ind w:firstLine="640" w:firstLineChars="200"/>
        <w:rPr>
          <w:rFonts w:eastAsia="仿宋_GB2312"/>
          <w:sz w:val="32"/>
          <w:szCs w:val="32"/>
          <w:highlight w:val="none"/>
        </w:rPr>
      </w:pPr>
      <w:r>
        <w:rPr>
          <w:rFonts w:eastAsia="仿宋_GB2312"/>
          <w:sz w:val="32"/>
          <w:szCs w:val="32"/>
          <w:highlight w:val="none"/>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2"/>
        <w:numPr>
          <w:ilvl w:val="0"/>
          <w:numId w:val="4"/>
        </w:numPr>
        <w:spacing w:before="0" w:after="0" w:line="560" w:lineRule="exact"/>
        <w:ind w:firstLine="643" w:firstLineChars="200"/>
        <w:jc w:val="both"/>
        <w:rPr>
          <w:rFonts w:ascii="Times New Roman" w:hAnsi="Times New Roman" w:eastAsia="楷体"/>
          <w:highlight w:val="none"/>
        </w:rPr>
      </w:pPr>
      <w:r>
        <w:rPr>
          <w:rFonts w:ascii="Times New Roman" w:hAnsi="Times New Roman" w:eastAsia="楷体"/>
          <w:highlight w:val="none"/>
        </w:rPr>
        <w:t>项目过程情况</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项目过程类指标包括资金管理和组织实施两方面的内容，由5个三级指标构成，权重分值为20分，</w:t>
      </w:r>
      <w:r>
        <w:rPr>
          <w:rFonts w:eastAsia="仿宋_GB2312"/>
          <w:sz w:val="32"/>
          <w:szCs w:val="32"/>
          <w:highlight w:val="none"/>
        </w:rPr>
        <w:t>实际得分</w:t>
      </w:r>
      <w:r>
        <w:rPr>
          <w:rFonts w:hint="eastAsia" w:eastAsia="仿宋_GB2312"/>
          <w:sz w:val="32"/>
          <w:szCs w:val="32"/>
          <w:highlight w:val="none"/>
          <w:lang w:val="en-US" w:eastAsia="zh-CN"/>
        </w:rPr>
        <w:t>20</w:t>
      </w:r>
      <w:r>
        <w:rPr>
          <w:rFonts w:eastAsia="仿宋_GB2312"/>
          <w:sz w:val="32"/>
          <w:szCs w:val="32"/>
          <w:highlight w:val="none"/>
        </w:rPr>
        <w:t>分，得分率为</w:t>
      </w:r>
      <w:r>
        <w:rPr>
          <w:rFonts w:hint="eastAsia" w:eastAsia="仿宋_GB2312"/>
          <w:sz w:val="32"/>
          <w:szCs w:val="32"/>
          <w:highlight w:val="none"/>
          <w:lang w:val="en-US" w:eastAsia="zh-CN"/>
        </w:rPr>
        <w:t>100</w:t>
      </w:r>
      <w:r>
        <w:rPr>
          <w:rFonts w:eastAsia="仿宋_GB2312"/>
          <w:sz w:val="32"/>
          <w:szCs w:val="32"/>
          <w:highlight w:val="none"/>
        </w:rPr>
        <w:t>%。</w:t>
      </w:r>
    </w:p>
    <w:p>
      <w:pPr>
        <w:pStyle w:val="22"/>
        <w:spacing w:line="560" w:lineRule="exact"/>
        <w:ind w:firstLine="640"/>
        <w:rPr>
          <w:rFonts w:eastAsia="仿宋_GB2312"/>
          <w:b/>
          <w:bCs/>
          <w:sz w:val="32"/>
          <w:szCs w:val="32"/>
          <w:highlight w:val="none"/>
        </w:rPr>
      </w:pPr>
      <w:r>
        <w:rPr>
          <w:rFonts w:eastAsia="仿宋_GB2312"/>
          <w:b/>
          <w:bCs/>
          <w:sz w:val="32"/>
          <w:szCs w:val="32"/>
          <w:highlight w:val="none"/>
        </w:rPr>
        <w:t>1.资金管理</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（1）资金到位率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lang w:val="en-US" w:eastAsia="zh-CN"/>
        </w:rPr>
        <w:t>3200万元</w:t>
      </w:r>
      <w:r>
        <w:rPr>
          <w:rFonts w:eastAsia="仿宋_GB2312"/>
          <w:sz w:val="32"/>
          <w:szCs w:val="32"/>
          <w:highlight w:val="none"/>
        </w:rPr>
        <w:t>，财政资金及时足额到位，到位率</w:t>
      </w:r>
      <w:r>
        <w:rPr>
          <w:rFonts w:hint="eastAsia" w:eastAsia="仿宋_GB2312"/>
          <w:sz w:val="32"/>
          <w:szCs w:val="32"/>
          <w:highlight w:val="none"/>
          <w:lang w:val="en-US" w:eastAsia="zh-CN"/>
        </w:rPr>
        <w:t>100</w:t>
      </w:r>
      <w:r>
        <w:rPr>
          <w:rFonts w:eastAsia="仿宋_GB2312"/>
          <w:sz w:val="32"/>
          <w:szCs w:val="32"/>
          <w:highlight w:val="none"/>
        </w:rPr>
        <w:t>%，预算资金按计划进度执行。</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（2）预算执行率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预算编制较为详细，项目资金支出总体能够按照预算执行，预算资金支出</w:t>
      </w:r>
      <w:r>
        <w:rPr>
          <w:rFonts w:hint="eastAsia" w:eastAsia="仿宋_GB2312"/>
          <w:sz w:val="32"/>
          <w:szCs w:val="32"/>
          <w:highlight w:val="none"/>
          <w:lang w:val="en-US" w:eastAsia="zh-CN"/>
        </w:rPr>
        <w:t>3200</w:t>
      </w:r>
      <w:r>
        <w:rPr>
          <w:rFonts w:eastAsia="仿宋_GB2312"/>
          <w:sz w:val="32"/>
          <w:szCs w:val="32"/>
          <w:highlight w:val="none"/>
        </w:rPr>
        <w:t>万元，预算执行率为</w:t>
      </w:r>
      <w:r>
        <w:rPr>
          <w:rFonts w:hint="eastAsia" w:eastAsia="仿宋_GB2312"/>
          <w:sz w:val="32"/>
          <w:szCs w:val="32"/>
          <w:highlight w:val="none"/>
          <w:lang w:val="en-US" w:eastAsia="zh-CN"/>
        </w:rPr>
        <w:t>100</w:t>
      </w:r>
      <w:r>
        <w:rPr>
          <w:rFonts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（3）资金使用合规性</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本项目的资金使用严格遵循了</w:t>
      </w:r>
      <w:r>
        <w:rPr>
          <w:rFonts w:hint="eastAsia" w:eastAsia="仿宋_GB2312"/>
          <w:sz w:val="32"/>
          <w:szCs w:val="32"/>
          <w:highlight w:val="none"/>
        </w:rPr>
        <w:t>主要是《财政部国债资金使用管理办法》、《自治区国债资金使用管理办法》及州、县财政资金使用管理办法、</w:t>
      </w:r>
      <w:r>
        <w:rPr>
          <w:rFonts w:eastAsia="仿宋_GB2312"/>
          <w:sz w:val="32"/>
          <w:szCs w:val="32"/>
          <w:highlight w:val="none"/>
        </w:rPr>
        <w:t>确保了资</w:t>
      </w:r>
      <w:r>
        <w:rPr>
          <w:rFonts w:eastAsia="仿宋_GB2312"/>
          <w:sz w:val="32"/>
          <w:szCs w:val="32"/>
          <w:highlight w:val="none"/>
        </w:rPr>
        <w:t>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highlight w:val="none"/>
        </w:rPr>
      </w:pPr>
      <w:r>
        <w:rPr>
          <w:rFonts w:eastAsia="仿宋_GB2312"/>
          <w:sz w:val="32"/>
          <w:szCs w:val="32"/>
          <w:highlight w:val="none"/>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highlight w:val="none"/>
        </w:rPr>
      </w:pPr>
      <w:r>
        <w:rPr>
          <w:rFonts w:eastAsia="仿宋_GB2312"/>
          <w:sz w:val="32"/>
          <w:szCs w:val="32"/>
          <w:highlight w:val="none"/>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2"/>
        <w:spacing w:line="560" w:lineRule="exact"/>
        <w:ind w:firstLine="640"/>
        <w:rPr>
          <w:rFonts w:eastAsia="仿宋_GB2312"/>
          <w:b/>
          <w:bCs/>
          <w:sz w:val="32"/>
          <w:szCs w:val="32"/>
          <w:highlight w:val="none"/>
        </w:rPr>
      </w:pPr>
      <w:r>
        <w:rPr>
          <w:rFonts w:eastAsia="仿宋_GB2312"/>
          <w:b/>
          <w:bCs/>
          <w:sz w:val="32"/>
          <w:szCs w:val="32"/>
          <w:highlight w:val="none"/>
        </w:rPr>
        <w:t>2.组织实施</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（1）管理制度健全性</w:t>
      </w:r>
    </w:p>
    <w:p>
      <w:pPr>
        <w:spacing w:line="560" w:lineRule="exact"/>
        <w:ind w:firstLine="640" w:firstLineChars="200"/>
        <w:rPr>
          <w:rFonts w:eastAsia="仿宋_GB2312"/>
          <w:sz w:val="32"/>
          <w:szCs w:val="32"/>
          <w:highlight w:val="none"/>
        </w:rPr>
      </w:pPr>
      <w:r>
        <w:rPr>
          <w:rFonts w:eastAsia="仿宋_GB2312"/>
          <w:sz w:val="32"/>
          <w:szCs w:val="32"/>
          <w:highlight w:val="none"/>
        </w:rPr>
        <w:t>本项目建立了系统完备的管理制度体系，全面覆盖项目策划、实施、监控至收尾的全过程管理需求。制度设计立足项目特性与实施条件，注重规范性与实操性平衡，形成了可落地的标准化管理流程。在风险防控方面，建立分级预警机制并配套相应处置预案，有效应对实施过程中的各类潜在风险。通过常态化监督机制与动态反馈系统，定期开展制度执行情况评估，及时发现并纠正管理偏差，形成持续改进的闭环管理模式。该制度体系通过实践验证，既确保了项目管理规范有序推进，又为绩效目标达成提供了坚实的机制保障。</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（2）制度执行有效性</w:t>
      </w:r>
    </w:p>
    <w:p>
      <w:pPr>
        <w:spacing w:line="560" w:lineRule="exact"/>
        <w:ind w:firstLine="640" w:firstLineChars="200"/>
        <w:rPr>
          <w:rFonts w:eastAsia="仿宋_GB2312"/>
          <w:sz w:val="32"/>
          <w:szCs w:val="32"/>
          <w:highlight w:val="none"/>
        </w:rPr>
      </w:pPr>
      <w:r>
        <w:rPr>
          <w:rFonts w:eastAsia="仿宋_GB2312"/>
          <w:sz w:val="32"/>
          <w:szCs w:val="32"/>
          <w:highlight w:val="none"/>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highlight w:val="none"/>
        </w:rPr>
      </w:pPr>
      <w:r>
        <w:rPr>
          <w:rFonts w:eastAsia="仿宋_GB2312"/>
          <w:sz w:val="32"/>
          <w:szCs w:val="32"/>
          <w:highlight w:val="none"/>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highlight w:val="none"/>
        </w:rPr>
      </w:pPr>
      <w:r>
        <w:rPr>
          <w:rFonts w:eastAsia="仿宋_GB2312"/>
          <w:sz w:val="32"/>
          <w:szCs w:val="32"/>
          <w:highlight w:val="none"/>
        </w:rPr>
        <w:t>综上所述，本项目的管理制度在执行过程中表现出了高度的有效性，既确保了项目的顺利进行，又实现了项目目标的有效达成。</w:t>
      </w:r>
    </w:p>
    <w:p>
      <w:pPr>
        <w:pStyle w:val="14"/>
        <w:numPr>
          <w:ilvl w:val="0"/>
          <w:numId w:val="4"/>
        </w:numPr>
        <w:spacing w:line="560" w:lineRule="exact"/>
        <w:ind w:firstLine="643"/>
        <w:rPr>
          <w:rFonts w:eastAsia="楷体_GB2312"/>
          <w:b/>
          <w:bCs/>
          <w:sz w:val="32"/>
          <w:szCs w:val="32"/>
          <w:highlight w:val="none"/>
        </w:rPr>
      </w:pPr>
      <w:r>
        <w:rPr>
          <w:rFonts w:eastAsia="楷体_GB2312"/>
          <w:b/>
          <w:bCs/>
          <w:sz w:val="32"/>
          <w:szCs w:val="32"/>
          <w:highlight w:val="none"/>
        </w:rPr>
        <w:t>项目产出情况</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项目产出类指标包括产出数量、产出质量、产出时效、产出成本四方面的内容，由</w:t>
      </w:r>
      <w:r>
        <w:rPr>
          <w:rFonts w:hint="eastAsia" w:eastAsia="仿宋_GB2312"/>
          <w:sz w:val="32"/>
          <w:szCs w:val="32"/>
          <w:highlight w:val="none"/>
          <w:lang w:val="en-US" w:eastAsia="zh-CN"/>
        </w:rPr>
        <w:t>8</w:t>
      </w:r>
      <w:r>
        <w:rPr>
          <w:rFonts w:eastAsia="仿宋_GB2312"/>
          <w:sz w:val="32"/>
          <w:szCs w:val="32"/>
          <w:highlight w:val="none"/>
        </w:rPr>
        <w:t>个三级指标构成，权重分为40分，实际得分</w:t>
      </w:r>
      <w:r>
        <w:rPr>
          <w:rFonts w:hint="eastAsia" w:eastAsia="仿宋_GB2312"/>
          <w:sz w:val="32"/>
          <w:szCs w:val="32"/>
          <w:highlight w:val="none"/>
          <w:lang w:val="en-US" w:eastAsia="zh-CN"/>
        </w:rPr>
        <w:t>20</w:t>
      </w:r>
      <w:r>
        <w:rPr>
          <w:rFonts w:eastAsia="仿宋_GB2312"/>
          <w:sz w:val="32"/>
          <w:szCs w:val="32"/>
          <w:highlight w:val="none"/>
        </w:rPr>
        <w:t>分，得分率为</w:t>
      </w:r>
      <w:r>
        <w:rPr>
          <w:rFonts w:hint="eastAsia" w:eastAsia="仿宋_GB2312"/>
          <w:sz w:val="32"/>
          <w:szCs w:val="32"/>
          <w:highlight w:val="none"/>
          <w:lang w:val="en-US" w:eastAsia="zh-CN"/>
        </w:rPr>
        <w:t>50</w:t>
      </w:r>
      <w:r>
        <w:rPr>
          <w:rFonts w:eastAsia="仿宋_GB2312"/>
          <w:sz w:val="32"/>
          <w:szCs w:val="32"/>
          <w:highlight w:val="none"/>
        </w:rPr>
        <w:t>%。具体产出指标完成情况如下：</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1 \* GB3 </w:instrText>
      </w:r>
      <w:r>
        <w:rPr>
          <w:rFonts w:eastAsia="仿宋_GB2312"/>
          <w:sz w:val="32"/>
          <w:szCs w:val="32"/>
          <w:highlight w:val="none"/>
        </w:rPr>
        <w:fldChar w:fldCharType="separate"/>
      </w:r>
      <w:r>
        <w:rPr>
          <w:rFonts w:eastAsia="仿宋_GB2312"/>
          <w:sz w:val="32"/>
          <w:szCs w:val="32"/>
          <w:highlight w:val="none"/>
        </w:rPr>
        <w:t>①</w:t>
      </w:r>
      <w:r>
        <w:rPr>
          <w:rFonts w:eastAsia="仿宋_GB2312"/>
          <w:sz w:val="32"/>
          <w:szCs w:val="32"/>
          <w:highlight w:val="none"/>
        </w:rPr>
        <w:fldChar w:fldCharType="end"/>
      </w:r>
      <w:r>
        <w:rPr>
          <w:rFonts w:eastAsia="仿宋_GB2312"/>
          <w:sz w:val="32"/>
          <w:szCs w:val="32"/>
          <w:highlight w:val="none"/>
        </w:rPr>
        <w:t>数量指标：</w:t>
      </w:r>
    </w:p>
    <w:p>
      <w:pPr>
        <w:spacing w:line="600" w:lineRule="exact"/>
        <w:ind w:firstLine="640" w:firstLineChars="200"/>
        <w:outlineLvl w:val="0"/>
        <w:rPr>
          <w:rFonts w:hint="eastAsia" w:eastAsia="仿宋_GB2312"/>
          <w:sz w:val="32"/>
          <w:szCs w:val="32"/>
          <w:highlight w:val="none"/>
        </w:rPr>
      </w:pPr>
      <w:r>
        <w:rPr>
          <w:rFonts w:eastAsia="仿宋_GB2312"/>
          <w:sz w:val="32"/>
          <w:szCs w:val="32"/>
          <w:highlight w:val="none"/>
        </w:rPr>
        <w:t>指标1：</w:t>
      </w:r>
      <w:r>
        <w:rPr>
          <w:rFonts w:hint="eastAsia" w:eastAsia="仿宋_GB2312"/>
          <w:sz w:val="32"/>
          <w:szCs w:val="32"/>
          <w:highlight w:val="none"/>
        </w:rPr>
        <w:t>新建引水闸、冲水闸</w:t>
      </w:r>
      <w:r>
        <w:rPr>
          <w:rFonts w:hint="eastAsia" w:eastAsia="仿宋_GB2312"/>
          <w:sz w:val="32"/>
          <w:szCs w:val="32"/>
          <w:highlight w:val="none"/>
          <w:lang w:val="en-US" w:eastAsia="zh-CN"/>
        </w:rPr>
        <w:t>=3</w:t>
      </w:r>
      <w:r>
        <w:rPr>
          <w:rFonts w:hint="eastAsia" w:eastAsia="仿宋_GB2312"/>
          <w:sz w:val="32"/>
          <w:szCs w:val="32"/>
          <w:highlight w:val="none"/>
        </w:rPr>
        <w:t>座；</w:t>
      </w:r>
      <w:r>
        <w:rPr>
          <w:rFonts w:eastAsia="仿宋_GB2312"/>
          <w:sz w:val="32"/>
          <w:szCs w:val="32"/>
          <w:highlight w:val="none"/>
        </w:rPr>
        <w:t>实际完成值：</w:t>
      </w:r>
      <w:r>
        <w:rPr>
          <w:rFonts w:hint="eastAsia" w:eastAsia="仿宋_GB2312"/>
          <w:sz w:val="32"/>
          <w:szCs w:val="32"/>
          <w:highlight w:val="none"/>
          <w:lang w:val="en-US" w:eastAsia="zh-CN"/>
        </w:rPr>
        <w:t>3</w:t>
      </w:r>
      <w:r>
        <w:rPr>
          <w:rFonts w:hint="eastAsia" w:eastAsia="仿宋_GB2312"/>
          <w:sz w:val="32"/>
          <w:szCs w:val="32"/>
          <w:highlight w:val="none"/>
        </w:rPr>
        <w:t>座；</w:t>
      </w:r>
      <w:r>
        <w:rPr>
          <w:rFonts w:eastAsia="仿宋_GB2312"/>
          <w:sz w:val="32"/>
          <w:szCs w:val="32"/>
          <w:highlight w:val="none"/>
        </w:rPr>
        <w:t>指标完成率：</w:t>
      </w:r>
      <w:r>
        <w:rPr>
          <w:rFonts w:hint="eastAsia" w:eastAsia="仿宋_GB2312"/>
          <w:sz w:val="32"/>
          <w:szCs w:val="32"/>
          <w:highlight w:val="none"/>
          <w:lang w:val="en-US" w:eastAsia="zh-CN"/>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hint="eastAsia" w:eastAsia="宋体"/>
          <w:highlight w:val="none"/>
          <w:lang w:eastAsia="zh-CN"/>
        </w:rPr>
      </w:pPr>
      <w:r>
        <w:rPr>
          <w:rFonts w:eastAsia="仿宋_GB2312"/>
          <w:sz w:val="32"/>
          <w:szCs w:val="32"/>
          <w:highlight w:val="none"/>
        </w:rPr>
        <w:t>指标</w:t>
      </w:r>
      <w:r>
        <w:rPr>
          <w:rFonts w:hint="eastAsia" w:eastAsia="仿宋_GB2312"/>
          <w:sz w:val="32"/>
          <w:szCs w:val="32"/>
          <w:highlight w:val="none"/>
          <w:lang w:val="en-US" w:eastAsia="zh-CN"/>
        </w:rPr>
        <w:t>2</w:t>
      </w:r>
      <w:r>
        <w:rPr>
          <w:rFonts w:eastAsia="仿宋_GB2312"/>
          <w:sz w:val="32"/>
          <w:szCs w:val="32"/>
          <w:highlight w:val="none"/>
        </w:rPr>
        <w:t>：</w:t>
      </w:r>
      <w:r>
        <w:rPr>
          <w:rFonts w:hint="eastAsia" w:eastAsia="仿宋_GB2312"/>
          <w:sz w:val="32"/>
          <w:szCs w:val="32"/>
          <w:highlight w:val="none"/>
        </w:rPr>
        <w:t>新建桥梁</w:t>
      </w:r>
      <w:r>
        <w:rPr>
          <w:rFonts w:hint="eastAsia" w:eastAsia="仿宋_GB2312"/>
          <w:sz w:val="32"/>
          <w:szCs w:val="32"/>
          <w:highlight w:val="none"/>
          <w:lang w:val="en-US" w:eastAsia="zh-CN"/>
        </w:rPr>
        <w:t>=2</w:t>
      </w:r>
      <w:r>
        <w:rPr>
          <w:rFonts w:hint="eastAsia" w:eastAsia="仿宋_GB2312"/>
          <w:sz w:val="32"/>
          <w:szCs w:val="32"/>
          <w:highlight w:val="none"/>
        </w:rPr>
        <w:t>座；</w:t>
      </w:r>
      <w:r>
        <w:rPr>
          <w:rFonts w:eastAsia="仿宋_GB2312"/>
          <w:sz w:val="32"/>
          <w:szCs w:val="32"/>
          <w:highlight w:val="none"/>
        </w:rPr>
        <w:t>实际完成值：</w:t>
      </w:r>
      <w:r>
        <w:rPr>
          <w:rFonts w:hint="eastAsia" w:eastAsia="仿宋_GB2312"/>
          <w:sz w:val="32"/>
          <w:szCs w:val="32"/>
          <w:highlight w:val="none"/>
          <w:lang w:val="en-US" w:eastAsia="zh-CN"/>
        </w:rPr>
        <w:t>2</w:t>
      </w:r>
      <w:r>
        <w:rPr>
          <w:rFonts w:hint="eastAsia" w:eastAsia="仿宋_GB2312"/>
          <w:sz w:val="32"/>
          <w:szCs w:val="32"/>
          <w:highlight w:val="none"/>
        </w:rPr>
        <w:t>座；</w:t>
      </w:r>
      <w:r>
        <w:rPr>
          <w:rFonts w:eastAsia="仿宋_GB2312"/>
          <w:sz w:val="32"/>
          <w:szCs w:val="32"/>
          <w:highlight w:val="none"/>
        </w:rPr>
        <w:t>指标完成率：</w:t>
      </w:r>
      <w:r>
        <w:rPr>
          <w:rFonts w:hint="eastAsia" w:eastAsia="仿宋_GB2312"/>
          <w:sz w:val="32"/>
          <w:szCs w:val="32"/>
          <w:highlight w:val="none"/>
          <w:lang w:val="en-US" w:eastAsia="zh-CN"/>
        </w:rPr>
        <w:t>100</w:t>
      </w:r>
      <w:r>
        <w:rPr>
          <w:rFonts w:eastAsia="仿宋_GB2312"/>
          <w:sz w:val="32"/>
          <w:szCs w:val="32"/>
          <w:highlight w:val="none"/>
        </w:rPr>
        <w:t>%</w:t>
      </w:r>
      <w:r>
        <w:rPr>
          <w:rFonts w:hint="eastAsia"/>
          <w:highlight w:val="none"/>
          <w:lang w:eastAsia="zh-CN"/>
        </w:rPr>
        <w:t>。</w:t>
      </w:r>
    </w:p>
    <w:p>
      <w:pPr>
        <w:spacing w:line="600" w:lineRule="exact"/>
        <w:ind w:firstLine="640" w:firstLineChars="200"/>
        <w:outlineLvl w:val="0"/>
        <w:rPr>
          <w:rFonts w:hint="default"/>
          <w:highlight w:val="none"/>
          <w:lang w:val="en-US" w:eastAsia="zh-CN"/>
        </w:rPr>
      </w:pPr>
      <w:r>
        <w:rPr>
          <w:rFonts w:eastAsia="仿宋_GB2312"/>
          <w:sz w:val="32"/>
          <w:szCs w:val="32"/>
          <w:highlight w:val="none"/>
        </w:rPr>
        <w:t>指标</w:t>
      </w:r>
      <w:r>
        <w:rPr>
          <w:rFonts w:hint="eastAsia" w:eastAsia="仿宋_GB2312"/>
          <w:sz w:val="32"/>
          <w:szCs w:val="32"/>
          <w:highlight w:val="none"/>
          <w:lang w:val="en-US" w:eastAsia="zh-CN"/>
        </w:rPr>
        <w:t>3</w:t>
      </w:r>
      <w:r>
        <w:rPr>
          <w:rFonts w:eastAsia="仿宋_GB2312"/>
          <w:sz w:val="32"/>
          <w:szCs w:val="32"/>
          <w:highlight w:val="none"/>
        </w:rPr>
        <w:t>：</w:t>
      </w:r>
      <w:r>
        <w:rPr>
          <w:rFonts w:hint="eastAsia" w:eastAsia="仿宋_GB2312"/>
          <w:sz w:val="32"/>
          <w:szCs w:val="32"/>
          <w:highlight w:val="none"/>
        </w:rPr>
        <w:t>监测系统、信息化系统</w:t>
      </w:r>
      <w:r>
        <w:rPr>
          <w:rFonts w:hint="eastAsia" w:eastAsia="仿宋_GB2312"/>
          <w:sz w:val="32"/>
          <w:szCs w:val="32"/>
          <w:highlight w:val="none"/>
          <w:lang w:val="en-US" w:eastAsia="zh-CN"/>
        </w:rPr>
        <w:t>=2套</w:t>
      </w:r>
      <w:r>
        <w:rPr>
          <w:rFonts w:hint="eastAsia" w:eastAsia="仿宋_GB2312"/>
          <w:sz w:val="32"/>
          <w:szCs w:val="32"/>
          <w:highlight w:val="none"/>
        </w:rPr>
        <w:t>；</w:t>
      </w:r>
      <w:r>
        <w:rPr>
          <w:rFonts w:eastAsia="仿宋_GB2312"/>
          <w:sz w:val="32"/>
          <w:szCs w:val="32"/>
          <w:highlight w:val="none"/>
        </w:rPr>
        <w:t>实际完成值：</w:t>
      </w:r>
      <w:r>
        <w:rPr>
          <w:rFonts w:hint="eastAsia" w:eastAsia="仿宋_GB2312"/>
          <w:sz w:val="32"/>
          <w:szCs w:val="32"/>
          <w:highlight w:val="none"/>
          <w:lang w:val="en-US" w:eastAsia="zh-CN"/>
        </w:rPr>
        <w:t>2套</w:t>
      </w:r>
      <w:r>
        <w:rPr>
          <w:rFonts w:hint="eastAsia" w:eastAsia="仿宋_GB2312"/>
          <w:sz w:val="32"/>
          <w:szCs w:val="32"/>
          <w:highlight w:val="none"/>
        </w:rPr>
        <w:t>；</w:t>
      </w:r>
      <w:r>
        <w:rPr>
          <w:rFonts w:eastAsia="仿宋_GB2312"/>
          <w:sz w:val="32"/>
          <w:szCs w:val="32"/>
          <w:highlight w:val="none"/>
        </w:rPr>
        <w:t>指标完成率：</w:t>
      </w:r>
      <w:r>
        <w:rPr>
          <w:rFonts w:hint="eastAsia" w:eastAsia="仿宋_GB2312"/>
          <w:sz w:val="32"/>
          <w:szCs w:val="32"/>
          <w:highlight w:val="none"/>
          <w:lang w:val="en-US" w:eastAsia="zh-CN"/>
        </w:rPr>
        <w:t>100</w:t>
      </w:r>
      <w:r>
        <w:rPr>
          <w:rFonts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2 \* GB3 </w:instrText>
      </w:r>
      <w:r>
        <w:rPr>
          <w:rFonts w:eastAsia="仿宋_GB2312"/>
          <w:sz w:val="32"/>
          <w:szCs w:val="32"/>
          <w:highlight w:val="none"/>
        </w:rPr>
        <w:fldChar w:fldCharType="separate"/>
      </w:r>
      <w:r>
        <w:rPr>
          <w:rFonts w:eastAsia="仿宋_GB2312"/>
          <w:sz w:val="32"/>
          <w:szCs w:val="32"/>
          <w:highlight w:val="none"/>
        </w:rPr>
        <w:t>②</w:t>
      </w:r>
      <w:r>
        <w:rPr>
          <w:rFonts w:eastAsia="仿宋_GB2312"/>
          <w:sz w:val="32"/>
          <w:szCs w:val="32"/>
          <w:highlight w:val="none"/>
        </w:rPr>
        <w:fldChar w:fldCharType="end"/>
      </w:r>
      <w:r>
        <w:rPr>
          <w:rFonts w:eastAsia="仿宋_GB2312"/>
          <w:sz w:val="32"/>
          <w:szCs w:val="32"/>
          <w:highlight w:val="none"/>
        </w:rPr>
        <w:t>质量指标：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指标1：</w:t>
      </w:r>
      <w:r>
        <w:rPr>
          <w:rFonts w:hint="eastAsia" w:eastAsia="仿宋_GB2312"/>
          <w:sz w:val="32"/>
          <w:szCs w:val="32"/>
          <w:highlight w:val="none"/>
        </w:rPr>
        <w:t>工程质量合格率</w:t>
      </w:r>
      <w:r>
        <w:rPr>
          <w:rFonts w:hint="eastAsia" w:eastAsia="仿宋_GB2312"/>
          <w:sz w:val="32"/>
          <w:szCs w:val="32"/>
          <w:highlight w:val="none"/>
          <w:lang w:eastAsia="zh-CN"/>
        </w:rPr>
        <w:t>：</w:t>
      </w:r>
      <w:r>
        <w:rPr>
          <w:rFonts w:hint="eastAsia" w:eastAsia="仿宋_GB2312"/>
          <w:sz w:val="32"/>
          <w:szCs w:val="32"/>
          <w:highlight w:val="none"/>
          <w:lang w:val="en-US" w:eastAsia="zh-CN"/>
        </w:rPr>
        <w:t>=</w:t>
      </w:r>
      <w:r>
        <w:rPr>
          <w:rFonts w:hint="eastAsia" w:eastAsia="仿宋_GB2312"/>
          <w:sz w:val="32"/>
          <w:szCs w:val="32"/>
          <w:highlight w:val="none"/>
        </w:rPr>
        <w:t>100%；</w:t>
      </w:r>
      <w:r>
        <w:rPr>
          <w:rFonts w:eastAsia="仿宋_GB2312"/>
          <w:sz w:val="32"/>
          <w:szCs w:val="32"/>
          <w:highlight w:val="none"/>
        </w:rPr>
        <w:t>实际完成值：</w:t>
      </w:r>
      <w:r>
        <w:rPr>
          <w:rFonts w:hint="eastAsia" w:eastAsia="仿宋_GB2312"/>
          <w:sz w:val="32"/>
          <w:szCs w:val="32"/>
          <w:highlight w:val="none"/>
          <w:lang w:val="en-US" w:eastAsia="zh-CN"/>
        </w:rPr>
        <w:t>100%</w:t>
      </w:r>
      <w:r>
        <w:rPr>
          <w:rFonts w:hint="eastAsia" w:eastAsia="仿宋_GB2312"/>
          <w:sz w:val="32"/>
          <w:szCs w:val="32"/>
          <w:highlight w:val="none"/>
        </w:rPr>
        <w:t>；</w:t>
      </w:r>
      <w:r>
        <w:rPr>
          <w:rFonts w:eastAsia="仿宋_GB2312"/>
          <w:sz w:val="32"/>
          <w:szCs w:val="32"/>
          <w:highlight w:val="none"/>
        </w:rPr>
        <w:t>指标完成率：</w:t>
      </w:r>
      <w:r>
        <w:rPr>
          <w:rFonts w:hint="eastAsia" w:eastAsia="仿宋_GB2312"/>
          <w:sz w:val="32"/>
          <w:szCs w:val="32"/>
          <w:highlight w:val="none"/>
          <w:lang w:val="en-US" w:eastAsia="zh-CN"/>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3 \* GB3 </w:instrText>
      </w:r>
      <w:r>
        <w:rPr>
          <w:rFonts w:eastAsia="仿宋_GB2312"/>
          <w:sz w:val="32"/>
          <w:szCs w:val="32"/>
          <w:highlight w:val="none"/>
        </w:rPr>
        <w:fldChar w:fldCharType="separate"/>
      </w:r>
      <w:r>
        <w:rPr>
          <w:rFonts w:eastAsia="仿宋_GB2312"/>
          <w:sz w:val="32"/>
          <w:szCs w:val="32"/>
          <w:highlight w:val="none"/>
        </w:rPr>
        <w:t>③</w:t>
      </w:r>
      <w:r>
        <w:rPr>
          <w:rFonts w:eastAsia="仿宋_GB2312"/>
          <w:sz w:val="32"/>
          <w:szCs w:val="32"/>
          <w:highlight w:val="none"/>
        </w:rPr>
        <w:fldChar w:fldCharType="end"/>
      </w:r>
      <w:r>
        <w:rPr>
          <w:rFonts w:eastAsia="仿宋_GB2312"/>
          <w:sz w:val="32"/>
          <w:szCs w:val="32"/>
          <w:highlight w:val="none"/>
        </w:rPr>
        <w:t>时效指标：</w:t>
      </w:r>
    </w:p>
    <w:p>
      <w:pPr>
        <w:spacing w:line="600" w:lineRule="exact"/>
        <w:ind w:firstLine="640" w:firstLineChars="200"/>
        <w:outlineLvl w:val="0"/>
        <w:rPr>
          <w:rFonts w:hint="eastAsia" w:eastAsia="仿宋_GB2312"/>
          <w:sz w:val="32"/>
          <w:szCs w:val="32"/>
          <w:highlight w:val="none"/>
        </w:rPr>
      </w:pPr>
      <w:r>
        <w:rPr>
          <w:rFonts w:eastAsia="仿宋_GB2312"/>
          <w:sz w:val="32"/>
          <w:szCs w:val="32"/>
          <w:highlight w:val="none"/>
        </w:rPr>
        <w:t>指标1：</w:t>
      </w:r>
      <w:r>
        <w:rPr>
          <w:rFonts w:hint="eastAsia" w:eastAsia="仿宋_GB2312"/>
          <w:sz w:val="32"/>
          <w:szCs w:val="32"/>
          <w:highlight w:val="none"/>
        </w:rPr>
        <w:t>截止2024年4月底，项目开工率</w:t>
      </w:r>
      <w:r>
        <w:rPr>
          <w:rFonts w:eastAsia="仿宋_GB2312"/>
          <w:sz w:val="32"/>
          <w:szCs w:val="32"/>
          <w:highlight w:val="none"/>
        </w:rPr>
        <w:t>：</w:t>
      </w:r>
      <w:r>
        <w:rPr>
          <w:rFonts w:hint="eastAsia" w:eastAsia="仿宋_GB2312"/>
          <w:sz w:val="32"/>
          <w:szCs w:val="32"/>
          <w:highlight w:val="none"/>
        </w:rPr>
        <w:t>≤4月；</w:t>
      </w:r>
      <w:r>
        <w:rPr>
          <w:rFonts w:eastAsia="仿宋_GB2312"/>
          <w:sz w:val="32"/>
          <w:szCs w:val="32"/>
          <w:highlight w:val="none"/>
        </w:rPr>
        <w:t>实际完成值：</w:t>
      </w:r>
      <w:r>
        <w:rPr>
          <w:rFonts w:hint="eastAsia" w:eastAsia="仿宋_GB2312"/>
          <w:sz w:val="32"/>
          <w:szCs w:val="32"/>
          <w:highlight w:val="none"/>
        </w:rPr>
        <w:t>4月</w:t>
      </w:r>
      <w:r>
        <w:rPr>
          <w:rFonts w:hint="eastAsia" w:eastAsia="仿宋_GB2312"/>
          <w:sz w:val="32"/>
          <w:szCs w:val="32"/>
          <w:highlight w:val="none"/>
          <w:lang w:val="en-US" w:eastAsia="zh-CN"/>
        </w:rPr>
        <w:t>20日</w:t>
      </w:r>
      <w:r>
        <w:rPr>
          <w:rFonts w:hint="eastAsia" w:eastAsia="仿宋_GB2312"/>
          <w:sz w:val="32"/>
          <w:szCs w:val="32"/>
          <w:highlight w:val="none"/>
        </w:rPr>
        <w:t>；</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hint="eastAsia" w:eastAsia="仿宋_GB2312"/>
          <w:sz w:val="32"/>
          <w:szCs w:val="32"/>
          <w:highlight w:val="none"/>
        </w:rPr>
      </w:pPr>
      <w:r>
        <w:rPr>
          <w:rFonts w:eastAsia="仿宋_GB2312"/>
          <w:sz w:val="32"/>
          <w:szCs w:val="32"/>
          <w:highlight w:val="none"/>
        </w:rPr>
        <w:t>指标</w:t>
      </w:r>
      <w:r>
        <w:rPr>
          <w:rFonts w:hint="eastAsia" w:eastAsia="仿宋_GB2312"/>
          <w:sz w:val="32"/>
          <w:szCs w:val="32"/>
          <w:highlight w:val="none"/>
        </w:rPr>
        <w:t>2</w:t>
      </w:r>
      <w:r>
        <w:rPr>
          <w:rFonts w:eastAsia="仿宋_GB2312"/>
          <w:sz w:val="32"/>
          <w:szCs w:val="32"/>
          <w:highlight w:val="none"/>
        </w:rPr>
        <w:t>：</w:t>
      </w:r>
      <w:r>
        <w:rPr>
          <w:rFonts w:hint="eastAsia" w:eastAsia="仿宋_GB2312"/>
          <w:sz w:val="32"/>
          <w:szCs w:val="32"/>
          <w:highlight w:val="none"/>
        </w:rPr>
        <w:t>资金下达及时率</w:t>
      </w:r>
      <w:r>
        <w:rPr>
          <w:rFonts w:eastAsia="仿宋_GB2312"/>
          <w:sz w:val="32"/>
          <w:szCs w:val="32"/>
          <w:highlight w:val="none"/>
        </w:rPr>
        <w:t>：</w:t>
      </w:r>
      <w:r>
        <w:rPr>
          <w:rFonts w:hint="eastAsia" w:eastAsia="仿宋_GB2312"/>
          <w:sz w:val="32"/>
          <w:szCs w:val="32"/>
          <w:highlight w:val="none"/>
          <w:lang w:val="en-US" w:eastAsia="zh-CN"/>
        </w:rPr>
        <w:t>=</w:t>
      </w:r>
      <w:r>
        <w:rPr>
          <w:rFonts w:hint="eastAsia" w:eastAsia="仿宋_GB2312"/>
          <w:sz w:val="32"/>
          <w:szCs w:val="32"/>
          <w:highlight w:val="none"/>
        </w:rPr>
        <w:t>100%；</w:t>
      </w:r>
      <w:r>
        <w:rPr>
          <w:rFonts w:eastAsia="仿宋_GB2312"/>
          <w:sz w:val="32"/>
          <w:szCs w:val="32"/>
          <w:highlight w:val="none"/>
        </w:rPr>
        <w:t>实际完成值：</w:t>
      </w:r>
      <w:r>
        <w:rPr>
          <w:rFonts w:hint="eastAsia" w:eastAsia="仿宋_GB2312"/>
          <w:sz w:val="32"/>
          <w:szCs w:val="32"/>
          <w:highlight w:val="none"/>
        </w:rPr>
        <w:t>100%；</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hint="eastAsia" w:eastAsia="仿宋_GB2312"/>
          <w:sz w:val="32"/>
          <w:szCs w:val="32"/>
          <w:highlight w:val="none"/>
        </w:rPr>
      </w:pPr>
      <w:r>
        <w:rPr>
          <w:rFonts w:eastAsia="仿宋_GB2312"/>
          <w:sz w:val="32"/>
          <w:szCs w:val="32"/>
          <w:highlight w:val="none"/>
        </w:rPr>
        <w:t>指标</w:t>
      </w:r>
      <w:r>
        <w:rPr>
          <w:rFonts w:hint="eastAsia" w:eastAsia="仿宋_GB2312"/>
          <w:sz w:val="32"/>
          <w:szCs w:val="32"/>
          <w:highlight w:val="none"/>
        </w:rPr>
        <w:t>3</w:t>
      </w:r>
      <w:r>
        <w:rPr>
          <w:rFonts w:eastAsia="仿宋_GB2312"/>
          <w:sz w:val="32"/>
          <w:szCs w:val="32"/>
          <w:highlight w:val="none"/>
        </w:rPr>
        <w:t>：</w:t>
      </w:r>
      <w:r>
        <w:rPr>
          <w:rFonts w:hint="eastAsia" w:eastAsia="仿宋_GB2312"/>
          <w:sz w:val="32"/>
          <w:szCs w:val="32"/>
          <w:highlight w:val="none"/>
        </w:rPr>
        <w:t>增发国债年度建设任务量完成率</w:t>
      </w:r>
      <w:r>
        <w:rPr>
          <w:rFonts w:eastAsia="仿宋_GB2312"/>
          <w:sz w:val="32"/>
          <w:szCs w:val="32"/>
          <w:highlight w:val="none"/>
        </w:rPr>
        <w:t>：</w:t>
      </w:r>
      <w:r>
        <w:rPr>
          <w:rFonts w:hint="eastAsia" w:eastAsia="仿宋_GB2312"/>
          <w:sz w:val="32"/>
          <w:szCs w:val="32"/>
          <w:highlight w:val="none"/>
          <w:lang w:val="en-US" w:eastAsia="zh-CN"/>
        </w:rPr>
        <w:t>=</w:t>
      </w:r>
      <w:r>
        <w:rPr>
          <w:rFonts w:hint="eastAsia" w:eastAsia="仿宋_GB2312"/>
          <w:sz w:val="32"/>
          <w:szCs w:val="32"/>
          <w:highlight w:val="none"/>
        </w:rPr>
        <w:t>100%；</w:t>
      </w:r>
      <w:r>
        <w:rPr>
          <w:rFonts w:eastAsia="仿宋_GB2312"/>
          <w:sz w:val="32"/>
          <w:szCs w:val="32"/>
          <w:highlight w:val="none"/>
        </w:rPr>
        <w:t>实际完成值：</w:t>
      </w:r>
      <w:r>
        <w:rPr>
          <w:rFonts w:hint="eastAsia" w:eastAsia="仿宋_GB2312"/>
          <w:sz w:val="32"/>
          <w:szCs w:val="32"/>
          <w:highlight w:val="none"/>
        </w:rPr>
        <w:t>100%；</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指标</w:t>
      </w:r>
      <w:r>
        <w:rPr>
          <w:rFonts w:hint="eastAsia" w:eastAsia="仿宋_GB2312"/>
          <w:sz w:val="32"/>
          <w:szCs w:val="32"/>
          <w:highlight w:val="none"/>
        </w:rPr>
        <w:t>4</w:t>
      </w:r>
      <w:r>
        <w:rPr>
          <w:rFonts w:eastAsia="仿宋_GB2312"/>
          <w:sz w:val="32"/>
          <w:szCs w:val="32"/>
          <w:highlight w:val="none"/>
        </w:rPr>
        <w:t>：</w:t>
      </w:r>
      <w:r>
        <w:rPr>
          <w:rFonts w:hint="eastAsia" w:eastAsia="仿宋_GB2312"/>
          <w:sz w:val="32"/>
          <w:szCs w:val="32"/>
          <w:highlight w:val="none"/>
        </w:rPr>
        <w:t>增发国债资金支付率</w:t>
      </w:r>
      <w:r>
        <w:rPr>
          <w:rFonts w:eastAsia="仿宋_GB2312"/>
          <w:sz w:val="32"/>
          <w:szCs w:val="32"/>
          <w:highlight w:val="none"/>
        </w:rPr>
        <w:t>：</w:t>
      </w:r>
      <w:r>
        <w:rPr>
          <w:rFonts w:hint="eastAsia" w:eastAsia="仿宋_GB2312"/>
          <w:sz w:val="32"/>
          <w:szCs w:val="32"/>
          <w:highlight w:val="none"/>
          <w:lang w:val="en-US" w:eastAsia="zh-CN"/>
        </w:rPr>
        <w:t>=</w:t>
      </w:r>
      <w:r>
        <w:rPr>
          <w:rFonts w:hint="eastAsia" w:eastAsia="仿宋_GB2312"/>
          <w:sz w:val="32"/>
          <w:szCs w:val="32"/>
          <w:highlight w:val="none"/>
        </w:rPr>
        <w:t>100%；</w:t>
      </w:r>
      <w:r>
        <w:rPr>
          <w:rFonts w:eastAsia="仿宋_GB2312"/>
          <w:sz w:val="32"/>
          <w:szCs w:val="32"/>
          <w:highlight w:val="none"/>
        </w:rPr>
        <w:t>实际完成值：</w:t>
      </w:r>
      <w:r>
        <w:rPr>
          <w:rFonts w:hint="eastAsia" w:eastAsia="仿宋_GB2312"/>
          <w:sz w:val="32"/>
          <w:szCs w:val="32"/>
          <w:highlight w:val="none"/>
        </w:rPr>
        <w:t>100%；</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4 \* GB3 </w:instrText>
      </w:r>
      <w:r>
        <w:rPr>
          <w:rFonts w:eastAsia="仿宋_GB2312"/>
          <w:sz w:val="32"/>
          <w:szCs w:val="32"/>
          <w:highlight w:val="none"/>
        </w:rPr>
        <w:fldChar w:fldCharType="separate"/>
      </w:r>
      <w:r>
        <w:rPr>
          <w:rFonts w:eastAsia="仿宋_GB2312"/>
          <w:sz w:val="32"/>
          <w:szCs w:val="32"/>
          <w:highlight w:val="none"/>
        </w:rPr>
        <w:t>④</w:t>
      </w:r>
      <w:r>
        <w:rPr>
          <w:rFonts w:eastAsia="仿宋_GB2312"/>
          <w:sz w:val="32"/>
          <w:szCs w:val="32"/>
          <w:highlight w:val="none"/>
        </w:rPr>
        <w:fldChar w:fldCharType="end"/>
      </w:r>
      <w:r>
        <w:rPr>
          <w:rFonts w:eastAsia="仿宋_GB2312"/>
          <w:sz w:val="32"/>
          <w:szCs w:val="32"/>
          <w:highlight w:val="none"/>
        </w:rPr>
        <w:t>成本指标：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指标1：</w:t>
      </w:r>
      <w:r>
        <w:rPr>
          <w:rFonts w:hint="eastAsia" w:eastAsia="仿宋_GB2312"/>
          <w:sz w:val="32"/>
          <w:szCs w:val="32"/>
          <w:highlight w:val="none"/>
        </w:rPr>
        <w:t>大中型病险水闸除险加固国债资金</w:t>
      </w:r>
      <w:r>
        <w:rPr>
          <w:rFonts w:hint="eastAsia" w:eastAsia="仿宋_GB2312"/>
          <w:sz w:val="32"/>
          <w:szCs w:val="32"/>
          <w:highlight w:val="none"/>
          <w:lang w:val="en-US" w:eastAsia="zh-CN"/>
        </w:rPr>
        <w:t>=</w:t>
      </w:r>
      <w:r>
        <w:rPr>
          <w:rFonts w:eastAsia="仿宋_GB2312"/>
          <w:sz w:val="32"/>
          <w:szCs w:val="32"/>
          <w:highlight w:val="none"/>
        </w:rPr>
        <w:t>：</w:t>
      </w:r>
      <w:r>
        <w:rPr>
          <w:rFonts w:hint="eastAsia" w:eastAsia="仿宋_GB2312"/>
          <w:sz w:val="32"/>
          <w:szCs w:val="32"/>
          <w:highlight w:val="none"/>
          <w:lang w:val="en-US" w:eastAsia="zh-CN"/>
        </w:rPr>
        <w:t>=：</w:t>
      </w:r>
      <w:r>
        <w:rPr>
          <w:rFonts w:hint="eastAsia" w:eastAsia="仿宋_GB2312"/>
          <w:sz w:val="32"/>
          <w:szCs w:val="32"/>
          <w:highlight w:val="none"/>
        </w:rPr>
        <w:t>3200万元；</w:t>
      </w:r>
      <w:r>
        <w:rPr>
          <w:rFonts w:eastAsia="仿宋_GB2312"/>
          <w:sz w:val="32"/>
          <w:szCs w:val="32"/>
          <w:highlight w:val="none"/>
        </w:rPr>
        <w:t>实际完成值：</w:t>
      </w:r>
      <w:r>
        <w:rPr>
          <w:rFonts w:hint="eastAsia" w:eastAsia="仿宋_GB2312"/>
          <w:sz w:val="32"/>
          <w:szCs w:val="32"/>
          <w:highlight w:val="none"/>
        </w:rPr>
        <w:t>3200万元；</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项目效益情况</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项目效益类指标包括项目实施效益和满意度两方面的内容，由</w:t>
      </w:r>
      <w:r>
        <w:rPr>
          <w:rFonts w:hint="eastAsia" w:eastAsia="仿宋_GB2312"/>
          <w:sz w:val="32"/>
          <w:szCs w:val="32"/>
          <w:highlight w:val="none"/>
        </w:rPr>
        <w:t>4</w:t>
      </w:r>
      <w:r>
        <w:rPr>
          <w:rFonts w:eastAsia="仿宋_GB2312"/>
          <w:sz w:val="32"/>
          <w:szCs w:val="32"/>
          <w:highlight w:val="none"/>
        </w:rPr>
        <w:t>个三级指标构成，权重分为20分，实际得分</w:t>
      </w:r>
      <w:r>
        <w:rPr>
          <w:rFonts w:hint="eastAsia" w:eastAsia="仿宋_GB2312"/>
          <w:sz w:val="32"/>
          <w:szCs w:val="32"/>
          <w:highlight w:val="none"/>
          <w:lang w:val="en-US" w:eastAsia="zh-CN"/>
        </w:rPr>
        <w:t>0</w:t>
      </w:r>
      <w:r>
        <w:rPr>
          <w:rFonts w:eastAsia="仿宋_GB2312"/>
          <w:sz w:val="32"/>
          <w:szCs w:val="32"/>
          <w:highlight w:val="none"/>
        </w:rPr>
        <w:t>分，得分率为</w:t>
      </w:r>
      <w:r>
        <w:rPr>
          <w:rFonts w:hint="eastAsia" w:eastAsia="仿宋_GB2312"/>
          <w:sz w:val="32"/>
          <w:szCs w:val="32"/>
          <w:highlight w:val="none"/>
          <w:lang w:val="en-US" w:eastAsia="zh-CN"/>
        </w:rPr>
        <w:t>0</w:t>
      </w:r>
      <w:r>
        <w:rPr>
          <w:rFonts w:eastAsia="仿宋_GB2312"/>
          <w:sz w:val="32"/>
          <w:szCs w:val="32"/>
          <w:highlight w:val="none"/>
        </w:rPr>
        <w:t>%</w:t>
      </w:r>
      <w:r>
        <w:rPr>
          <w:rFonts w:eastAsia="仿宋_GB2312"/>
          <w:sz w:val="32"/>
          <w:szCs w:val="32"/>
          <w:highlight w:val="none"/>
        </w:rPr>
        <w:t>。具体效益指标及满意度指标完成情况如下：</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1.实施效益</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①经济效益指标：</w:t>
      </w:r>
    </w:p>
    <w:p>
      <w:pPr>
        <w:spacing w:line="600" w:lineRule="exact"/>
        <w:ind w:firstLine="640" w:firstLineChars="200"/>
        <w:outlineLvl w:val="0"/>
        <w:rPr>
          <w:rFonts w:hint="eastAsia" w:eastAsia="仿宋_GB2312"/>
          <w:sz w:val="32"/>
          <w:szCs w:val="32"/>
          <w:highlight w:val="none"/>
          <w:lang w:val="en-US" w:eastAsia="zh-CN"/>
        </w:rPr>
      </w:pPr>
      <w:r>
        <w:rPr>
          <w:rFonts w:eastAsia="仿宋_GB2312"/>
          <w:sz w:val="32"/>
          <w:szCs w:val="32"/>
          <w:highlight w:val="none"/>
        </w:rPr>
        <w:t>指标1</w:t>
      </w:r>
      <w:r>
        <w:rPr>
          <w:rFonts w:hint="eastAsia" w:eastAsia="仿宋_GB2312"/>
          <w:sz w:val="32"/>
          <w:szCs w:val="32"/>
          <w:highlight w:val="none"/>
          <w:lang w:eastAsia="zh-CN"/>
        </w:rPr>
        <w:t>：水闸除险加固改善灌溉效益：</w:t>
      </w:r>
      <w:r>
        <w:rPr>
          <w:rFonts w:hint="eastAsia" w:eastAsia="仿宋_GB2312"/>
          <w:sz w:val="32"/>
          <w:szCs w:val="32"/>
          <w:highlight w:val="none"/>
        </w:rPr>
        <w:t>显著提高</w:t>
      </w:r>
      <w:r>
        <w:rPr>
          <w:rFonts w:hint="eastAsia" w:eastAsia="仿宋_GB2312"/>
          <w:sz w:val="32"/>
          <w:szCs w:val="32"/>
          <w:highlight w:val="none"/>
          <w:lang w:eastAsia="zh-CN"/>
        </w:rPr>
        <w:t>，完成值：</w:t>
      </w:r>
      <w:r>
        <w:rPr>
          <w:rFonts w:hint="eastAsia" w:eastAsia="仿宋_GB2312"/>
          <w:sz w:val="32"/>
          <w:szCs w:val="32"/>
          <w:highlight w:val="none"/>
          <w:lang w:val="en-US" w:eastAsia="zh-CN"/>
        </w:rPr>
        <w:t>0，完成率0%。</w:t>
      </w:r>
      <w:r>
        <w:rPr>
          <w:rFonts w:hint="eastAsia" w:eastAsia="仿宋_GB2312"/>
          <w:sz w:val="32"/>
          <w:szCs w:val="32"/>
          <w:highlight w:val="none"/>
          <w:lang w:eastAsia="zh-CN"/>
        </w:rPr>
        <w:t>偏差原因：未验收，未投入使用。改进措施：后续加快验收进度，尽快投入使用</w:t>
      </w:r>
      <w:r>
        <w:rPr>
          <w:rFonts w:hint="eastAsia" w:eastAsia="仿宋_GB2312"/>
          <w:sz w:val="32"/>
          <w:szCs w:val="32"/>
          <w:highlight w:val="none"/>
          <w:lang w:val="en-US" w:eastAsia="zh-CN"/>
        </w:rPr>
        <w:t>。</w:t>
      </w:r>
    </w:p>
    <w:p>
      <w:pPr>
        <w:spacing w:line="600" w:lineRule="exact"/>
        <w:ind w:firstLine="640" w:firstLineChars="200"/>
        <w:outlineLvl w:val="0"/>
        <w:rPr>
          <w:rFonts w:hint="eastAsia" w:eastAsia="仿宋_GB2312"/>
          <w:sz w:val="32"/>
          <w:szCs w:val="32"/>
          <w:highlight w:val="none"/>
          <w:lang w:val="en-US" w:eastAsia="zh-CN"/>
        </w:rPr>
      </w:pPr>
      <w:r>
        <w:rPr>
          <w:rFonts w:eastAsia="仿宋_GB2312"/>
          <w:sz w:val="32"/>
          <w:szCs w:val="32"/>
          <w:highlight w:val="none"/>
        </w:rPr>
        <w:t>指标</w:t>
      </w:r>
      <w:r>
        <w:rPr>
          <w:rFonts w:hint="eastAsia" w:eastAsia="仿宋_GB2312"/>
          <w:sz w:val="32"/>
          <w:szCs w:val="32"/>
          <w:highlight w:val="none"/>
          <w:lang w:val="en-US" w:eastAsia="zh-CN"/>
        </w:rPr>
        <w:t>2</w:t>
      </w:r>
      <w:r>
        <w:rPr>
          <w:rFonts w:hint="eastAsia" w:eastAsia="仿宋_GB2312"/>
          <w:sz w:val="32"/>
          <w:szCs w:val="32"/>
          <w:highlight w:val="none"/>
          <w:lang w:eastAsia="zh-CN"/>
        </w:rPr>
        <w:t>：水闸除险加固改善灌溉面积：≥</w:t>
      </w:r>
      <w:r>
        <w:rPr>
          <w:rFonts w:hint="eastAsia" w:eastAsia="仿宋_GB2312"/>
          <w:sz w:val="32"/>
          <w:szCs w:val="32"/>
          <w:highlight w:val="none"/>
          <w:lang w:val="en-US" w:eastAsia="zh-CN"/>
        </w:rPr>
        <w:t>14万亩，</w:t>
      </w:r>
      <w:r>
        <w:rPr>
          <w:rFonts w:hint="eastAsia" w:eastAsia="仿宋_GB2312"/>
          <w:sz w:val="32"/>
          <w:szCs w:val="32"/>
          <w:highlight w:val="none"/>
          <w:lang w:eastAsia="zh-CN"/>
        </w:rPr>
        <w:t>完成值：</w:t>
      </w:r>
      <w:r>
        <w:rPr>
          <w:rFonts w:hint="eastAsia" w:eastAsia="仿宋_GB2312"/>
          <w:sz w:val="32"/>
          <w:szCs w:val="32"/>
          <w:highlight w:val="none"/>
          <w:lang w:val="en-US" w:eastAsia="zh-CN"/>
        </w:rPr>
        <w:t>0，完成率0%。</w:t>
      </w:r>
      <w:r>
        <w:rPr>
          <w:rFonts w:hint="eastAsia" w:eastAsia="仿宋_GB2312"/>
          <w:sz w:val="32"/>
          <w:szCs w:val="32"/>
          <w:highlight w:val="none"/>
          <w:lang w:eastAsia="zh-CN"/>
        </w:rPr>
        <w:t>偏差原因：未验收，未投入使用。改进措施：后续加快验收进度，尽快投入使用</w:t>
      </w:r>
      <w:r>
        <w:rPr>
          <w:rFonts w:hint="eastAsia" w:eastAsia="仿宋_GB2312"/>
          <w:sz w:val="32"/>
          <w:szCs w:val="32"/>
          <w:highlight w:val="none"/>
          <w:lang w:val="en-US" w:eastAsia="zh-CN"/>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②社会效益指标：</w:t>
      </w:r>
    </w:p>
    <w:p>
      <w:pPr>
        <w:spacing w:line="600" w:lineRule="exact"/>
        <w:ind w:firstLine="640" w:firstLineChars="200"/>
        <w:outlineLvl w:val="0"/>
        <w:rPr>
          <w:rFonts w:hint="eastAsia" w:eastAsia="仿宋_GB2312"/>
          <w:sz w:val="32"/>
          <w:szCs w:val="32"/>
          <w:highlight w:val="none"/>
          <w:lang w:val="en-US" w:eastAsia="zh-CN"/>
        </w:rPr>
      </w:pPr>
      <w:r>
        <w:rPr>
          <w:rFonts w:eastAsia="仿宋_GB2312"/>
          <w:sz w:val="32"/>
          <w:szCs w:val="32"/>
          <w:highlight w:val="none"/>
        </w:rPr>
        <w:t>指标1</w:t>
      </w:r>
      <w:r>
        <w:rPr>
          <w:rFonts w:hint="eastAsia" w:eastAsia="仿宋_GB2312"/>
          <w:sz w:val="32"/>
          <w:szCs w:val="32"/>
          <w:highlight w:val="none"/>
          <w:lang w:eastAsia="zh-CN"/>
        </w:rPr>
        <w:t>：</w:t>
      </w:r>
      <w:r>
        <w:rPr>
          <w:rFonts w:hint="eastAsia" w:eastAsia="仿宋_GB2312"/>
          <w:sz w:val="32"/>
          <w:szCs w:val="32"/>
          <w:highlight w:val="none"/>
        </w:rPr>
        <w:t>水闸除险加固提升供水保证效益</w:t>
      </w:r>
      <w:r>
        <w:rPr>
          <w:rFonts w:hint="eastAsia" w:eastAsia="仿宋_GB2312"/>
          <w:sz w:val="32"/>
          <w:szCs w:val="32"/>
          <w:highlight w:val="none"/>
          <w:lang w:eastAsia="zh-CN"/>
        </w:rPr>
        <w:t>：显著提高，完成值：</w:t>
      </w:r>
      <w:r>
        <w:rPr>
          <w:rFonts w:hint="eastAsia" w:eastAsia="仿宋_GB2312"/>
          <w:sz w:val="32"/>
          <w:szCs w:val="32"/>
          <w:highlight w:val="none"/>
          <w:lang w:val="en-US" w:eastAsia="zh-CN"/>
        </w:rPr>
        <w:t>0，完成率0%。</w:t>
      </w:r>
      <w:r>
        <w:rPr>
          <w:rFonts w:hint="eastAsia" w:eastAsia="仿宋_GB2312"/>
          <w:sz w:val="32"/>
          <w:szCs w:val="32"/>
          <w:highlight w:val="none"/>
          <w:lang w:eastAsia="zh-CN"/>
        </w:rPr>
        <w:t>偏差原因：未验收，未投入使用。改进措施：后续加快验收进度，尽快投入使用</w:t>
      </w:r>
      <w:r>
        <w:rPr>
          <w:rFonts w:hint="eastAsia" w:eastAsia="仿宋_GB2312"/>
          <w:sz w:val="32"/>
          <w:szCs w:val="32"/>
          <w:highlight w:val="none"/>
          <w:lang w:val="en-US" w:eastAsia="zh-CN"/>
        </w:rPr>
        <w:t>。</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③生态效益指标：</w:t>
      </w:r>
    </w:p>
    <w:p>
      <w:pPr>
        <w:spacing w:line="600" w:lineRule="exact"/>
        <w:ind w:firstLine="640" w:firstLineChars="200"/>
        <w:outlineLvl w:val="0"/>
        <w:rPr>
          <w:rFonts w:hint="eastAsia" w:eastAsia="仿宋_GB2312"/>
          <w:sz w:val="32"/>
          <w:szCs w:val="32"/>
          <w:highlight w:val="none"/>
          <w:lang w:eastAsia="zh-CN"/>
        </w:rPr>
      </w:pPr>
      <w:r>
        <w:rPr>
          <w:rFonts w:hint="eastAsia" w:eastAsia="仿宋_GB2312"/>
          <w:sz w:val="32"/>
          <w:szCs w:val="32"/>
          <w:highlight w:val="none"/>
          <w:lang w:eastAsia="zh-CN"/>
        </w:rPr>
        <w:t>该项目未设置生态效益指标</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2.满意度</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rPr>
        <w:t>受益群众满意度≥90%。</w:t>
      </w:r>
      <w:r>
        <w:rPr>
          <w:rFonts w:hint="eastAsia" w:eastAsia="仿宋_GB2312"/>
          <w:sz w:val="32"/>
          <w:szCs w:val="32"/>
          <w:highlight w:val="none"/>
          <w:lang w:eastAsia="zh-CN"/>
        </w:rPr>
        <w:t>完成值：</w:t>
      </w:r>
      <w:r>
        <w:rPr>
          <w:rFonts w:hint="eastAsia" w:eastAsia="仿宋_GB2312"/>
          <w:sz w:val="32"/>
          <w:szCs w:val="32"/>
          <w:highlight w:val="none"/>
          <w:lang w:val="en-US" w:eastAsia="zh-CN"/>
        </w:rPr>
        <w:t>0，完成率0%。</w:t>
      </w:r>
      <w:r>
        <w:rPr>
          <w:rFonts w:hint="eastAsia" w:eastAsia="仿宋_GB2312"/>
          <w:sz w:val="32"/>
          <w:szCs w:val="32"/>
          <w:highlight w:val="none"/>
          <w:lang w:eastAsia="zh-CN"/>
        </w:rPr>
        <w:t>偏差原因：未验收，未投入使用。改进措施：后续加快验收进度，尽快投入使用</w:t>
      </w:r>
      <w:r>
        <w:rPr>
          <w:rFonts w:hint="eastAsia" w:eastAsia="仿宋_GB2312"/>
          <w:sz w:val="32"/>
          <w:szCs w:val="32"/>
          <w:highlight w:val="none"/>
          <w:lang w:val="en-US" w:eastAsia="zh-CN"/>
        </w:rPr>
        <w:t>。</w:t>
      </w:r>
    </w:p>
    <w:p>
      <w:pPr>
        <w:spacing w:line="560" w:lineRule="exact"/>
        <w:ind w:firstLine="643" w:firstLineChars="200"/>
        <w:rPr>
          <w:rFonts w:eastAsia="楷体_GB2312"/>
          <w:b/>
          <w:bCs/>
          <w:sz w:val="32"/>
          <w:szCs w:val="32"/>
          <w:highlight w:val="none"/>
          <w:lang w:eastAsia="zh-Hans"/>
        </w:rPr>
      </w:pPr>
      <w:r>
        <w:rPr>
          <w:rFonts w:eastAsia="楷体_GB2312"/>
          <w:b/>
          <w:bCs/>
          <w:sz w:val="32"/>
          <w:szCs w:val="32"/>
          <w:highlight w:val="none"/>
        </w:rPr>
        <w:t>（五）</w:t>
      </w:r>
      <w:r>
        <w:rPr>
          <w:rFonts w:eastAsia="楷体_GB2312"/>
          <w:b/>
          <w:bCs/>
          <w:sz w:val="32"/>
          <w:szCs w:val="32"/>
          <w:highlight w:val="none"/>
          <w:lang w:eastAsia="zh-Hans"/>
        </w:rPr>
        <w:t>预算执行进度与绩效指标总体完成率偏差</w:t>
      </w:r>
    </w:p>
    <w:p>
      <w:pPr>
        <w:pStyle w:val="22"/>
        <w:spacing w:line="560" w:lineRule="exact"/>
        <w:ind w:firstLine="64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新疆昌吉州奇台县中葛根渠首水闸除险加固工程项目年初预算3200万元，全年预算3200万元，实际支出3200万元，预算执行率为100%，项目绩效指标总体完成率为</w:t>
      </w:r>
      <w:r>
        <w:rPr>
          <w:rFonts w:hint="eastAsia" w:eastAsia="仿宋_GB2312" w:cs="Times New Roman"/>
          <w:kern w:val="2"/>
          <w:sz w:val="32"/>
          <w:szCs w:val="32"/>
          <w:highlight w:val="none"/>
          <w:lang w:val="en-US" w:eastAsia="zh-CN" w:bidi="ar-SA"/>
        </w:rPr>
        <w:t>100</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0</w:t>
      </w:r>
      <w:r>
        <w:rPr>
          <w:rFonts w:hint="eastAsia" w:ascii="Times New Roman" w:hAnsi="Times New Roman" w:eastAsia="仿宋_GB2312" w:cs="Times New Roman"/>
          <w:kern w:val="2"/>
          <w:sz w:val="32"/>
          <w:szCs w:val="32"/>
          <w:highlight w:val="none"/>
          <w:lang w:val="en-US" w:eastAsia="zh-CN" w:bidi="ar-SA"/>
        </w:rPr>
        <w:t>%。</w:t>
      </w:r>
    </w:p>
    <w:p>
      <w:pPr>
        <w:spacing w:line="560" w:lineRule="exact"/>
        <w:ind w:firstLine="640" w:firstLineChars="200"/>
        <w:rPr>
          <w:rStyle w:val="21"/>
          <w:rFonts w:ascii="Times New Roman" w:hAnsi="Times New Roman" w:cs="Times New Roman"/>
          <w:color w:val="auto"/>
          <w:highlight w:val="none"/>
        </w:rPr>
      </w:pPr>
      <w:r>
        <w:rPr>
          <w:rFonts w:hint="eastAsia" w:ascii="Times New Roman" w:hAnsi="Times New Roman" w:eastAsia="仿宋_GB2312" w:cs="Times New Roman"/>
          <w:kern w:val="2"/>
          <w:sz w:val="32"/>
          <w:szCs w:val="32"/>
          <w:highlight w:val="none"/>
          <w:lang w:val="en-US" w:eastAsia="zh-CN" w:bidi="ar-SA"/>
        </w:rPr>
        <w:t>五、主要经</w:t>
      </w:r>
      <w:r>
        <w:rPr>
          <w:rFonts w:eastAsia="黑体"/>
          <w:sz w:val="32"/>
          <w:szCs w:val="32"/>
          <w:highlight w:val="none"/>
        </w:rPr>
        <w:t>验及做法、存在的问题及原因分析</w:t>
      </w:r>
    </w:p>
    <w:p>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6" w:afterAutospacing="0" w:line="368" w:lineRule="atLeast"/>
        <w:ind w:left="0" w:right="0" w:firstLine="420"/>
        <w:jc w:val="both"/>
        <w:rPr>
          <w:rFonts w:hint="eastAsia" w:ascii="仿宋_GB2312" w:hAnsi="仿宋_GB2312" w:eastAsia="仿宋_GB2312" w:cs="仿宋_GB2312"/>
          <w:i w:val="0"/>
          <w:iCs w:val="0"/>
          <w:caps w:val="0"/>
          <w:color w:val="auto"/>
          <w:spacing w:val="7"/>
          <w:sz w:val="32"/>
          <w:szCs w:val="32"/>
          <w:highlight w:val="none"/>
          <w:shd w:val="clear" w:fill="FFFFFF"/>
        </w:rPr>
      </w:pPr>
      <w:r>
        <w:rPr>
          <w:rFonts w:hint="default" w:ascii="Times New Roman" w:hAnsi="Times New Roman" w:eastAsia="仿宋_GB2312" w:cs="Times New Roman"/>
          <w:kern w:val="2"/>
          <w:sz w:val="32"/>
          <w:szCs w:val="32"/>
          <w:highlight w:val="none"/>
          <w:lang w:val="en-US" w:eastAsia="zh-CN" w:bidi="ar-SA"/>
        </w:rPr>
        <w:t>本项目</w:t>
      </w:r>
      <w:r>
        <w:rPr>
          <w:rFonts w:hint="eastAsia" w:ascii="仿宋_GB2312" w:hAnsi="仿宋_GB2312" w:eastAsia="仿宋_GB2312" w:cs="仿宋_GB2312"/>
          <w:i w:val="0"/>
          <w:iCs w:val="0"/>
          <w:caps w:val="0"/>
          <w:color w:val="auto"/>
          <w:spacing w:val="7"/>
          <w:sz w:val="32"/>
          <w:szCs w:val="32"/>
          <w:highlight w:val="none"/>
          <w:shd w:val="clear" w:fill="FFFFFF"/>
        </w:rPr>
        <w:t>由水行政部门委托有相应资质的设计单位，按照《</w:t>
      </w:r>
      <w:r>
        <w:rPr>
          <w:rFonts w:hint="eastAsia" w:ascii="仿宋_GB2312" w:hAnsi="仿宋_GB2312" w:eastAsia="仿宋_GB2312" w:cs="仿宋_GB2312"/>
          <w:i w:val="0"/>
          <w:iCs w:val="0"/>
          <w:caps w:val="0"/>
          <w:color w:val="auto"/>
          <w:spacing w:val="7"/>
          <w:sz w:val="32"/>
          <w:szCs w:val="32"/>
          <w:highlight w:val="none"/>
          <w:u w:val="none"/>
          <w:shd w:val="clear" w:fill="FFFFFF"/>
        </w:rPr>
        <w:fldChar w:fldCharType="begin"/>
      </w:r>
      <w:r>
        <w:rPr>
          <w:rFonts w:hint="eastAsia" w:ascii="仿宋_GB2312" w:hAnsi="仿宋_GB2312" w:eastAsia="仿宋_GB2312" w:cs="仿宋_GB2312"/>
          <w:i w:val="0"/>
          <w:iCs w:val="0"/>
          <w:caps w:val="0"/>
          <w:color w:val="auto"/>
          <w:spacing w:val="7"/>
          <w:sz w:val="32"/>
          <w:szCs w:val="32"/>
          <w:highlight w:val="none"/>
          <w:u w:val="none"/>
          <w:shd w:val="clear" w:fill="FFFFFF"/>
        </w:rPr>
        <w:instrText xml:space="preserve"> HYPERLINK "http://mp.weixin.qq.com/s?__biz=MzI1MzU2MDIwMw==&amp;mid=2247494589&amp;idx=5&amp;sn=69ad217663f0c1740ecec2826f80052b&amp;chksm=e9d03f59dea7b64f24d1e115ba7959d460e2b514cf8bb0d6066d8760434476ba32e2a2016fd1&amp;scene=21" \l "wechat_redirect" \t "https://mp.weixin.qq.com/_blank" </w:instrText>
      </w:r>
      <w:r>
        <w:rPr>
          <w:rFonts w:hint="eastAsia" w:ascii="仿宋_GB2312" w:hAnsi="仿宋_GB2312" w:eastAsia="仿宋_GB2312" w:cs="仿宋_GB2312"/>
          <w:i w:val="0"/>
          <w:iCs w:val="0"/>
          <w:caps w:val="0"/>
          <w:color w:val="auto"/>
          <w:spacing w:val="7"/>
          <w:sz w:val="32"/>
          <w:szCs w:val="32"/>
          <w:highlight w:val="none"/>
          <w:u w:val="none"/>
          <w:shd w:val="clear" w:fill="FFFFFF"/>
        </w:rPr>
        <w:fldChar w:fldCharType="separate"/>
      </w:r>
      <w:r>
        <w:rPr>
          <w:rStyle w:val="19"/>
          <w:rFonts w:hint="eastAsia" w:ascii="仿宋_GB2312" w:hAnsi="仿宋_GB2312" w:eastAsia="仿宋_GB2312" w:cs="仿宋_GB2312"/>
          <w:i w:val="0"/>
          <w:iCs w:val="0"/>
          <w:caps w:val="0"/>
          <w:color w:val="auto"/>
          <w:spacing w:val="7"/>
          <w:sz w:val="32"/>
          <w:szCs w:val="32"/>
          <w:highlight w:val="none"/>
          <w:u w:val="none"/>
          <w:shd w:val="clear" w:fill="FFFFFF"/>
        </w:rPr>
        <w:t>水利水电工程可行性研究报告编制规程</w:t>
      </w:r>
      <w:r>
        <w:rPr>
          <w:rFonts w:hint="eastAsia" w:ascii="仿宋_GB2312" w:hAnsi="仿宋_GB2312" w:eastAsia="仿宋_GB2312" w:cs="仿宋_GB2312"/>
          <w:i w:val="0"/>
          <w:iCs w:val="0"/>
          <w:caps w:val="0"/>
          <w:color w:val="auto"/>
          <w:spacing w:val="7"/>
          <w:sz w:val="32"/>
          <w:szCs w:val="32"/>
          <w:highlight w:val="none"/>
          <w:u w:val="none"/>
          <w:shd w:val="clear" w:fill="FFFFFF"/>
        </w:rPr>
        <w:fldChar w:fldCharType="end"/>
      </w:r>
      <w:r>
        <w:rPr>
          <w:rFonts w:hint="eastAsia" w:ascii="仿宋_GB2312" w:hAnsi="仿宋_GB2312" w:eastAsia="仿宋_GB2312" w:cs="仿宋_GB2312"/>
          <w:i w:val="0"/>
          <w:iCs w:val="0"/>
          <w:caps w:val="0"/>
          <w:color w:val="auto"/>
          <w:spacing w:val="7"/>
          <w:sz w:val="32"/>
          <w:szCs w:val="32"/>
          <w:highlight w:val="none"/>
          <w:shd w:val="clear" w:fill="FFFFFF"/>
        </w:rPr>
        <w:t>》（SL/T618-2021）编制，报现行规定审批权限的部门审批。包括初步设计编制、咨询、审查及批复。择优选择（达到限额时需通过招标）有相应资质的勘察设计单位,按照《</w:t>
      </w:r>
      <w:r>
        <w:rPr>
          <w:rFonts w:hint="eastAsia" w:ascii="仿宋_GB2312" w:hAnsi="仿宋_GB2312" w:eastAsia="仿宋_GB2312" w:cs="仿宋_GB2312"/>
          <w:i w:val="0"/>
          <w:iCs w:val="0"/>
          <w:caps w:val="0"/>
          <w:color w:val="auto"/>
          <w:spacing w:val="7"/>
          <w:sz w:val="32"/>
          <w:szCs w:val="32"/>
          <w:highlight w:val="none"/>
          <w:u w:val="none"/>
          <w:shd w:val="clear" w:fill="FFFFFF"/>
        </w:rPr>
        <w:fldChar w:fldCharType="begin"/>
      </w:r>
      <w:r>
        <w:rPr>
          <w:rFonts w:hint="eastAsia" w:ascii="仿宋_GB2312" w:hAnsi="仿宋_GB2312" w:eastAsia="仿宋_GB2312" w:cs="仿宋_GB2312"/>
          <w:i w:val="0"/>
          <w:iCs w:val="0"/>
          <w:caps w:val="0"/>
          <w:color w:val="auto"/>
          <w:spacing w:val="7"/>
          <w:sz w:val="32"/>
          <w:szCs w:val="32"/>
          <w:highlight w:val="none"/>
          <w:u w:val="none"/>
          <w:shd w:val="clear" w:fill="FFFFFF"/>
        </w:rPr>
        <w:instrText xml:space="preserve"> HYPERLINK "http://mp.weixin.qq.com/s?__biz=MzI1MzU2MDIwMw==&amp;mid=2247494589&amp;idx=6&amp;sn=85deade575788bee08f5df6ffec3448a&amp;chksm=e9d03f59dea7b64f6b73291657adde8711840889f4acfa6fa5266ea2f479538475bd344ff9bf&amp;scene=21" \l "wechat_redirect" \t "https://mp.weixin.qq.com/_blank" </w:instrText>
      </w:r>
      <w:r>
        <w:rPr>
          <w:rFonts w:hint="eastAsia" w:ascii="仿宋_GB2312" w:hAnsi="仿宋_GB2312" w:eastAsia="仿宋_GB2312" w:cs="仿宋_GB2312"/>
          <w:i w:val="0"/>
          <w:iCs w:val="0"/>
          <w:caps w:val="0"/>
          <w:color w:val="auto"/>
          <w:spacing w:val="7"/>
          <w:sz w:val="32"/>
          <w:szCs w:val="32"/>
          <w:highlight w:val="none"/>
          <w:u w:val="none"/>
          <w:shd w:val="clear" w:fill="FFFFFF"/>
        </w:rPr>
        <w:fldChar w:fldCharType="separate"/>
      </w:r>
      <w:r>
        <w:rPr>
          <w:rStyle w:val="19"/>
          <w:rFonts w:hint="eastAsia" w:ascii="仿宋_GB2312" w:hAnsi="仿宋_GB2312" w:eastAsia="仿宋_GB2312" w:cs="仿宋_GB2312"/>
          <w:i w:val="0"/>
          <w:iCs w:val="0"/>
          <w:caps w:val="0"/>
          <w:color w:val="auto"/>
          <w:spacing w:val="7"/>
          <w:sz w:val="32"/>
          <w:szCs w:val="32"/>
          <w:highlight w:val="none"/>
          <w:u w:val="none"/>
          <w:shd w:val="clear" w:fill="FFFFFF"/>
        </w:rPr>
        <w:t>水利水电工程初步设计报告编制规程</w:t>
      </w:r>
      <w:r>
        <w:rPr>
          <w:rFonts w:hint="eastAsia" w:ascii="仿宋_GB2312" w:hAnsi="仿宋_GB2312" w:eastAsia="仿宋_GB2312" w:cs="仿宋_GB2312"/>
          <w:i w:val="0"/>
          <w:iCs w:val="0"/>
          <w:caps w:val="0"/>
          <w:color w:val="auto"/>
          <w:spacing w:val="7"/>
          <w:sz w:val="32"/>
          <w:szCs w:val="32"/>
          <w:highlight w:val="none"/>
          <w:u w:val="none"/>
          <w:shd w:val="clear" w:fill="FFFFFF"/>
        </w:rPr>
        <w:fldChar w:fldCharType="end"/>
      </w:r>
      <w:r>
        <w:rPr>
          <w:rFonts w:hint="eastAsia" w:ascii="仿宋_GB2312" w:hAnsi="仿宋_GB2312" w:eastAsia="仿宋_GB2312" w:cs="仿宋_GB2312"/>
          <w:i w:val="0"/>
          <w:iCs w:val="0"/>
          <w:caps w:val="0"/>
          <w:color w:val="auto"/>
          <w:spacing w:val="7"/>
          <w:sz w:val="32"/>
          <w:szCs w:val="32"/>
          <w:highlight w:val="none"/>
          <w:shd w:val="clear" w:fill="FFFFFF"/>
        </w:rPr>
        <w:t>》（SL/T619-2021）编制初步设计报告，经专家审查修改后，报有审批权限的部门审批。按照监督规定和规程要求，在开工前到有管辖权的水利工程质量监督机构办理质量监督手续。</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6" w:afterAutospacing="0" w:line="368" w:lineRule="atLeast"/>
        <w:ind w:left="0" w:right="0" w:firstLine="420"/>
        <w:jc w:val="both"/>
        <w:rPr>
          <w:rFonts w:hint="eastAsia" w:ascii="仿宋_GB2312" w:hAnsi="仿宋_GB2312" w:eastAsia="仿宋_GB2312" w:cs="仿宋_GB2312"/>
          <w:i w:val="0"/>
          <w:iCs w:val="0"/>
          <w:caps w:val="0"/>
          <w:color w:val="auto"/>
          <w:spacing w:val="7"/>
          <w:sz w:val="32"/>
          <w:szCs w:val="32"/>
          <w:highlight w:val="none"/>
          <w:shd w:val="clear" w:fill="FFFFFF"/>
        </w:rPr>
      </w:pPr>
      <w:r>
        <w:rPr>
          <w:rFonts w:hint="eastAsia" w:ascii="仿宋_GB2312" w:hAnsi="仿宋_GB2312" w:eastAsia="仿宋_GB2312" w:cs="仿宋_GB2312"/>
          <w:i w:val="0"/>
          <w:iCs w:val="0"/>
          <w:caps w:val="0"/>
          <w:color w:val="auto"/>
          <w:spacing w:val="7"/>
          <w:sz w:val="32"/>
          <w:szCs w:val="32"/>
          <w:highlight w:val="none"/>
          <w:shd w:val="clear" w:fill="FFFFFF"/>
          <w:lang w:eastAsia="zh-CN"/>
        </w:rPr>
        <w:t>项目开工后</w:t>
      </w:r>
      <w:r>
        <w:rPr>
          <w:rFonts w:hint="eastAsia" w:ascii="仿宋_GB2312" w:hAnsi="仿宋_GB2312" w:eastAsia="仿宋_GB2312" w:cs="仿宋_GB2312"/>
          <w:i w:val="0"/>
          <w:iCs w:val="0"/>
          <w:caps w:val="0"/>
          <w:color w:val="auto"/>
          <w:spacing w:val="7"/>
          <w:sz w:val="32"/>
          <w:szCs w:val="32"/>
          <w:highlight w:val="none"/>
          <w:shd w:val="clear" w:fill="FFFFFF"/>
        </w:rPr>
        <w:t>项目法人组织办理开工应具备的手续、条件、资料；与参建各方全面落实开工需具备的条件后，施工单位呈报申请开工报告及材料，监理单位审核同意后，批复工程开工日期；项目法人向主管部门报备。项目法人及参建单位建立质量管理机构，制定质量管理制度，配备质量管理人员，明确质量责任</w:t>
      </w:r>
      <w:r>
        <w:rPr>
          <w:rFonts w:hint="eastAsia" w:ascii="仿宋_GB2312" w:hAnsi="仿宋_GB2312" w:eastAsia="仿宋_GB2312" w:cs="仿宋_GB2312"/>
          <w:i w:val="0"/>
          <w:iCs w:val="0"/>
          <w:caps w:val="0"/>
          <w:color w:val="auto"/>
          <w:spacing w:val="7"/>
          <w:sz w:val="32"/>
          <w:szCs w:val="32"/>
          <w:highlight w:val="none"/>
          <w:shd w:val="clear" w:fill="FFFFFF"/>
          <w:lang w:eastAsia="zh-CN"/>
        </w:rPr>
        <w:t>，</w:t>
      </w:r>
      <w:r>
        <w:rPr>
          <w:rFonts w:hint="eastAsia" w:ascii="仿宋_GB2312" w:hAnsi="仿宋_GB2312" w:eastAsia="仿宋_GB2312" w:cs="仿宋_GB2312"/>
          <w:i w:val="0"/>
          <w:iCs w:val="0"/>
          <w:caps w:val="0"/>
          <w:color w:val="auto"/>
          <w:spacing w:val="7"/>
          <w:sz w:val="32"/>
          <w:szCs w:val="32"/>
          <w:highlight w:val="none"/>
          <w:shd w:val="clear" w:fill="FFFFFF"/>
        </w:rPr>
        <w:t>委托审查机构进行施工图审查，将审查意见向水行政主管部门备案</w:t>
      </w:r>
      <w:r>
        <w:rPr>
          <w:rFonts w:hint="eastAsia" w:ascii="仿宋_GB2312" w:hAnsi="仿宋_GB2312" w:eastAsia="仿宋_GB2312" w:cs="仿宋_GB2312"/>
          <w:i w:val="0"/>
          <w:iCs w:val="0"/>
          <w:caps w:val="0"/>
          <w:color w:val="auto"/>
          <w:spacing w:val="7"/>
          <w:sz w:val="32"/>
          <w:szCs w:val="32"/>
          <w:highlight w:val="none"/>
          <w:shd w:val="clear" w:fill="FFFFFF"/>
          <w:lang w:eastAsia="zh-CN"/>
        </w:rPr>
        <w:t>，</w:t>
      </w:r>
      <w:r>
        <w:rPr>
          <w:rFonts w:hint="eastAsia" w:ascii="仿宋_GB2312" w:hAnsi="仿宋_GB2312" w:eastAsia="仿宋_GB2312" w:cs="仿宋_GB2312"/>
          <w:i w:val="0"/>
          <w:iCs w:val="0"/>
          <w:caps w:val="0"/>
          <w:color w:val="auto"/>
          <w:spacing w:val="7"/>
          <w:sz w:val="32"/>
          <w:szCs w:val="32"/>
          <w:highlight w:val="none"/>
          <w:shd w:val="clear" w:fill="FFFFFF"/>
        </w:rPr>
        <w:t>组织勘察设计、监理、施工等单位进行测量、设计交底和图纸会审。项目法人主持召开交底会议并形成会议纪要。</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6" w:afterAutospacing="0" w:line="368" w:lineRule="atLeast"/>
        <w:ind w:left="0" w:right="0" w:firstLine="420"/>
        <w:jc w:val="both"/>
        <w:rPr>
          <w:rFonts w:hint="eastAsia" w:ascii="仿宋_GB2312" w:hAnsi="仿宋_GB2312" w:eastAsia="仿宋_GB2312" w:cs="仿宋_GB2312"/>
          <w:i w:val="0"/>
          <w:iCs w:val="0"/>
          <w:caps w:val="0"/>
          <w:color w:val="auto"/>
          <w:spacing w:val="7"/>
          <w:sz w:val="32"/>
          <w:szCs w:val="32"/>
          <w:highlight w:val="none"/>
          <w:shd w:val="clear" w:fill="FFFFFF"/>
          <w:lang w:eastAsia="zh-CN"/>
        </w:rPr>
      </w:pPr>
      <w:r>
        <w:rPr>
          <w:rFonts w:hint="eastAsia" w:ascii="仿宋_GB2312" w:hAnsi="仿宋_GB2312" w:eastAsia="仿宋_GB2312" w:cs="仿宋_GB2312"/>
          <w:i w:val="0"/>
          <w:iCs w:val="0"/>
          <w:caps w:val="0"/>
          <w:color w:val="auto"/>
          <w:spacing w:val="7"/>
          <w:sz w:val="32"/>
          <w:szCs w:val="32"/>
          <w:highlight w:val="none"/>
          <w:shd w:val="clear" w:fill="FFFFFF"/>
          <w:lang w:eastAsia="zh-CN"/>
        </w:rPr>
        <w:t>施工过程中</w:t>
      </w:r>
      <w:r>
        <w:rPr>
          <w:rFonts w:hint="eastAsia" w:ascii="仿宋_GB2312" w:hAnsi="仿宋_GB2312" w:eastAsia="仿宋_GB2312" w:cs="仿宋_GB2312"/>
          <w:i w:val="0"/>
          <w:iCs w:val="0"/>
          <w:caps w:val="0"/>
          <w:color w:val="auto"/>
          <w:spacing w:val="7"/>
          <w:sz w:val="32"/>
          <w:szCs w:val="32"/>
          <w:highlight w:val="none"/>
          <w:shd w:val="clear" w:fill="FFFFFF"/>
        </w:rPr>
        <w:t>项目法人依据有关规定印发通知，开展检查并进行记录，印发整改通知，责任单位制定整改方案并尽快进行整改，按时报送整改材料，项目法人对整改情况进行核实</w:t>
      </w:r>
      <w:r>
        <w:rPr>
          <w:rFonts w:hint="eastAsia" w:ascii="仿宋_GB2312" w:hAnsi="仿宋_GB2312" w:eastAsia="仿宋_GB2312" w:cs="仿宋_GB2312"/>
          <w:i w:val="0"/>
          <w:iCs w:val="0"/>
          <w:caps w:val="0"/>
          <w:color w:val="auto"/>
          <w:spacing w:val="7"/>
          <w:sz w:val="32"/>
          <w:szCs w:val="32"/>
          <w:highlight w:val="none"/>
          <w:shd w:val="clear" w:fill="FFFFFF"/>
          <w:lang w:eastAsia="zh-CN"/>
        </w:rPr>
        <w:t>，</w:t>
      </w:r>
      <w:r>
        <w:rPr>
          <w:rFonts w:hint="eastAsia" w:ascii="仿宋_GB2312" w:hAnsi="仿宋_GB2312" w:eastAsia="仿宋_GB2312" w:cs="仿宋_GB2312"/>
          <w:i w:val="0"/>
          <w:iCs w:val="0"/>
          <w:caps w:val="0"/>
          <w:color w:val="auto"/>
          <w:spacing w:val="7"/>
          <w:sz w:val="32"/>
          <w:szCs w:val="32"/>
          <w:highlight w:val="none"/>
          <w:shd w:val="clear" w:fill="FFFFFF"/>
        </w:rPr>
        <w:t>督促监理单位按照监理规划和实施细则开展旁站监理；督促施工单位及时向监理单位报验原材料、中间产品、工程设备、施工设备核验成果和现场工艺试验成果等。设计、监理、施工等单位提出设计变更建议，由项目法人组织对设计变更及理由进行评估，必要时进行技术、经济论证，由设计单位编制设计变更文件，一般变更由项目法人批复，重大变更报原初设批复单位审批。</w:t>
      </w:r>
      <w:r>
        <w:rPr>
          <w:rFonts w:hint="eastAsia" w:ascii="仿宋_GB2312" w:hAnsi="仿宋_GB2312" w:eastAsia="仿宋_GB2312" w:cs="仿宋_GB2312"/>
          <w:i w:val="0"/>
          <w:iCs w:val="0"/>
          <w:caps w:val="0"/>
          <w:color w:val="auto"/>
          <w:spacing w:val="7"/>
          <w:sz w:val="32"/>
          <w:szCs w:val="32"/>
          <w:highlight w:val="none"/>
          <w:shd w:val="clear" w:fill="FFFFFF"/>
          <w:lang w:eastAsia="zh-CN"/>
        </w:rPr>
        <w:t>安全施工方面，成立安全领导小组，建立安全生产责任制度，做好安全交底，施工过程中时刻注意安全隐患排查等工作。并及时拨付工程资金，保证工程建设资金要求。</w:t>
      </w:r>
    </w:p>
    <w:p>
      <w:pPr>
        <w:keepNext/>
        <w:keepLines/>
        <w:numPr>
          <w:ilvl w:val="0"/>
          <w:numId w:val="0"/>
        </w:numPr>
        <w:spacing w:line="560" w:lineRule="exact"/>
        <w:ind w:firstLine="643" w:firstLineChars="20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（二）</w:t>
      </w:r>
      <w:r>
        <w:rPr>
          <w:rFonts w:eastAsia="楷体_GB2312"/>
          <w:b/>
          <w:bCs/>
          <w:sz w:val="32"/>
          <w:szCs w:val="32"/>
          <w:highlight w:val="none"/>
        </w:rPr>
        <w:t>存在的问题及原因分析</w:t>
      </w:r>
    </w:p>
    <w:p>
      <w:pPr>
        <w:pStyle w:val="11"/>
        <w:keepNext w:val="0"/>
        <w:keepLines w:val="0"/>
        <w:widowControl/>
        <w:suppressLineNumbers w:val="0"/>
        <w:spacing w:before="0" w:beforeAutospacing="0" w:after="0" w:afterAutospacing="0"/>
        <w:ind w:left="0" w:right="0" w:firstLine="640" w:firstLineChars="200"/>
        <w:rPr>
          <w:rFonts w:hint="default" w:ascii="Times New Roman" w:hAnsi="Times New Roman" w:eastAsia="仿宋_GB2312" w:cs="Times New Roman"/>
          <w:kern w:val="2"/>
          <w:sz w:val="32"/>
          <w:szCs w:val="32"/>
          <w:highlight w:val="none"/>
          <w:lang w:val="en-US" w:eastAsia="zh-CN" w:bidi="ar-SA"/>
        </w:rPr>
      </w:pPr>
      <w:r>
        <w:rPr>
          <w:rFonts w:hint="eastAsia" w:eastAsia="仿宋_GB2312" w:cs="Times New Roman"/>
          <w:kern w:val="2"/>
          <w:sz w:val="32"/>
          <w:szCs w:val="32"/>
          <w:highlight w:val="none"/>
          <w:lang w:val="en-US" w:eastAsia="zh-CN" w:bidi="ar-SA"/>
        </w:rPr>
        <w:t>1.</w:t>
      </w:r>
      <w:r>
        <w:rPr>
          <w:rFonts w:hint="default" w:ascii="Times New Roman" w:hAnsi="Times New Roman" w:eastAsia="仿宋_GB2312" w:cs="Times New Roman"/>
          <w:kern w:val="2"/>
          <w:sz w:val="32"/>
          <w:szCs w:val="32"/>
          <w:highlight w:val="none"/>
          <w:lang w:val="en-US" w:eastAsia="zh-CN" w:bidi="ar-SA"/>
        </w:rPr>
        <w:t>绩效管理专业化能力有待提升。部分人员对绩效指标设计、评价方法掌握不足，自评报告中定性描述多、量化分析少，缺乏具体量化标准，主要因常态化培训机制不完善、未定期组织专项学习，导致评价质量受限。</w:t>
      </w:r>
    </w:p>
    <w:p>
      <w:pPr>
        <w:pStyle w:val="11"/>
        <w:keepNext w:val="0"/>
        <w:keepLines w:val="0"/>
        <w:widowControl/>
        <w:suppressLineNumbers w:val="0"/>
        <w:spacing w:before="0" w:beforeAutospacing="0" w:after="0" w:afterAutospacing="0"/>
        <w:ind w:left="0" w:right="0" w:firstLine="640" w:firstLineChars="200"/>
        <w:rPr>
          <w:rFonts w:hint="default" w:ascii="Times New Roman" w:hAnsi="Times New Roman" w:eastAsia="仿宋_GB2312" w:cs="Times New Roman"/>
          <w:kern w:val="2"/>
          <w:sz w:val="32"/>
          <w:szCs w:val="32"/>
          <w:highlight w:val="none"/>
          <w:lang w:val="en-US" w:eastAsia="zh-CN" w:bidi="ar-SA"/>
        </w:rPr>
      </w:pPr>
      <w:r>
        <w:rPr>
          <w:rFonts w:hint="eastAsia" w:eastAsia="仿宋_GB2312" w:cs="Times New Roman"/>
          <w:kern w:val="2"/>
          <w:sz w:val="32"/>
          <w:szCs w:val="32"/>
          <w:highlight w:val="none"/>
          <w:lang w:val="en-US" w:eastAsia="zh-CN" w:bidi="ar-SA"/>
        </w:rPr>
        <w:t>2.</w:t>
      </w:r>
      <w:r>
        <w:rPr>
          <w:rFonts w:hint="default" w:ascii="Times New Roman" w:hAnsi="Times New Roman" w:eastAsia="仿宋_GB2312" w:cs="Times New Roman"/>
          <w:kern w:val="2"/>
          <w:sz w:val="32"/>
          <w:szCs w:val="32"/>
          <w:highlight w:val="none"/>
          <w:lang w:val="en-US" w:eastAsia="zh-CN" w:bidi="ar-SA"/>
        </w:rPr>
        <w:t>人员流动影响工作连续性。因岗位调整频繁，新接手人员对历史数据、评价规则不熟悉，工作交接依赖口头传达易遗漏关键信息，根源在于缺乏标准化操作手册和过渡期辅导机制，造成阶段性工作重复或延误。</w:t>
      </w:r>
    </w:p>
    <w:p>
      <w:pPr>
        <w:pStyle w:val="11"/>
        <w:keepNext w:val="0"/>
        <w:keepLines w:val="0"/>
        <w:widowControl/>
        <w:suppressLineNumbers w:val="0"/>
        <w:spacing w:before="0" w:beforeAutospacing="0" w:after="0" w:afterAutospacing="0"/>
        <w:ind w:left="0" w:right="0" w:firstLine="640" w:firstLineChars="200"/>
        <w:rPr>
          <w:rFonts w:hint="default" w:ascii="Times New Roman" w:hAnsi="Times New Roman" w:eastAsia="仿宋_GB2312" w:cs="Times New Roman"/>
          <w:kern w:val="2"/>
          <w:sz w:val="32"/>
          <w:szCs w:val="32"/>
          <w:highlight w:val="none"/>
          <w:lang w:val="en-US" w:eastAsia="zh-CN" w:bidi="ar-SA"/>
        </w:rPr>
      </w:pPr>
      <w:r>
        <w:rPr>
          <w:rFonts w:hint="eastAsia" w:eastAsia="仿宋_GB2312" w:cs="Times New Roman"/>
          <w:kern w:val="2"/>
          <w:sz w:val="32"/>
          <w:szCs w:val="32"/>
          <w:highlight w:val="none"/>
          <w:lang w:val="en-US" w:eastAsia="zh-CN" w:bidi="ar-SA"/>
        </w:rPr>
        <w:t>3.</w:t>
      </w:r>
      <w:r>
        <w:rPr>
          <w:rFonts w:hint="default" w:ascii="Times New Roman" w:hAnsi="Times New Roman" w:eastAsia="仿宋_GB2312" w:cs="Times New Roman"/>
          <w:kern w:val="2"/>
          <w:sz w:val="32"/>
          <w:szCs w:val="32"/>
          <w:highlight w:val="none"/>
          <w:lang w:val="en-US" w:eastAsia="zh-CN" w:bidi="ar-SA"/>
        </w:rPr>
        <w:t>过程动态跟踪机制不健全。过度依赖年终集中评价，日常执行偏差（如预算执行率波动）未及时预警，整改措施落实缺乏跟踪台账，主要因未建立月度/季度监测机制，导致同类问题可能重复发生。</w:t>
      </w:r>
    </w:p>
    <w:p>
      <w:pPr>
        <w:spacing w:line="560" w:lineRule="exact"/>
        <w:ind w:firstLine="640" w:firstLineChars="200"/>
        <w:rPr>
          <w:rFonts w:eastAsia="黑体"/>
          <w:sz w:val="32"/>
          <w:szCs w:val="32"/>
          <w:highlight w:val="none"/>
        </w:rPr>
      </w:pPr>
      <w:r>
        <w:rPr>
          <w:rFonts w:hint="eastAsia" w:eastAsia="黑体"/>
          <w:sz w:val="32"/>
          <w:szCs w:val="32"/>
          <w:highlight w:val="none"/>
        </w:rPr>
        <w:t>六、</w:t>
      </w:r>
      <w:r>
        <w:rPr>
          <w:rFonts w:eastAsia="黑体"/>
          <w:sz w:val="32"/>
          <w:szCs w:val="32"/>
          <w:highlight w:val="none"/>
        </w:rPr>
        <w:t>有关建议</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2.专门设定对绩效工作人员定职、定岗、定责等相关制度措施，进一步提升我单位绩效管理工作业务水平，扎实做好绩效管理工作。</w:t>
      </w:r>
    </w:p>
    <w:p>
      <w:pPr>
        <w:spacing w:line="600" w:lineRule="exact"/>
        <w:ind w:firstLine="640" w:firstLineChars="200"/>
        <w:outlineLvl w:val="0"/>
        <w:rPr>
          <w:rFonts w:eastAsia="仿宋_GB2312"/>
          <w:sz w:val="32"/>
          <w:szCs w:val="32"/>
          <w:highlight w:val="none"/>
        </w:rPr>
      </w:pPr>
      <w:r>
        <w:rPr>
          <w:rFonts w:hint="eastAsia" w:eastAsia="仿宋_GB2312"/>
          <w:sz w:val="32"/>
          <w:szCs w:val="32"/>
          <w:highlight w:val="none"/>
          <w:lang w:val="en-US" w:eastAsia="zh-CN"/>
        </w:rPr>
        <w:t>3</w:t>
      </w:r>
      <w:r>
        <w:rPr>
          <w:rFonts w:eastAsia="仿宋_GB2312"/>
          <w:sz w:val="32"/>
          <w:szCs w:val="32"/>
          <w:highlight w:val="none"/>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highlight w:val="none"/>
        </w:rPr>
        <w:t>。</w:t>
      </w:r>
    </w:p>
    <w:p>
      <w:pPr>
        <w:spacing w:line="560" w:lineRule="exact"/>
        <w:ind w:firstLine="640" w:firstLineChars="200"/>
        <w:rPr>
          <w:rFonts w:eastAsia="黑体"/>
          <w:sz w:val="32"/>
          <w:szCs w:val="32"/>
          <w:highlight w:val="none"/>
        </w:rPr>
      </w:pPr>
      <w:r>
        <w:rPr>
          <w:rFonts w:hint="eastAsia" w:eastAsia="黑体"/>
          <w:sz w:val="32"/>
          <w:szCs w:val="32"/>
          <w:highlight w:val="none"/>
        </w:rPr>
        <w:t>七、</w:t>
      </w:r>
      <w:r>
        <w:rPr>
          <w:rFonts w:eastAsia="黑体"/>
          <w:sz w:val="32"/>
          <w:szCs w:val="32"/>
          <w:highlight w:val="none"/>
        </w:rPr>
        <w:t>其他需要说</w:t>
      </w:r>
      <w:bookmarkStart w:id="0" w:name="page8"/>
      <w:bookmarkEnd w:id="0"/>
      <w:r>
        <w:rPr>
          <w:rFonts w:eastAsia="黑体"/>
          <w:sz w:val="32"/>
          <w:szCs w:val="32"/>
          <w:highlight w:val="none"/>
        </w:rPr>
        <w:t>明的问题</w:t>
      </w:r>
    </w:p>
    <w:p>
      <w:pPr>
        <w:pStyle w:val="15"/>
        <w:spacing w:after="0" w:line="560" w:lineRule="exact"/>
        <w:ind w:left="0" w:leftChars="0" w:firstLine="640"/>
        <w:rPr>
          <w:rFonts w:ascii="Times New Roman" w:hAnsi="Times New Roman" w:eastAsia="仿宋_GB2312"/>
          <w:sz w:val="32"/>
          <w:szCs w:val="32"/>
          <w:highlight w:val="none"/>
          <w:lang w:eastAsia="zh-Hans"/>
        </w:rPr>
      </w:pPr>
      <w:r>
        <w:rPr>
          <w:rFonts w:ascii="Times New Roman" w:hAnsi="Times New Roman" w:eastAsia="仿宋_GB2312"/>
          <w:sz w:val="32"/>
          <w:szCs w:val="32"/>
          <w:highlight w:val="none"/>
          <w:lang w:eastAsia="zh-Hans"/>
        </w:rPr>
        <w:t>本项目无其他需说明的问题。</w:t>
      </w:r>
    </w:p>
    <w:p>
      <w:pPr>
        <w:pStyle w:val="15"/>
        <w:spacing w:after="0" w:line="560" w:lineRule="exact"/>
        <w:ind w:left="0" w:leftChars="0" w:firstLine="640"/>
        <w:rPr>
          <w:rFonts w:ascii="Times New Roman" w:hAnsi="Times New Roman" w:eastAsia="仿宋_GB2312"/>
          <w:sz w:val="32"/>
          <w:szCs w:val="32"/>
          <w:highlight w:val="none"/>
        </w:rPr>
      </w:pPr>
    </w:p>
    <w:p>
      <w:pPr>
        <w:pStyle w:val="15"/>
        <w:spacing w:after="0" w:line="560" w:lineRule="exact"/>
        <w:ind w:left="0" w:leftChars="0" w:firstLine="640"/>
        <w:rPr>
          <w:rFonts w:ascii="Times New Roman" w:hAnsi="Times New Roman" w:eastAsia="仿宋_GB2312"/>
          <w:sz w:val="32"/>
          <w:szCs w:val="32"/>
          <w:highlight w:val="none"/>
        </w:rPr>
      </w:pPr>
    </w:p>
    <w:p>
      <w:pPr>
        <w:pStyle w:val="15"/>
        <w:spacing w:after="0" w:line="560" w:lineRule="exact"/>
        <w:ind w:left="0" w:leftChars="0" w:firstLine="0" w:firstLineChars="0"/>
        <w:rPr>
          <w:rFonts w:ascii="Times New Roman" w:hAnsi="Times New Roman" w:eastAsia="仿宋_GB2312"/>
          <w:sz w:val="32"/>
          <w:szCs w:val="32"/>
          <w:highlight w:val="none"/>
        </w:rPr>
      </w:pPr>
    </w:p>
    <w:p>
      <w:pPr>
        <w:spacing w:line="600" w:lineRule="exact"/>
        <w:rPr>
          <w:rFonts w:eastAsia="黑体"/>
          <w:sz w:val="32"/>
          <w:szCs w:val="32"/>
          <w:highlight w:val="none"/>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highlight w:val="none"/>
        </w:rPr>
      </w:pPr>
      <w:r>
        <w:rPr>
          <w:rFonts w:hint="eastAsia" w:eastAsia="黑体"/>
          <w:sz w:val="32"/>
          <w:szCs w:val="32"/>
          <w:highlight w:val="none"/>
        </w:rPr>
        <w:t>附件1</w:t>
      </w:r>
    </w:p>
    <w:p>
      <w:pPr>
        <w:pStyle w:val="22"/>
        <w:ind w:firstLine="562"/>
        <w:jc w:val="center"/>
        <w:rPr>
          <w:rFonts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eastAsia="zh-CN"/>
        </w:rPr>
        <w:t>新疆昌吉州</w:t>
      </w:r>
      <w:r>
        <w:rPr>
          <w:rFonts w:hint="eastAsia" w:ascii="仿宋_GB2312" w:hAnsi="仿宋_GB2312" w:eastAsia="仿宋_GB2312" w:cs="仿宋_GB2312"/>
          <w:b/>
          <w:bCs/>
          <w:sz w:val="28"/>
          <w:szCs w:val="40"/>
          <w:highlight w:val="none"/>
        </w:rPr>
        <w:t>奇台县</w:t>
      </w:r>
      <w:r>
        <w:rPr>
          <w:rFonts w:ascii="仿宋_GB2312" w:hAnsi="仿宋_GB2312" w:eastAsia="仿宋_GB2312" w:cs="仿宋_GB2312"/>
          <w:b/>
          <w:bCs/>
          <w:sz w:val="28"/>
          <w:szCs w:val="40"/>
          <w:highlight w:val="none"/>
        </w:rPr>
        <w:t>中葛根渠首水闸除险加固工程项目</w:t>
      </w:r>
      <w:r>
        <w:rPr>
          <w:rFonts w:hint="eastAsia" w:ascii="仿宋_GB2312" w:hAnsi="仿宋_GB2312" w:eastAsia="仿宋_GB2312" w:cs="仿宋_GB2312"/>
          <w:b/>
          <w:bCs/>
          <w:sz w:val="28"/>
          <w:szCs w:val="40"/>
          <w:highlight w:val="none"/>
        </w:rPr>
        <w:t>绩效评价指标体系及综合评分表</w:t>
      </w:r>
      <w:bookmarkEnd w:id="1"/>
      <w:bookmarkEnd w:id="2"/>
    </w:p>
    <w:tbl>
      <w:tblPr>
        <w:tblStyle w:val="16"/>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1"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三级指标</w:t>
            </w:r>
          </w:p>
        </w:tc>
        <w:tc>
          <w:tcPr>
            <w:tcW w:w="172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指标解释</w:t>
            </w:r>
          </w:p>
        </w:tc>
        <w:tc>
          <w:tcPr>
            <w:tcW w:w="5219"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指标说明</w:t>
            </w:r>
          </w:p>
        </w:tc>
        <w:tc>
          <w:tcPr>
            <w:tcW w:w="130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权重</w:t>
            </w:r>
          </w:p>
        </w:tc>
        <w:tc>
          <w:tcPr>
            <w:tcW w:w="136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1"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p>
          <w:p>
            <w:pPr>
              <w:widowControl/>
              <w:spacing w:line="0" w:lineRule="atLeast"/>
              <w:jc w:val="center"/>
              <w:rPr>
                <w:rFonts w:eastAsia="仿宋_GB2312"/>
                <w:color w:val="000000"/>
                <w:kern w:val="0"/>
                <w:sz w:val="18"/>
                <w:szCs w:val="18"/>
                <w:highlight w:val="none"/>
              </w:rPr>
            </w:pPr>
          </w:p>
          <w:p>
            <w:pPr>
              <w:widowControl/>
              <w:spacing w:line="0" w:lineRule="atLeast"/>
              <w:jc w:val="center"/>
              <w:rPr>
                <w:rFonts w:eastAsia="仿宋_GB2312"/>
                <w:color w:val="000000"/>
                <w:kern w:val="0"/>
                <w:sz w:val="18"/>
                <w:szCs w:val="18"/>
                <w:highlight w:val="none"/>
              </w:rPr>
            </w:pPr>
          </w:p>
          <w:p>
            <w:pPr>
              <w:widowControl/>
              <w:spacing w:line="0" w:lineRule="atLeast"/>
              <w:jc w:val="center"/>
              <w:rPr>
                <w:rFonts w:eastAsia="仿宋_GB2312"/>
                <w:color w:val="000000"/>
                <w:kern w:val="0"/>
                <w:sz w:val="18"/>
                <w:szCs w:val="18"/>
                <w:highlight w:val="none"/>
              </w:rPr>
            </w:pPr>
          </w:p>
          <w:p>
            <w:pPr>
              <w:widowControl/>
              <w:spacing w:line="0" w:lineRule="atLeast"/>
              <w:jc w:val="center"/>
              <w:rPr>
                <w:rFonts w:eastAsia="仿宋_GB2312"/>
                <w:color w:val="000000"/>
                <w:kern w:val="0"/>
                <w:sz w:val="18"/>
                <w:szCs w:val="18"/>
                <w:highlight w:val="none"/>
              </w:rPr>
            </w:pPr>
          </w:p>
          <w:p>
            <w:pPr>
              <w:widowControl/>
              <w:spacing w:line="0" w:lineRule="atLeast"/>
              <w:jc w:val="center"/>
              <w:rPr>
                <w:rFonts w:eastAsia="仿宋_GB2312"/>
                <w:color w:val="000000"/>
                <w:kern w:val="0"/>
                <w:sz w:val="18"/>
                <w:szCs w:val="18"/>
                <w:highlight w:val="none"/>
              </w:rPr>
            </w:pP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立项依据</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充分性</w:t>
            </w:r>
          </w:p>
        </w:tc>
        <w:tc>
          <w:tcPr>
            <w:tcW w:w="1724"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项目立项是否符合法律法规、相关政策、发展规划以及部门职责，用以反映和考核项目立项依据情况。</w:t>
            </w:r>
          </w:p>
        </w:tc>
        <w:tc>
          <w:tcPr>
            <w:tcW w:w="5219" w:type="dxa"/>
            <w:shd w:val="clear" w:color="auto" w:fill="FFFFFF"/>
            <w:vAlign w:val="center"/>
          </w:tcPr>
          <w:p>
            <w:pPr>
              <w:widowControl/>
              <w:spacing w:line="0" w:lineRule="atLeast"/>
              <w:jc w:val="lef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①项目立项是否符合国家法律法规、国民经济发展规划和相关政策；</w:t>
            </w:r>
            <w:r>
              <w:rPr>
                <w:rFonts w:eastAsia="仿宋_GB2312"/>
                <w:color w:val="000000"/>
                <w:kern w:val="0"/>
                <w:sz w:val="18"/>
                <w:szCs w:val="18"/>
                <w:highlight w:val="none"/>
              </w:rPr>
              <w:br w:type="textWrapping"/>
            </w:r>
            <w:r>
              <w:rPr>
                <w:rFonts w:eastAsia="仿宋_GB2312"/>
                <w:color w:val="000000"/>
                <w:kern w:val="0"/>
                <w:sz w:val="18"/>
                <w:szCs w:val="18"/>
                <w:highlight w:val="none"/>
              </w:rPr>
              <w:t>②项目立项是否符合行业发展规划和政策要求；</w:t>
            </w:r>
            <w:r>
              <w:rPr>
                <w:rFonts w:eastAsia="仿宋_GB2312"/>
                <w:color w:val="000000"/>
                <w:kern w:val="0"/>
                <w:sz w:val="18"/>
                <w:szCs w:val="18"/>
                <w:highlight w:val="none"/>
              </w:rPr>
              <w:br w:type="textWrapping"/>
            </w:r>
            <w:r>
              <w:rPr>
                <w:rFonts w:eastAsia="仿宋_GB2312"/>
                <w:color w:val="000000"/>
                <w:kern w:val="0"/>
                <w:sz w:val="18"/>
                <w:szCs w:val="18"/>
                <w:highlight w:val="none"/>
              </w:rPr>
              <w:t>③项目立项是否与部门职责范围相符，属于部门履职所需；</w:t>
            </w:r>
            <w:r>
              <w:rPr>
                <w:rFonts w:eastAsia="仿宋_GB2312"/>
                <w:color w:val="000000"/>
                <w:kern w:val="0"/>
                <w:sz w:val="18"/>
                <w:szCs w:val="18"/>
                <w:highlight w:val="none"/>
              </w:rPr>
              <w:br w:type="textWrapping"/>
            </w:r>
            <w:r>
              <w:rPr>
                <w:rFonts w:eastAsia="仿宋_GB2312"/>
                <w:color w:val="000000"/>
                <w:kern w:val="0"/>
                <w:sz w:val="18"/>
                <w:szCs w:val="18"/>
                <w:highlight w:val="none"/>
              </w:rPr>
              <w:t>④项目是否属于公共财政支持范围，是否符合中央、地方事权支出责任划分原则；</w:t>
            </w:r>
            <w:r>
              <w:rPr>
                <w:rFonts w:eastAsia="仿宋_GB2312"/>
                <w:color w:val="000000"/>
                <w:kern w:val="0"/>
                <w:sz w:val="18"/>
                <w:szCs w:val="18"/>
                <w:highlight w:val="none"/>
              </w:rPr>
              <w:br w:type="textWrapping"/>
            </w:r>
            <w:r>
              <w:rPr>
                <w:rFonts w:eastAsia="仿宋_GB2312"/>
                <w:color w:val="000000"/>
                <w:kern w:val="0"/>
                <w:sz w:val="18"/>
                <w:szCs w:val="18"/>
                <w:highlight w:val="none"/>
              </w:rPr>
              <w:t>⑤项目是否与相关部门同类项目或部门内部相关项目重复。</w:t>
            </w:r>
          </w:p>
        </w:tc>
        <w:tc>
          <w:tcPr>
            <w:tcW w:w="130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3</w:t>
            </w:r>
          </w:p>
        </w:tc>
        <w:tc>
          <w:tcPr>
            <w:tcW w:w="1364" w:type="dxa"/>
            <w:shd w:val="clear" w:color="auto"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立项程序</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规范性</w:t>
            </w:r>
          </w:p>
        </w:tc>
        <w:tc>
          <w:tcPr>
            <w:tcW w:w="1724"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项目申请、设立过程是否符合相关要求，用以反映和考核项目立项的规范情况。</w:t>
            </w:r>
          </w:p>
        </w:tc>
        <w:tc>
          <w:tcPr>
            <w:tcW w:w="5219" w:type="dxa"/>
            <w:shd w:val="clear" w:color="auto" w:fill="FFFFFF"/>
            <w:vAlign w:val="center"/>
          </w:tcPr>
          <w:p>
            <w:pPr>
              <w:widowControl/>
              <w:spacing w:line="0" w:lineRule="atLeast"/>
              <w:jc w:val="lef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①项目是否按照规定的程序申请设立；</w:t>
            </w:r>
            <w:r>
              <w:rPr>
                <w:rFonts w:eastAsia="仿宋_GB2312"/>
                <w:color w:val="000000"/>
                <w:kern w:val="0"/>
                <w:sz w:val="18"/>
                <w:szCs w:val="18"/>
                <w:highlight w:val="none"/>
              </w:rPr>
              <w:br w:type="textWrapping"/>
            </w:r>
            <w:r>
              <w:rPr>
                <w:rFonts w:eastAsia="仿宋_GB2312"/>
                <w:color w:val="000000"/>
                <w:kern w:val="0"/>
                <w:sz w:val="18"/>
                <w:szCs w:val="18"/>
                <w:highlight w:val="none"/>
              </w:rPr>
              <w:t>②审批文件、材料是否符合相关要求；</w:t>
            </w:r>
            <w:r>
              <w:rPr>
                <w:rFonts w:eastAsia="仿宋_GB2312"/>
                <w:color w:val="000000"/>
                <w:kern w:val="0"/>
                <w:sz w:val="18"/>
                <w:szCs w:val="18"/>
                <w:highlight w:val="none"/>
              </w:rPr>
              <w:br w:type="textWrapping"/>
            </w:r>
            <w:r>
              <w:rPr>
                <w:rFonts w:eastAsia="仿宋_GB2312"/>
                <w:color w:val="000000"/>
                <w:kern w:val="0"/>
                <w:sz w:val="18"/>
                <w:szCs w:val="18"/>
                <w:highlight w:val="none"/>
              </w:rPr>
              <w:t>③事前是否已经过必要的可行性研究、专家论证、风险评估、绩效评估、集体决策。</w:t>
            </w:r>
          </w:p>
        </w:tc>
        <w:tc>
          <w:tcPr>
            <w:tcW w:w="130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3</w:t>
            </w:r>
          </w:p>
        </w:tc>
        <w:tc>
          <w:tcPr>
            <w:tcW w:w="1364" w:type="dxa"/>
            <w:shd w:val="clear" w:color="auto"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绩效目标</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合理性</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项目所设定的绩效目标是否依据充分，是否符合客观实际，用以反映和考核项目绩效目标与项目实施的相符情况。</w:t>
            </w:r>
          </w:p>
        </w:tc>
        <w:tc>
          <w:tcPr>
            <w:tcW w:w="5219" w:type="dxa"/>
            <w:shd w:val="clear" w:color="000000" w:fill="FFFFFF"/>
            <w:vAlign w:val="center"/>
          </w:tcPr>
          <w:p>
            <w:pPr>
              <w:widowControl/>
              <w:spacing w:line="0" w:lineRule="atLeast"/>
              <w:jc w:val="lef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（如未设定预算绩效目标，也可考核其他工作任务目标）</w:t>
            </w:r>
            <w:r>
              <w:rPr>
                <w:rFonts w:eastAsia="仿宋_GB2312"/>
                <w:color w:val="000000"/>
                <w:kern w:val="0"/>
                <w:sz w:val="18"/>
                <w:szCs w:val="18"/>
                <w:highlight w:val="none"/>
              </w:rPr>
              <w:br w:type="textWrapping"/>
            </w:r>
            <w:r>
              <w:rPr>
                <w:rFonts w:eastAsia="仿宋_GB2312"/>
                <w:color w:val="000000"/>
                <w:kern w:val="0"/>
                <w:sz w:val="18"/>
                <w:szCs w:val="18"/>
                <w:highlight w:val="none"/>
              </w:rPr>
              <w:t>①项目是否有绩效目标；</w:t>
            </w:r>
            <w:r>
              <w:rPr>
                <w:rFonts w:eastAsia="仿宋_GB2312"/>
                <w:color w:val="000000"/>
                <w:kern w:val="0"/>
                <w:sz w:val="18"/>
                <w:szCs w:val="18"/>
                <w:highlight w:val="none"/>
              </w:rPr>
              <w:br w:type="textWrapping"/>
            </w:r>
            <w:r>
              <w:rPr>
                <w:rFonts w:eastAsia="仿宋_GB2312"/>
                <w:color w:val="000000"/>
                <w:kern w:val="0"/>
                <w:sz w:val="18"/>
                <w:szCs w:val="18"/>
                <w:highlight w:val="none"/>
              </w:rPr>
              <w:t>②项目绩效目标与实际工作内容是否具有相关性；</w:t>
            </w:r>
            <w:r>
              <w:rPr>
                <w:rFonts w:eastAsia="仿宋_GB2312"/>
                <w:color w:val="000000"/>
                <w:kern w:val="0"/>
                <w:sz w:val="18"/>
                <w:szCs w:val="18"/>
                <w:highlight w:val="none"/>
              </w:rPr>
              <w:br w:type="textWrapping"/>
            </w:r>
            <w:r>
              <w:rPr>
                <w:rFonts w:eastAsia="仿宋_GB2312"/>
                <w:color w:val="000000"/>
                <w:kern w:val="0"/>
                <w:sz w:val="18"/>
                <w:szCs w:val="18"/>
                <w:highlight w:val="none"/>
              </w:rPr>
              <w:t>③项目预期产出效益和效果是否符合正常的业绩水平；</w:t>
            </w:r>
          </w:p>
          <w:p>
            <w:pPr>
              <w:widowControl/>
              <w:spacing w:line="0" w:lineRule="atLeast"/>
              <w:jc w:val="left"/>
              <w:rPr>
                <w:rFonts w:eastAsia="仿宋_GB2312"/>
                <w:color w:val="000000"/>
                <w:kern w:val="0"/>
                <w:sz w:val="18"/>
                <w:szCs w:val="18"/>
                <w:highlight w:val="none"/>
              </w:rPr>
            </w:pPr>
            <w:r>
              <w:rPr>
                <w:rFonts w:eastAsia="仿宋_GB2312"/>
                <w:color w:val="000000"/>
                <w:kern w:val="0"/>
                <w:sz w:val="18"/>
                <w:szCs w:val="18"/>
                <w:highlight w:val="none"/>
              </w:rPr>
              <w:t>④是否与预算确定的项目投资额或资金量相匹配。</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3</w:t>
            </w:r>
          </w:p>
        </w:tc>
        <w:tc>
          <w:tcPr>
            <w:tcW w:w="1364" w:type="dxa"/>
            <w:shd w:val="clear" w:color="000000"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1"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绩效指标</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明确性</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依据绩效目标设定的绩效指标是否清晰、细化、可衡量等，用以反映和考核项目绩效目标的明细化情况。</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①是否将项目绩效目标细化分解为具体的绩效指标；</w:t>
            </w:r>
            <w:r>
              <w:rPr>
                <w:rFonts w:eastAsia="仿宋_GB2312"/>
                <w:color w:val="000000"/>
                <w:kern w:val="0"/>
                <w:sz w:val="18"/>
                <w:szCs w:val="18"/>
                <w:highlight w:val="none"/>
              </w:rPr>
              <w:br w:type="textWrapping"/>
            </w:r>
            <w:r>
              <w:rPr>
                <w:rFonts w:eastAsia="仿宋_GB2312"/>
                <w:color w:val="000000"/>
                <w:kern w:val="0"/>
                <w:sz w:val="18"/>
                <w:szCs w:val="18"/>
                <w:highlight w:val="none"/>
              </w:rPr>
              <w:t>②是否通过清晰、可衡量的指标值予以体现；</w:t>
            </w:r>
            <w:r>
              <w:rPr>
                <w:rFonts w:eastAsia="仿宋_GB2312"/>
                <w:color w:val="000000"/>
                <w:kern w:val="0"/>
                <w:sz w:val="18"/>
                <w:szCs w:val="18"/>
                <w:highlight w:val="none"/>
              </w:rPr>
              <w:br w:type="textWrapping"/>
            </w:r>
            <w:r>
              <w:rPr>
                <w:rFonts w:eastAsia="仿宋_GB2312"/>
                <w:color w:val="000000"/>
                <w:kern w:val="0"/>
                <w:sz w:val="18"/>
                <w:szCs w:val="18"/>
                <w:highlight w:val="none"/>
              </w:rPr>
              <w:t>③是否与项目目标任务数或计划数相对应。</w:t>
            </w:r>
            <w:r>
              <w:rPr>
                <w:rFonts w:eastAsia="仿宋_GB2312"/>
                <w:color w:val="000000"/>
                <w:kern w:val="0"/>
                <w:sz w:val="18"/>
                <w:szCs w:val="18"/>
                <w:highlight w:val="none"/>
              </w:rPr>
              <w:br w:type="textWrapping"/>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3</w:t>
            </w:r>
          </w:p>
        </w:tc>
        <w:tc>
          <w:tcPr>
            <w:tcW w:w="1364" w:type="dxa"/>
            <w:shd w:val="clear" w:color="000000"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1"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资金投入</w:t>
            </w:r>
          </w:p>
          <w:p>
            <w:pPr>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　</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预算编制</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科学性</w:t>
            </w:r>
          </w:p>
        </w:tc>
        <w:tc>
          <w:tcPr>
            <w:tcW w:w="1724"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①预算编制是否经过科学论证；</w:t>
            </w:r>
            <w:r>
              <w:rPr>
                <w:rFonts w:eastAsia="仿宋_GB2312"/>
                <w:color w:val="000000"/>
                <w:kern w:val="0"/>
                <w:sz w:val="18"/>
                <w:szCs w:val="18"/>
                <w:highlight w:val="none"/>
              </w:rPr>
              <w:br w:type="textWrapping"/>
            </w:r>
            <w:r>
              <w:rPr>
                <w:rFonts w:eastAsia="仿宋_GB2312"/>
                <w:color w:val="000000"/>
                <w:kern w:val="0"/>
                <w:sz w:val="18"/>
                <w:szCs w:val="18"/>
                <w:highlight w:val="none"/>
              </w:rPr>
              <w:t>②预算内容与项目内容是否匹配；</w:t>
            </w:r>
            <w:r>
              <w:rPr>
                <w:rFonts w:eastAsia="仿宋_GB2312"/>
                <w:color w:val="000000"/>
                <w:kern w:val="0"/>
                <w:sz w:val="18"/>
                <w:szCs w:val="18"/>
                <w:highlight w:val="none"/>
              </w:rPr>
              <w:br w:type="textWrapping"/>
            </w:r>
            <w:r>
              <w:rPr>
                <w:rFonts w:eastAsia="仿宋_GB2312"/>
                <w:color w:val="000000"/>
                <w:kern w:val="0"/>
                <w:sz w:val="18"/>
                <w:szCs w:val="18"/>
                <w:highlight w:val="none"/>
              </w:rPr>
              <w:t>③预算额度测算依据是否充分，是否按照标准编制；</w:t>
            </w:r>
            <w:r>
              <w:rPr>
                <w:rFonts w:eastAsia="仿宋_GB2312"/>
                <w:color w:val="000000"/>
                <w:kern w:val="0"/>
                <w:sz w:val="18"/>
                <w:szCs w:val="18"/>
                <w:highlight w:val="none"/>
              </w:rPr>
              <w:br w:type="textWrapping"/>
            </w:r>
            <w:r>
              <w:rPr>
                <w:rFonts w:eastAsia="仿宋_GB2312"/>
                <w:color w:val="000000"/>
                <w:kern w:val="0"/>
                <w:sz w:val="18"/>
                <w:szCs w:val="18"/>
                <w:highlight w:val="none"/>
              </w:rPr>
              <w:t>④预算确定的项目投资额或资金量是否与工作任务相匹配。</w:t>
            </w:r>
          </w:p>
        </w:tc>
        <w:tc>
          <w:tcPr>
            <w:tcW w:w="130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4</w:t>
            </w:r>
          </w:p>
        </w:tc>
        <w:tc>
          <w:tcPr>
            <w:tcW w:w="1364" w:type="dxa"/>
            <w:shd w:val="clear" w:color="auto"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1"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资金分配</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合理性</w:t>
            </w:r>
          </w:p>
        </w:tc>
        <w:tc>
          <w:tcPr>
            <w:tcW w:w="1724"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①预算资金分配依据是否充分；</w:t>
            </w:r>
            <w:r>
              <w:rPr>
                <w:rFonts w:eastAsia="仿宋_GB2312"/>
                <w:color w:val="000000"/>
                <w:kern w:val="0"/>
                <w:sz w:val="18"/>
                <w:szCs w:val="18"/>
                <w:highlight w:val="none"/>
              </w:rPr>
              <w:br w:type="textWrapping"/>
            </w:r>
            <w:r>
              <w:rPr>
                <w:rFonts w:eastAsia="仿宋_GB2312"/>
                <w:color w:val="000000"/>
                <w:kern w:val="0"/>
                <w:sz w:val="18"/>
                <w:szCs w:val="18"/>
                <w:highlight w:val="none"/>
              </w:rPr>
              <w:t>②资金分配额度是否合理，与项目单位或地方实际是否相适应。</w:t>
            </w:r>
          </w:p>
        </w:tc>
        <w:tc>
          <w:tcPr>
            <w:tcW w:w="130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4</w:t>
            </w:r>
          </w:p>
        </w:tc>
        <w:tc>
          <w:tcPr>
            <w:tcW w:w="1364" w:type="dxa"/>
            <w:shd w:val="clear" w:color="auto"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1" w:type="dxa"/>
            <w:vMerge w:val="restart"/>
            <w:shd w:val="clear" w:color="auto" w:fill="FFFFFF"/>
            <w:vAlign w:val="center"/>
          </w:tcPr>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p>
          <w:p>
            <w:pPr>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过程</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资金到位率</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实际到位资金与预算资金的比率，用以反映和考核资金落实情况对项目实施的总体保障程度。</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资金到位率=（实际到位资金/预算资金）×100%。</w:t>
            </w:r>
          </w:p>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实际到位资金：一定时期（本年度或项目期）内落实到具体项目的资金。</w:t>
            </w:r>
          </w:p>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预算资金：一定时期（本年度或项目期）内预算安排到具体项目的资金。</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4</w:t>
            </w:r>
          </w:p>
        </w:tc>
        <w:tc>
          <w:tcPr>
            <w:tcW w:w="1364" w:type="dxa"/>
            <w:shd w:val="clear" w:color="000000"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1"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00"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预算执行率</w:t>
            </w:r>
          </w:p>
        </w:tc>
        <w:tc>
          <w:tcPr>
            <w:tcW w:w="1724"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项目预算资金是否按照计划执行，用以反映或考核项目预算执行情况。</w:t>
            </w:r>
          </w:p>
        </w:tc>
        <w:tc>
          <w:tcPr>
            <w:tcW w:w="5219"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预算执行率=（实际支出资金/实际到位资金）×100%。</w:t>
            </w:r>
            <w:r>
              <w:rPr>
                <w:rFonts w:eastAsia="仿宋_GB2312"/>
                <w:color w:val="000000"/>
                <w:kern w:val="0"/>
                <w:sz w:val="18"/>
                <w:szCs w:val="18"/>
                <w:highlight w:val="none"/>
              </w:rPr>
              <w:br w:type="textWrapping"/>
            </w:r>
            <w:r>
              <w:rPr>
                <w:rFonts w:eastAsia="仿宋_GB2312"/>
                <w:color w:val="000000"/>
                <w:kern w:val="0"/>
                <w:sz w:val="18"/>
                <w:szCs w:val="18"/>
                <w:highlight w:val="none"/>
              </w:rPr>
              <w:t>实际支出资金：一定时期（本年度或项目期）内项目实际拨付的资金。</w:t>
            </w:r>
          </w:p>
        </w:tc>
        <w:tc>
          <w:tcPr>
            <w:tcW w:w="130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4</w:t>
            </w:r>
          </w:p>
        </w:tc>
        <w:tc>
          <w:tcPr>
            <w:tcW w:w="1364" w:type="dxa"/>
            <w:shd w:val="clear" w:color="auto"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00"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资金使用</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合规性</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项目资金使用是否符合相关的财务管理制度规定，用以反映和考核项目资金的规范运行情况。</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①是否符合国家财经法规和财务管理制度以及有关专项资金管理办法的规定；</w:t>
            </w:r>
            <w:r>
              <w:rPr>
                <w:rFonts w:eastAsia="仿宋_GB2312"/>
                <w:color w:val="000000"/>
                <w:kern w:val="0"/>
                <w:sz w:val="18"/>
                <w:szCs w:val="18"/>
                <w:highlight w:val="none"/>
              </w:rPr>
              <w:br w:type="textWrapping"/>
            </w:r>
            <w:r>
              <w:rPr>
                <w:rFonts w:eastAsia="仿宋_GB2312"/>
                <w:color w:val="000000"/>
                <w:kern w:val="0"/>
                <w:sz w:val="18"/>
                <w:szCs w:val="18"/>
                <w:highlight w:val="none"/>
              </w:rPr>
              <w:t>②资金的拨付是否有完整的审批程序和手续；</w:t>
            </w:r>
            <w:r>
              <w:rPr>
                <w:rFonts w:eastAsia="仿宋_GB2312"/>
                <w:color w:val="000000"/>
                <w:kern w:val="0"/>
                <w:sz w:val="18"/>
                <w:szCs w:val="18"/>
                <w:highlight w:val="none"/>
              </w:rPr>
              <w:br w:type="textWrapping"/>
            </w:r>
            <w:r>
              <w:rPr>
                <w:rFonts w:eastAsia="仿宋_GB2312"/>
                <w:color w:val="000000"/>
                <w:kern w:val="0"/>
                <w:sz w:val="18"/>
                <w:szCs w:val="18"/>
                <w:highlight w:val="none"/>
              </w:rPr>
              <w:t>③是否符合项目预算批复或合同规定的用途；</w:t>
            </w:r>
            <w:r>
              <w:rPr>
                <w:rFonts w:eastAsia="仿宋_GB2312"/>
                <w:color w:val="000000"/>
                <w:kern w:val="0"/>
                <w:sz w:val="18"/>
                <w:szCs w:val="18"/>
                <w:highlight w:val="none"/>
              </w:rPr>
              <w:br w:type="textWrapping"/>
            </w:r>
            <w:r>
              <w:rPr>
                <w:rFonts w:eastAsia="仿宋_GB2312"/>
                <w:color w:val="000000"/>
                <w:kern w:val="0"/>
                <w:sz w:val="18"/>
                <w:szCs w:val="18"/>
                <w:highlight w:val="none"/>
              </w:rPr>
              <w:t>④是否存在截留、挤占、挪用、虚列支出等情况。</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4</w:t>
            </w:r>
          </w:p>
        </w:tc>
        <w:tc>
          <w:tcPr>
            <w:tcW w:w="1364" w:type="dxa"/>
            <w:shd w:val="clear" w:color="000000"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1"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组织实施</w:t>
            </w:r>
          </w:p>
          <w:p>
            <w:pPr>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　</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管理制度</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健全性</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项目实施单位的财务和业务管理制度是否健全，用以反映和考核财务和业务管理制度对项目顺利实施的保障情况。</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①是否已制定或具有相应的财务和业务管理制度；</w:t>
            </w:r>
            <w:r>
              <w:rPr>
                <w:rFonts w:eastAsia="仿宋_GB2312"/>
                <w:color w:val="000000"/>
                <w:kern w:val="0"/>
                <w:sz w:val="18"/>
                <w:szCs w:val="18"/>
                <w:highlight w:val="none"/>
              </w:rPr>
              <w:br w:type="textWrapping"/>
            </w:r>
            <w:r>
              <w:rPr>
                <w:rFonts w:eastAsia="仿宋_GB2312"/>
                <w:color w:val="000000"/>
                <w:kern w:val="0"/>
                <w:sz w:val="18"/>
                <w:szCs w:val="18"/>
                <w:highlight w:val="none"/>
              </w:rPr>
              <w:t>②财务和业务管理制度是否合法、合规、完整。</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4</w:t>
            </w:r>
          </w:p>
        </w:tc>
        <w:tc>
          <w:tcPr>
            <w:tcW w:w="1364" w:type="dxa"/>
            <w:shd w:val="clear" w:color="000000"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1"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制度执行</w:t>
            </w:r>
          </w:p>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有效性</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项目实施是否符合相关管理规定，用以反映和考核相关管理制度的有效执行情况。</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评价要点：</w:t>
            </w:r>
            <w:r>
              <w:rPr>
                <w:rFonts w:eastAsia="仿宋_GB2312"/>
                <w:color w:val="000000"/>
                <w:kern w:val="0"/>
                <w:sz w:val="18"/>
                <w:szCs w:val="18"/>
                <w:highlight w:val="none"/>
              </w:rPr>
              <w:br w:type="textWrapping"/>
            </w:r>
            <w:r>
              <w:rPr>
                <w:rFonts w:eastAsia="仿宋_GB2312"/>
                <w:color w:val="000000"/>
                <w:kern w:val="0"/>
                <w:sz w:val="18"/>
                <w:szCs w:val="18"/>
                <w:highlight w:val="none"/>
              </w:rPr>
              <w:t>①是否遵守相关法律法规和相关管理规定；</w:t>
            </w:r>
            <w:r>
              <w:rPr>
                <w:rFonts w:eastAsia="仿宋_GB2312"/>
                <w:color w:val="000000"/>
                <w:kern w:val="0"/>
                <w:sz w:val="18"/>
                <w:szCs w:val="18"/>
                <w:highlight w:val="none"/>
              </w:rPr>
              <w:br w:type="textWrapping"/>
            </w:r>
            <w:r>
              <w:rPr>
                <w:rFonts w:eastAsia="仿宋_GB2312"/>
                <w:color w:val="000000"/>
                <w:kern w:val="0"/>
                <w:sz w:val="18"/>
                <w:szCs w:val="18"/>
                <w:highlight w:val="none"/>
              </w:rPr>
              <w:t>②项目调整及支出调整手续是否完备；</w:t>
            </w:r>
            <w:r>
              <w:rPr>
                <w:rFonts w:eastAsia="仿宋_GB2312"/>
                <w:color w:val="000000"/>
                <w:kern w:val="0"/>
                <w:sz w:val="18"/>
                <w:szCs w:val="18"/>
                <w:highlight w:val="none"/>
              </w:rPr>
              <w:br w:type="textWrapping"/>
            </w:r>
            <w:r>
              <w:rPr>
                <w:rFonts w:eastAsia="仿宋_GB2312"/>
                <w:color w:val="000000"/>
                <w:kern w:val="0"/>
                <w:sz w:val="18"/>
                <w:szCs w:val="18"/>
                <w:highlight w:val="none"/>
              </w:rPr>
              <w:t>③项目合同书、验收报告、技术鉴定等资料是否齐全并及时归档；</w:t>
            </w:r>
            <w:r>
              <w:rPr>
                <w:rFonts w:eastAsia="仿宋_GB2312"/>
                <w:color w:val="000000"/>
                <w:kern w:val="0"/>
                <w:sz w:val="18"/>
                <w:szCs w:val="18"/>
                <w:highlight w:val="none"/>
              </w:rPr>
              <w:br w:type="textWrapping"/>
            </w:r>
            <w:r>
              <w:rPr>
                <w:rFonts w:eastAsia="仿宋_GB2312"/>
                <w:color w:val="000000"/>
                <w:kern w:val="0"/>
                <w:sz w:val="18"/>
                <w:szCs w:val="18"/>
                <w:highlight w:val="none"/>
              </w:rPr>
              <w:t>④项目实施的人员条件、场地设备、信息支撑等是否落实到位。</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4</w:t>
            </w:r>
          </w:p>
        </w:tc>
        <w:tc>
          <w:tcPr>
            <w:tcW w:w="1364" w:type="dxa"/>
            <w:shd w:val="clear" w:color="000000" w:fill="FFFFFF"/>
            <w:vAlign w:val="center"/>
          </w:tcPr>
          <w:p>
            <w:pPr>
              <w:widowControl/>
              <w:spacing w:line="0" w:lineRule="atLeast"/>
              <w:jc w:val="center"/>
              <w:rPr>
                <w:rFonts w:hint="eastAsia" w:eastAsia="仿宋_GB2312"/>
                <w:b/>
                <w:bCs/>
                <w:color w:val="000000"/>
                <w:kern w:val="0"/>
                <w:sz w:val="18"/>
                <w:szCs w:val="18"/>
                <w:highlight w:val="none"/>
                <w:lang w:eastAsia="zh-CN"/>
              </w:rPr>
            </w:pPr>
            <w:r>
              <w:rPr>
                <w:rFonts w:hint="eastAsia" w:eastAsia="仿宋_GB2312"/>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1"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产出</w:t>
            </w:r>
          </w:p>
        </w:tc>
        <w:tc>
          <w:tcPr>
            <w:tcW w:w="1000"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实际完成率</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项目实施的实际产出数与计划产出数的比率，用以反映和考核项目产出数量目标的实现程度。</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实际完成率=（实际产出数/计划产出数）×100%。</w:t>
            </w:r>
            <w:r>
              <w:rPr>
                <w:rFonts w:eastAsia="仿宋_GB2312"/>
                <w:color w:val="000000"/>
                <w:kern w:val="0"/>
                <w:sz w:val="18"/>
                <w:szCs w:val="18"/>
                <w:highlight w:val="none"/>
              </w:rPr>
              <w:br w:type="textWrapping"/>
            </w:r>
            <w:r>
              <w:rPr>
                <w:rFonts w:eastAsia="仿宋_GB2312"/>
                <w:color w:val="000000"/>
                <w:kern w:val="0"/>
                <w:sz w:val="18"/>
                <w:szCs w:val="18"/>
                <w:highlight w:val="none"/>
              </w:rPr>
              <w:t>实际产出数：一定时期（本年度或项目期）内项目实际产出的产品或提供的服务数量。</w:t>
            </w:r>
            <w:r>
              <w:rPr>
                <w:rFonts w:eastAsia="仿宋_GB2312"/>
                <w:color w:val="000000"/>
                <w:kern w:val="0"/>
                <w:sz w:val="18"/>
                <w:szCs w:val="18"/>
                <w:highlight w:val="none"/>
              </w:rPr>
              <w:br w:type="textWrapping"/>
            </w:r>
            <w:r>
              <w:rPr>
                <w:rFonts w:eastAsia="仿宋_GB2312"/>
                <w:color w:val="000000"/>
                <w:kern w:val="0"/>
                <w:sz w:val="18"/>
                <w:szCs w:val="18"/>
                <w:highlight w:val="none"/>
              </w:rPr>
              <w:t>计划产出数：项目绩效目标确定的在一定时期（本年度或项目期）内计划产出的产品或提供的服务数量。</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10</w:t>
            </w:r>
          </w:p>
        </w:tc>
        <w:tc>
          <w:tcPr>
            <w:tcW w:w="1364" w:type="dxa"/>
            <w:shd w:val="clear" w:color="000000" w:fill="FFFFFF"/>
            <w:vAlign w:val="center"/>
          </w:tcPr>
          <w:p>
            <w:pPr>
              <w:widowControl/>
              <w:spacing w:line="0" w:lineRule="atLeast"/>
              <w:jc w:val="center"/>
              <w:rPr>
                <w:rFonts w:hint="default" w:eastAsia="仿宋_GB2312"/>
                <w:b/>
                <w:bCs/>
                <w:color w:val="000000"/>
                <w:kern w:val="0"/>
                <w:sz w:val="18"/>
                <w:szCs w:val="18"/>
                <w:highlight w:val="none"/>
                <w:lang w:val="en-US" w:eastAsia="zh-CN"/>
              </w:rPr>
            </w:pPr>
            <w:r>
              <w:rPr>
                <w:rFonts w:hint="eastAsia" w:eastAsia="仿宋_GB2312"/>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1"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00"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质量达标率</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项目完成的质量达标产出数与实际产出数的比率，用以反映和考核项目产出质量目标的实现程度。</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质量达标率=（质量达标产出数/实际产出数）×100%。</w:t>
            </w:r>
          </w:p>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10</w:t>
            </w:r>
          </w:p>
        </w:tc>
        <w:tc>
          <w:tcPr>
            <w:tcW w:w="1364" w:type="dxa"/>
            <w:shd w:val="clear" w:color="000000" w:fill="FFFFFF"/>
            <w:vAlign w:val="center"/>
          </w:tcPr>
          <w:p>
            <w:pPr>
              <w:widowControl/>
              <w:spacing w:line="0" w:lineRule="atLeast"/>
              <w:jc w:val="center"/>
              <w:rPr>
                <w:rFonts w:hint="default" w:eastAsia="仿宋_GB2312"/>
                <w:b/>
                <w:bCs/>
                <w:color w:val="000000"/>
                <w:kern w:val="0"/>
                <w:sz w:val="18"/>
                <w:szCs w:val="18"/>
                <w:highlight w:val="none"/>
                <w:lang w:val="en-US" w:eastAsia="zh-CN"/>
              </w:rPr>
            </w:pPr>
            <w:r>
              <w:rPr>
                <w:rFonts w:hint="eastAsia" w:eastAsia="仿宋_GB2312"/>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1" w:type="dxa"/>
            <w:vMerge w:val="continue"/>
            <w:shd w:val="clear" w:color="auto" w:fill="FFFFFF"/>
            <w:vAlign w:val="center"/>
          </w:tcPr>
          <w:p>
            <w:pPr>
              <w:spacing w:line="0" w:lineRule="atLeast"/>
              <w:jc w:val="center"/>
              <w:rPr>
                <w:rFonts w:eastAsia="仿宋_GB2312"/>
                <w:color w:val="000000"/>
                <w:kern w:val="0"/>
                <w:sz w:val="18"/>
                <w:szCs w:val="18"/>
                <w:highlight w:val="none"/>
              </w:rPr>
            </w:pPr>
          </w:p>
        </w:tc>
        <w:tc>
          <w:tcPr>
            <w:tcW w:w="1000" w:type="dxa"/>
            <w:shd w:val="clear" w:color="auto" w:fill="FFFFFF"/>
            <w:vAlign w:val="center"/>
          </w:tcPr>
          <w:p>
            <w:pPr>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完成及时性</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项目实际完成时间与计划完成时间的比较，用以反映和考核项目产出时效目标的实现程度。</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实际完成时间：项目实施单位完成该项目实际所耗用的时间。</w:t>
            </w:r>
            <w:r>
              <w:rPr>
                <w:rFonts w:eastAsia="仿宋_GB2312"/>
                <w:color w:val="000000"/>
                <w:kern w:val="0"/>
                <w:sz w:val="18"/>
                <w:szCs w:val="18"/>
                <w:highlight w:val="none"/>
              </w:rPr>
              <w:br w:type="textWrapping"/>
            </w:r>
            <w:r>
              <w:rPr>
                <w:rFonts w:eastAsia="仿宋_GB2312"/>
                <w:color w:val="000000"/>
                <w:kern w:val="0"/>
                <w:sz w:val="18"/>
                <w:szCs w:val="18"/>
                <w:highlight w:val="none"/>
              </w:rPr>
              <w:t>计划完成时间：按照项目实施计划或相关规定完成该项目所需的时间。</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10</w:t>
            </w:r>
          </w:p>
        </w:tc>
        <w:tc>
          <w:tcPr>
            <w:tcW w:w="1364" w:type="dxa"/>
            <w:shd w:val="clear" w:color="000000" w:fill="FFFFFF"/>
            <w:vAlign w:val="center"/>
          </w:tcPr>
          <w:p>
            <w:pPr>
              <w:widowControl/>
              <w:spacing w:line="0" w:lineRule="atLeast"/>
              <w:jc w:val="center"/>
              <w:rPr>
                <w:rFonts w:hint="default" w:eastAsia="仿宋_GB2312"/>
                <w:b/>
                <w:bCs/>
                <w:color w:val="000000"/>
                <w:kern w:val="0"/>
                <w:sz w:val="18"/>
                <w:szCs w:val="18"/>
                <w:highlight w:val="none"/>
                <w:lang w:val="en-US" w:eastAsia="zh-CN"/>
              </w:rPr>
            </w:pPr>
            <w:r>
              <w:rPr>
                <w:rFonts w:hint="eastAsia" w:eastAsia="仿宋_GB2312"/>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00"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成本节约率</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完成项目计划工作目标的实际节约成本与计划成本的比率，用以反映和考核项目的成本节约程度。</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br w:type="textWrapping"/>
            </w:r>
            <w:r>
              <w:rPr>
                <w:rFonts w:eastAsia="仿宋_GB2312"/>
                <w:color w:val="000000"/>
                <w:kern w:val="0"/>
                <w:sz w:val="18"/>
                <w:szCs w:val="18"/>
                <w:highlight w:val="none"/>
              </w:rPr>
              <w:t>成本节约率=[（计划成本-实际成本）/计划成本]×100%。</w:t>
            </w:r>
            <w:r>
              <w:rPr>
                <w:rFonts w:eastAsia="仿宋_GB2312"/>
                <w:color w:val="000000"/>
                <w:kern w:val="0"/>
                <w:sz w:val="18"/>
                <w:szCs w:val="18"/>
                <w:highlight w:val="none"/>
              </w:rPr>
              <w:br w:type="textWrapping"/>
            </w:r>
            <w:r>
              <w:rPr>
                <w:rFonts w:eastAsia="仿宋_GB2312"/>
                <w:color w:val="000000"/>
                <w:kern w:val="0"/>
                <w:sz w:val="18"/>
                <w:szCs w:val="18"/>
                <w:highlight w:val="none"/>
              </w:rPr>
              <w:t>实际成本：项目实施单位如期、保质、保量完成既定工作目标实际所耗费的支出。</w:t>
            </w:r>
            <w:r>
              <w:rPr>
                <w:rFonts w:eastAsia="仿宋_GB2312"/>
                <w:color w:val="000000"/>
                <w:kern w:val="0"/>
                <w:sz w:val="18"/>
                <w:szCs w:val="18"/>
                <w:highlight w:val="none"/>
              </w:rPr>
              <w:br w:type="textWrapping"/>
            </w:r>
            <w:r>
              <w:rPr>
                <w:rFonts w:eastAsia="仿宋_GB2312"/>
                <w:color w:val="000000"/>
                <w:kern w:val="0"/>
                <w:sz w:val="18"/>
                <w:szCs w:val="18"/>
                <w:highlight w:val="none"/>
              </w:rPr>
              <w:t>计划成本：项目实施单位为完成工作目标计划安排的支出，一般以项目预算为参考。</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10</w:t>
            </w:r>
          </w:p>
        </w:tc>
        <w:tc>
          <w:tcPr>
            <w:tcW w:w="1364" w:type="dxa"/>
            <w:shd w:val="clear" w:color="000000" w:fill="FFFFFF"/>
            <w:vAlign w:val="center"/>
          </w:tcPr>
          <w:p>
            <w:pPr>
              <w:widowControl/>
              <w:spacing w:line="0" w:lineRule="atLeast"/>
              <w:jc w:val="center"/>
              <w:rPr>
                <w:rFonts w:hint="default" w:eastAsia="仿宋_GB2312"/>
                <w:b/>
                <w:bCs/>
                <w:color w:val="000000"/>
                <w:kern w:val="0"/>
                <w:sz w:val="18"/>
                <w:szCs w:val="18"/>
                <w:highlight w:val="none"/>
                <w:lang w:val="en-US" w:eastAsia="zh-CN"/>
              </w:rPr>
            </w:pPr>
            <w:r>
              <w:rPr>
                <w:rFonts w:hint="eastAsia" w:eastAsia="仿宋_GB2312"/>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1"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实施效益</w:t>
            </w:r>
          </w:p>
        </w:tc>
        <w:tc>
          <w:tcPr>
            <w:tcW w:w="1724" w:type="dxa"/>
            <w:shd w:val="clear" w:color="auto" w:fill="FFFFFF"/>
            <w:vAlign w:val="center"/>
          </w:tcPr>
          <w:p>
            <w:pPr>
              <w:widowControl/>
              <w:spacing w:line="0" w:lineRule="atLeast"/>
              <w:jc w:val="left"/>
              <w:rPr>
                <w:rFonts w:eastAsia="仿宋_GB2312"/>
                <w:color w:val="000000"/>
                <w:kern w:val="0"/>
                <w:sz w:val="18"/>
                <w:szCs w:val="18"/>
                <w:highlight w:val="none"/>
              </w:rPr>
            </w:pPr>
            <w:r>
              <w:rPr>
                <w:rFonts w:eastAsia="仿宋_GB2312"/>
                <w:color w:val="000000"/>
                <w:kern w:val="0"/>
                <w:sz w:val="18"/>
                <w:szCs w:val="18"/>
                <w:highlight w:val="none"/>
              </w:rPr>
              <w:t>项目实施所产生的效益。</w:t>
            </w:r>
          </w:p>
        </w:tc>
        <w:tc>
          <w:tcPr>
            <w:tcW w:w="5219" w:type="dxa"/>
            <w:shd w:val="clear" w:color="auto"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项目实施所产生的社会效益、经济效益、生态效益、可持续影响等。可根据项目实际情况有选择地设置和细化。</w:t>
            </w:r>
          </w:p>
        </w:tc>
        <w:tc>
          <w:tcPr>
            <w:tcW w:w="1304" w:type="dxa"/>
            <w:shd w:val="clear" w:color="auto"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10</w:t>
            </w:r>
          </w:p>
        </w:tc>
        <w:tc>
          <w:tcPr>
            <w:tcW w:w="1364" w:type="dxa"/>
            <w:shd w:val="clear" w:color="auto" w:fill="FFFFFF"/>
            <w:vAlign w:val="center"/>
          </w:tcPr>
          <w:p>
            <w:pPr>
              <w:widowControl/>
              <w:spacing w:line="0" w:lineRule="atLeast"/>
              <w:jc w:val="center"/>
              <w:rPr>
                <w:rFonts w:hint="default" w:eastAsia="仿宋_GB2312"/>
                <w:b/>
                <w:bCs/>
                <w:color w:val="000000"/>
                <w:kern w:val="0"/>
                <w:sz w:val="18"/>
                <w:szCs w:val="18"/>
                <w:highlight w:val="none"/>
                <w:lang w:val="en-US" w:eastAsia="zh-CN"/>
              </w:rPr>
            </w:pPr>
            <w:r>
              <w:rPr>
                <w:rFonts w:hint="eastAsia" w:eastAsia="仿宋_GB2312"/>
                <w:b/>
                <w:bCs/>
                <w:color w:val="000000"/>
                <w:kern w:val="0"/>
                <w:sz w:val="18"/>
                <w:szCs w:val="18"/>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1"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eastAsia="仿宋_GB2312"/>
                <w:color w:val="000000"/>
                <w:kern w:val="0"/>
                <w:sz w:val="18"/>
                <w:szCs w:val="18"/>
                <w:highlight w:val="none"/>
              </w:rPr>
            </w:pPr>
          </w:p>
        </w:tc>
        <w:tc>
          <w:tcPr>
            <w:tcW w:w="1071" w:type="dxa"/>
            <w:shd w:val="clear" w:color="auto" w:fill="FFFFFF"/>
            <w:vAlign w:val="center"/>
          </w:tcPr>
          <w:p>
            <w:pPr>
              <w:widowControl/>
              <w:spacing w:line="0" w:lineRule="atLeast"/>
              <w:jc w:val="center"/>
              <w:rPr>
                <w:rFonts w:eastAsia="仿宋_GB2312"/>
                <w:color w:val="000000"/>
                <w:kern w:val="0"/>
                <w:sz w:val="18"/>
                <w:szCs w:val="18"/>
                <w:highlight w:val="none"/>
              </w:rPr>
            </w:pPr>
            <w:r>
              <w:rPr>
                <w:rFonts w:eastAsia="仿宋_GB2312"/>
                <w:color w:val="000000"/>
                <w:kern w:val="0"/>
                <w:sz w:val="18"/>
                <w:szCs w:val="18"/>
                <w:highlight w:val="none"/>
              </w:rPr>
              <w:t>满意度</w:t>
            </w:r>
          </w:p>
        </w:tc>
        <w:tc>
          <w:tcPr>
            <w:tcW w:w="1724"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社会公众或服务对象对项目实施效果的满意程度。</w:t>
            </w:r>
          </w:p>
        </w:tc>
        <w:tc>
          <w:tcPr>
            <w:tcW w:w="5219" w:type="dxa"/>
            <w:shd w:val="clear" w:color="000000" w:fill="FFFFFF"/>
            <w:vAlign w:val="center"/>
          </w:tcPr>
          <w:p>
            <w:pPr>
              <w:widowControl/>
              <w:spacing w:line="0" w:lineRule="atLeast"/>
              <w:rPr>
                <w:rFonts w:eastAsia="仿宋_GB2312"/>
                <w:color w:val="000000"/>
                <w:kern w:val="0"/>
                <w:sz w:val="18"/>
                <w:szCs w:val="18"/>
                <w:highlight w:val="none"/>
              </w:rPr>
            </w:pPr>
            <w:r>
              <w:rPr>
                <w:rFonts w:eastAsia="仿宋_GB2312"/>
                <w:color w:val="000000"/>
                <w:kern w:val="0"/>
                <w:sz w:val="18"/>
                <w:szCs w:val="18"/>
                <w:highlight w:val="none"/>
              </w:rPr>
              <w:t>社会公众或服务对象是指因该项目实施而受到影响的部门（单位）、群体或个人。一般采取社会调查的方式。</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t>10</w:t>
            </w:r>
          </w:p>
        </w:tc>
        <w:tc>
          <w:tcPr>
            <w:tcW w:w="1364" w:type="dxa"/>
            <w:shd w:val="clear" w:color="000000" w:fill="FFFFFF"/>
            <w:vAlign w:val="center"/>
          </w:tcPr>
          <w:p>
            <w:pPr>
              <w:widowControl/>
              <w:spacing w:line="0" w:lineRule="atLeast"/>
              <w:jc w:val="center"/>
              <w:rPr>
                <w:rFonts w:hint="default" w:eastAsia="仿宋_GB2312"/>
                <w:b/>
                <w:bCs/>
                <w:color w:val="000000"/>
                <w:kern w:val="0"/>
                <w:sz w:val="18"/>
                <w:szCs w:val="18"/>
                <w:highlight w:val="none"/>
                <w:lang w:val="en-US" w:eastAsia="zh-CN"/>
              </w:rPr>
            </w:pPr>
            <w:r>
              <w:rPr>
                <w:rFonts w:hint="eastAsia" w:eastAsia="仿宋_GB2312"/>
                <w:b/>
                <w:bCs/>
                <w:color w:val="000000"/>
                <w:kern w:val="0"/>
                <w:sz w:val="18"/>
                <w:szCs w:val="18"/>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5" w:type="dxa"/>
            <w:gridSpan w:val="5"/>
            <w:shd w:val="clear" w:color="auto" w:fill="FFFFFF"/>
            <w:vAlign w:val="center"/>
          </w:tcPr>
          <w:p>
            <w:pPr>
              <w:widowControl/>
              <w:spacing w:line="0" w:lineRule="atLeast"/>
              <w:jc w:val="center"/>
              <w:rPr>
                <w:rFonts w:eastAsia="仿宋_GB2312"/>
                <w:b/>
                <w:bCs/>
                <w:color w:val="000000"/>
                <w:kern w:val="0"/>
                <w:sz w:val="18"/>
                <w:szCs w:val="18"/>
                <w:highlight w:val="none"/>
              </w:rPr>
            </w:pPr>
            <w:r>
              <w:rPr>
                <w:rFonts w:hint="eastAsia" w:eastAsia="仿宋_GB2312"/>
                <w:b/>
                <w:bCs/>
                <w:color w:val="000000"/>
                <w:kern w:val="0"/>
                <w:sz w:val="18"/>
                <w:szCs w:val="18"/>
                <w:highlight w:val="none"/>
              </w:rPr>
              <w:t>合计</w:t>
            </w:r>
          </w:p>
        </w:tc>
        <w:tc>
          <w:tcPr>
            <w:tcW w:w="1304" w:type="dxa"/>
            <w:shd w:val="clear" w:color="000000" w:fill="FFFFFF"/>
            <w:vAlign w:val="center"/>
          </w:tcPr>
          <w:p>
            <w:pPr>
              <w:widowControl/>
              <w:spacing w:line="0" w:lineRule="atLeast"/>
              <w:jc w:val="center"/>
              <w:rPr>
                <w:rFonts w:eastAsia="仿宋_GB2312"/>
                <w:b/>
                <w:bCs/>
                <w:color w:val="000000"/>
                <w:kern w:val="0"/>
                <w:sz w:val="18"/>
                <w:szCs w:val="18"/>
                <w:highlight w:val="none"/>
              </w:rPr>
            </w:pPr>
            <w:r>
              <w:rPr>
                <w:rFonts w:eastAsia="仿宋_GB2312"/>
                <w:b/>
                <w:bCs/>
                <w:color w:val="000000"/>
                <w:kern w:val="0"/>
                <w:sz w:val="18"/>
                <w:szCs w:val="18"/>
                <w:highlight w:val="none"/>
              </w:rPr>
              <w:fldChar w:fldCharType="begin"/>
            </w:r>
            <w:r>
              <w:rPr>
                <w:rFonts w:eastAsia="仿宋_GB2312"/>
                <w:b/>
                <w:bCs/>
                <w:color w:val="000000"/>
                <w:kern w:val="0"/>
                <w:sz w:val="18"/>
                <w:szCs w:val="18"/>
                <w:highlight w:val="none"/>
              </w:rPr>
              <w:instrText xml:space="preserve"> = sum(F2:F18) \* MERGEFORMAT </w:instrText>
            </w:r>
            <w:r>
              <w:rPr>
                <w:rFonts w:eastAsia="仿宋_GB2312"/>
                <w:b/>
                <w:bCs/>
                <w:color w:val="000000"/>
                <w:kern w:val="0"/>
                <w:sz w:val="18"/>
                <w:szCs w:val="18"/>
                <w:highlight w:val="none"/>
              </w:rPr>
              <w:fldChar w:fldCharType="separate"/>
            </w:r>
            <w:r>
              <w:rPr>
                <w:rFonts w:eastAsia="仿宋_GB2312"/>
                <w:b/>
                <w:bCs/>
                <w:color w:val="000000"/>
                <w:kern w:val="0"/>
                <w:sz w:val="18"/>
                <w:szCs w:val="18"/>
                <w:highlight w:val="none"/>
              </w:rPr>
              <w:t>100</w:t>
            </w:r>
            <w:r>
              <w:rPr>
                <w:rFonts w:eastAsia="仿宋_GB2312"/>
                <w:b/>
                <w:bCs/>
                <w:color w:val="000000"/>
                <w:kern w:val="0"/>
                <w:sz w:val="18"/>
                <w:szCs w:val="18"/>
                <w:highlight w:val="none"/>
              </w:rPr>
              <w:fldChar w:fldCharType="end"/>
            </w:r>
          </w:p>
        </w:tc>
        <w:tc>
          <w:tcPr>
            <w:tcW w:w="1364" w:type="dxa"/>
            <w:shd w:val="clear" w:color="000000" w:fill="FFFFFF"/>
            <w:vAlign w:val="center"/>
          </w:tcPr>
          <w:p>
            <w:pPr>
              <w:widowControl/>
              <w:spacing w:line="0" w:lineRule="atLeast"/>
              <w:jc w:val="center"/>
              <w:rPr>
                <w:rFonts w:hint="default" w:eastAsia="仿宋_GB2312"/>
                <w:b/>
                <w:bCs/>
                <w:color w:val="000000"/>
                <w:kern w:val="0"/>
                <w:sz w:val="18"/>
                <w:szCs w:val="18"/>
                <w:highlight w:val="none"/>
                <w:lang w:val="en-US" w:eastAsia="zh-CN"/>
              </w:rPr>
            </w:pPr>
            <w:r>
              <w:rPr>
                <w:rFonts w:hint="eastAsia" w:eastAsia="仿宋_GB2312"/>
                <w:b/>
                <w:bCs/>
                <w:color w:val="000000"/>
                <w:kern w:val="0"/>
                <w:sz w:val="18"/>
                <w:szCs w:val="18"/>
                <w:highlight w:val="none"/>
                <w:lang w:val="en-US" w:eastAsia="zh-CN"/>
              </w:rPr>
              <w:t>80</w:t>
            </w:r>
          </w:p>
        </w:tc>
      </w:tr>
    </w:tbl>
    <w:p>
      <w:pPr>
        <w:rPr>
          <w:highlight w:val="none"/>
        </w:rPr>
        <w:sectPr>
          <w:pgSz w:w="16838" w:h="11906" w:orient="landscape"/>
          <w:pgMar w:top="1800" w:right="1440" w:bottom="1558" w:left="1440" w:header="851" w:footer="992" w:gutter="0"/>
          <w:cols w:space="425" w:num="1"/>
          <w:docGrid w:type="lines" w:linePitch="312" w:charSpace="0"/>
        </w:sectPr>
      </w:pPr>
    </w:p>
    <w:p>
      <w:pPr>
        <w:spacing w:line="240" w:lineRule="auto"/>
        <w:jc w:val="center"/>
        <w:rPr>
          <w:rFonts w:eastAsia="仿宋_GB2312"/>
          <w:b/>
          <w:bCs/>
          <w:color w:val="000000"/>
          <w:kern w:val="0"/>
          <w:sz w:val="22"/>
          <w:szCs w:val="22"/>
          <w:highlight w:val="none"/>
          <w:lang w:bidi="ar"/>
        </w:rPr>
      </w:pPr>
      <w:bookmarkStart w:id="3" w:name="_GoBack"/>
      <w:r>
        <w:rPr>
          <w:rFonts w:eastAsia="仿宋_GB2312"/>
          <w:b/>
          <w:bCs/>
          <w:color w:val="000000"/>
          <w:kern w:val="0"/>
          <w:sz w:val="22"/>
          <w:szCs w:val="22"/>
          <w:highlight w:val="none"/>
          <w:lang w:bidi="ar"/>
        </w:rPr>
        <w:object>
          <v:shape id="_x0000_i1025" o:spt="75" alt="" type="#_x0000_t75" style="height:418.1pt;width:744.95pt;" o:ole="t" filled="f" o:preferrelative="t" stroked="f" coordsize="21600,21600">
            <v:path/>
            <v:fill on="f" focussize="0,0"/>
            <v:stroke on="f"/>
            <v:imagedata r:id="rId6" o:title=""/>
            <o:lock v:ext="edit" aspectratio="f"/>
            <w10:wrap type="none"/>
            <w10:anchorlock/>
          </v:shape>
          <o:OLEObject Type="Embed" ProgID="Excel.Sheet.12" ShapeID="_x0000_i1025" DrawAspect="Content" ObjectID="_1468075725" r:id="rId5">
            <o:LockedField>false</o:LockedField>
          </o:OLEObject>
        </w:object>
      </w:r>
      <w:bookmarkEnd w:id="3"/>
    </w:p>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EBE147-F8B2-47FE-9047-C6EC51BA4FA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64BEB6A-71A7-4E76-BF87-53338FA4F9BB}"/>
  </w:font>
  <w:font w:name="华文中宋">
    <w:altName w:val="宋体"/>
    <w:panose1 w:val="02010600040101010101"/>
    <w:charset w:val="86"/>
    <w:family w:val="auto"/>
    <w:pitch w:val="default"/>
    <w:sig w:usb0="00000000" w:usb1="00000000" w:usb2="00000010" w:usb3="00000000" w:csb0="0004009F" w:csb1="00000000"/>
    <w:embedRegular r:id="rId3" w:fontKey="{E0011A2F-0DC3-4F1C-A2B5-22CC94B92690}"/>
  </w:font>
  <w:font w:name="方正小标宋_GBK">
    <w:panose1 w:val="02000000000000000000"/>
    <w:charset w:val="86"/>
    <w:family w:val="script"/>
    <w:pitch w:val="default"/>
    <w:sig w:usb0="00000000" w:usb1="00000000" w:usb2="00000000" w:usb3="00000000" w:csb0="00000000" w:csb1="00000000"/>
    <w:embedRegular r:id="rId4" w:fontKey="{44C74E12-DCF2-4B29-8D6B-8C426C81C316}"/>
  </w:font>
  <w:font w:name="楷体_GB2312">
    <w:panose1 w:val="02010609030101010101"/>
    <w:charset w:val="86"/>
    <w:family w:val="modern"/>
    <w:pitch w:val="default"/>
    <w:sig w:usb0="00000001" w:usb1="080E0000" w:usb2="00000000" w:usb3="00000000" w:csb0="00040000" w:csb1="00000000"/>
    <w:embedRegular r:id="rId5" w:fontKey="{9927C128-244E-4BB7-9A63-4A45AA5D1BC5}"/>
  </w:font>
  <w:font w:name="楷体">
    <w:panose1 w:val="02010609060101010101"/>
    <w:charset w:val="86"/>
    <w:family w:val="modern"/>
    <w:pitch w:val="default"/>
    <w:sig w:usb0="800002BF" w:usb1="38CF7CFA" w:usb2="00000016" w:usb3="00000000" w:csb0="00040001" w:csb1="00000000"/>
    <w:embedRegular r:id="rId6" w:fontKey="{50409886-E58A-4501-8723-37BFB008524B}"/>
  </w:font>
  <w:font w:name="Segoe UI">
    <w:panose1 w:val="020B0502040204020203"/>
    <w:charset w:val="00"/>
    <w:family w:val="auto"/>
    <w:pitch w:val="default"/>
    <w:sig w:usb0="E10022FF" w:usb1="C000E47F" w:usb2="00000029" w:usb3="00000000" w:csb0="200001DF" w:csb1="20000000"/>
    <w:embedRegular r:id="rId7" w:fontKey="{2C69F9AD-4114-4271-93BD-310C20931A23}"/>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19</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78F70"/>
    <w:multiLevelType w:val="singleLevel"/>
    <w:tmpl w:val="0B478F70"/>
    <w:lvl w:ilvl="0" w:tentative="0">
      <w:start w:val="2"/>
      <w:numFmt w:val="decimal"/>
      <w:lvlText w:val="%1."/>
      <w:lvlJc w:val="left"/>
      <w:pPr>
        <w:tabs>
          <w:tab w:val="left" w:pos="312"/>
        </w:tabs>
      </w:p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42349126"/>
    <w:multiLevelType w:val="singleLevel"/>
    <w:tmpl w:val="42349126"/>
    <w:lvl w:ilvl="0" w:tentative="0">
      <w:start w:val="3"/>
      <w:numFmt w:val="decimal"/>
      <w:suff w:val="nothing"/>
      <w:lvlText w:val="（%1）"/>
      <w:lvlJc w:val="left"/>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172A27"/>
    <w:rsid w:val="00046292"/>
    <w:rsid w:val="000E67A6"/>
    <w:rsid w:val="001A70FD"/>
    <w:rsid w:val="001F6A9F"/>
    <w:rsid w:val="004519D7"/>
    <w:rsid w:val="004D721B"/>
    <w:rsid w:val="006F7242"/>
    <w:rsid w:val="00776AB0"/>
    <w:rsid w:val="007B168A"/>
    <w:rsid w:val="008B2CFE"/>
    <w:rsid w:val="00976884"/>
    <w:rsid w:val="00A5248D"/>
    <w:rsid w:val="00B6566B"/>
    <w:rsid w:val="00B8074E"/>
    <w:rsid w:val="00C511E0"/>
    <w:rsid w:val="00CA5ADD"/>
    <w:rsid w:val="00CB4AD7"/>
    <w:rsid w:val="00DF0351"/>
    <w:rsid w:val="00F26FF6"/>
    <w:rsid w:val="01610122"/>
    <w:rsid w:val="02510197"/>
    <w:rsid w:val="03EC461B"/>
    <w:rsid w:val="071A5591"/>
    <w:rsid w:val="07397B77"/>
    <w:rsid w:val="09DC276C"/>
    <w:rsid w:val="0AD007F3"/>
    <w:rsid w:val="0D082A6E"/>
    <w:rsid w:val="0E3C619F"/>
    <w:rsid w:val="0F6273CA"/>
    <w:rsid w:val="100F38EC"/>
    <w:rsid w:val="11170296"/>
    <w:rsid w:val="12C66037"/>
    <w:rsid w:val="12CD1ABC"/>
    <w:rsid w:val="13471461"/>
    <w:rsid w:val="13B90F01"/>
    <w:rsid w:val="151412DC"/>
    <w:rsid w:val="155E4C4D"/>
    <w:rsid w:val="181066D2"/>
    <w:rsid w:val="1C671E73"/>
    <w:rsid w:val="1D322C47"/>
    <w:rsid w:val="1D3E30EB"/>
    <w:rsid w:val="1D783135"/>
    <w:rsid w:val="1F491A9F"/>
    <w:rsid w:val="218F68F5"/>
    <w:rsid w:val="22290DFD"/>
    <w:rsid w:val="23616034"/>
    <w:rsid w:val="23696C97"/>
    <w:rsid w:val="23AD253B"/>
    <w:rsid w:val="24480FA2"/>
    <w:rsid w:val="25227A45"/>
    <w:rsid w:val="26AC3A6A"/>
    <w:rsid w:val="28BC5ABB"/>
    <w:rsid w:val="2A8A27B0"/>
    <w:rsid w:val="2B9D7E25"/>
    <w:rsid w:val="2C7C7A3B"/>
    <w:rsid w:val="2E0111D4"/>
    <w:rsid w:val="2F364819"/>
    <w:rsid w:val="2FD63906"/>
    <w:rsid w:val="31CE16D7"/>
    <w:rsid w:val="3315773E"/>
    <w:rsid w:val="37215DAE"/>
    <w:rsid w:val="38CA40DD"/>
    <w:rsid w:val="395F2B56"/>
    <w:rsid w:val="399651C4"/>
    <w:rsid w:val="3A6164C2"/>
    <w:rsid w:val="3ABE6B00"/>
    <w:rsid w:val="3B482032"/>
    <w:rsid w:val="3BBA0580"/>
    <w:rsid w:val="3BECE841"/>
    <w:rsid w:val="3CDE204C"/>
    <w:rsid w:val="3D363C36"/>
    <w:rsid w:val="3E9C3F6D"/>
    <w:rsid w:val="3FF7797D"/>
    <w:rsid w:val="41EE0F83"/>
    <w:rsid w:val="42F16CBA"/>
    <w:rsid w:val="43103B5A"/>
    <w:rsid w:val="46690BD8"/>
    <w:rsid w:val="49F70BF1"/>
    <w:rsid w:val="4B4340EE"/>
    <w:rsid w:val="503D507A"/>
    <w:rsid w:val="505941CD"/>
    <w:rsid w:val="51FA74D0"/>
    <w:rsid w:val="52AA4A52"/>
    <w:rsid w:val="539D3AD1"/>
    <w:rsid w:val="59943D66"/>
    <w:rsid w:val="59E051FD"/>
    <w:rsid w:val="59E6355E"/>
    <w:rsid w:val="5B821531"/>
    <w:rsid w:val="5BFF6039"/>
    <w:rsid w:val="5D6E4AE7"/>
    <w:rsid w:val="5D76A616"/>
    <w:rsid w:val="5D7F20B9"/>
    <w:rsid w:val="5DAC7D0E"/>
    <w:rsid w:val="5DC90132"/>
    <w:rsid w:val="5F98B5AF"/>
    <w:rsid w:val="5FFE8511"/>
    <w:rsid w:val="5FFEACE2"/>
    <w:rsid w:val="609D5BF6"/>
    <w:rsid w:val="61073070"/>
    <w:rsid w:val="61B9080E"/>
    <w:rsid w:val="61DF3FED"/>
    <w:rsid w:val="62606CE8"/>
    <w:rsid w:val="642B176B"/>
    <w:rsid w:val="643EE26D"/>
    <w:rsid w:val="6488707F"/>
    <w:rsid w:val="656019A0"/>
    <w:rsid w:val="65F242EE"/>
    <w:rsid w:val="666D7E19"/>
    <w:rsid w:val="680141B5"/>
    <w:rsid w:val="68376930"/>
    <w:rsid w:val="68F91E38"/>
    <w:rsid w:val="6B3158B9"/>
    <w:rsid w:val="6BA02A3F"/>
    <w:rsid w:val="6C105349"/>
    <w:rsid w:val="6C1E5A53"/>
    <w:rsid w:val="6CC47F0E"/>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CEA105F"/>
    <w:rsid w:val="7D7A5F86"/>
    <w:rsid w:val="7E1D1CCD"/>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3">
    <w:name w:val="E-mail Signature"/>
    <w:basedOn w:val="1"/>
    <w:link w:val="28"/>
    <w:qFormat/>
    <w:uiPriority w:val="0"/>
    <w:pPr>
      <w:topLinePunct/>
      <w:ind w:firstLine="200" w:firstLineChars="200"/>
    </w:pPr>
    <w:rPr>
      <w:rFonts w:ascii="宋体" w:hAnsi="宋体" w:cs="宋体"/>
      <w:color w:val="000000"/>
      <w:sz w:val="24"/>
      <w:szCs w:val="28"/>
    </w:rPr>
  </w:style>
  <w:style w:type="paragraph" w:styleId="4">
    <w:name w:val="annotation text"/>
    <w:basedOn w:val="1"/>
    <w:link w:val="25"/>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Plain Text"/>
    <w:basedOn w:val="1"/>
    <w:link w:val="27"/>
    <w:qFormat/>
    <w:uiPriority w:val="0"/>
    <w:rPr>
      <w:rFonts w:ascii="宋体" w:hAnsi="Courier New" w:cs="Courier New"/>
      <w:sz w:val="24"/>
      <w:szCs w:val="21"/>
    </w:rPr>
  </w:style>
  <w:style w:type="paragraph" w:styleId="8">
    <w:name w:val="Balloon Text"/>
    <w:basedOn w:val="1"/>
    <w:link w:val="23"/>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kern w:val="0"/>
      <w:sz w:val="24"/>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4"/>
    <w:next w:val="4"/>
    <w:link w:val="26"/>
    <w:qFormat/>
    <w:uiPriority w:val="0"/>
    <w:rPr>
      <w:b/>
      <w:bCs/>
    </w:rPr>
  </w:style>
  <w:style w:type="paragraph" w:styleId="14">
    <w:name w:val="Body Text First Indent"/>
    <w:basedOn w:val="5"/>
    <w:qFormat/>
    <w:uiPriority w:val="0"/>
    <w:pPr>
      <w:spacing w:after="0"/>
      <w:ind w:firstLine="200" w:firstLineChars="200"/>
    </w:pPr>
  </w:style>
  <w:style w:type="paragraph" w:styleId="15">
    <w:name w:val="Body Text First Indent 2"/>
    <w:basedOn w:val="6"/>
    <w:qFormat/>
    <w:uiPriority w:val="0"/>
    <w:pPr>
      <w:ind w:firstLine="420" w:firstLineChars="200"/>
    </w:pPr>
  </w:style>
  <w:style w:type="character" w:styleId="18">
    <w:name w:val="Strong"/>
    <w:basedOn w:val="17"/>
    <w:qFormat/>
    <w:uiPriority w:val="0"/>
    <w:rPr>
      <w:b/>
      <w:bCs/>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character" w:customStyle="1" w:styleId="21">
    <w:name w:val="fontstyle01"/>
    <w:qFormat/>
    <w:uiPriority w:val="0"/>
    <w:rPr>
      <w:rFonts w:ascii="仿宋_GB2312" w:hAnsi="仿宋_GB2312" w:eastAsia="仿宋_GB2312" w:cs="仿宋_GB2312"/>
      <w:color w:val="000000"/>
      <w:sz w:val="32"/>
      <w:szCs w:val="32"/>
    </w:rPr>
  </w:style>
  <w:style w:type="paragraph" w:customStyle="1" w:styleId="22">
    <w:name w:val="闻政-正文段落文字"/>
    <w:basedOn w:val="1"/>
    <w:qFormat/>
    <w:uiPriority w:val="3"/>
    <w:pPr>
      <w:spacing w:line="500" w:lineRule="exact"/>
      <w:ind w:firstLine="200"/>
    </w:pPr>
    <w:rPr>
      <w:kern w:val="0"/>
      <w:szCs w:val="28"/>
    </w:rPr>
  </w:style>
  <w:style w:type="character" w:customStyle="1" w:styleId="23">
    <w:name w:val="批注框文本 Char"/>
    <w:basedOn w:val="17"/>
    <w:link w:val="8"/>
    <w:qFormat/>
    <w:uiPriority w:val="0"/>
    <w:rPr>
      <w:rFonts w:ascii="Times New Roman" w:hAnsi="Times New Roman" w:eastAsia="宋体" w:cs="Times New Roman"/>
      <w:kern w:val="2"/>
      <w:sz w:val="18"/>
      <w:szCs w:val="18"/>
    </w:rPr>
  </w:style>
  <w:style w:type="character" w:customStyle="1" w:styleId="24">
    <w:name w:val="页眉 Char"/>
    <w:basedOn w:val="17"/>
    <w:link w:val="10"/>
    <w:qFormat/>
    <w:uiPriority w:val="0"/>
    <w:rPr>
      <w:rFonts w:ascii="Times New Roman" w:hAnsi="Times New Roman" w:eastAsia="宋体" w:cs="Times New Roman"/>
      <w:kern w:val="2"/>
      <w:sz w:val="18"/>
      <w:szCs w:val="18"/>
    </w:rPr>
  </w:style>
  <w:style w:type="character" w:customStyle="1" w:styleId="25">
    <w:name w:val="批注文字 Char"/>
    <w:basedOn w:val="17"/>
    <w:link w:val="4"/>
    <w:qFormat/>
    <w:uiPriority w:val="0"/>
    <w:rPr>
      <w:rFonts w:ascii="Times New Roman" w:hAnsi="Times New Roman" w:eastAsia="宋体" w:cs="Times New Roman"/>
      <w:kern w:val="2"/>
      <w:sz w:val="21"/>
      <w:szCs w:val="24"/>
    </w:rPr>
  </w:style>
  <w:style w:type="character" w:customStyle="1" w:styleId="26">
    <w:name w:val="批注主题 Char"/>
    <w:basedOn w:val="25"/>
    <w:link w:val="13"/>
    <w:qFormat/>
    <w:uiPriority w:val="0"/>
    <w:rPr>
      <w:rFonts w:ascii="Times New Roman" w:hAnsi="Times New Roman" w:eastAsia="宋体" w:cs="Times New Roman"/>
      <w:b/>
      <w:bCs/>
      <w:kern w:val="2"/>
      <w:sz w:val="21"/>
      <w:szCs w:val="24"/>
    </w:rPr>
  </w:style>
  <w:style w:type="character" w:customStyle="1" w:styleId="27">
    <w:name w:val="纯文本 Char"/>
    <w:basedOn w:val="17"/>
    <w:link w:val="7"/>
    <w:qFormat/>
    <w:uiPriority w:val="0"/>
    <w:rPr>
      <w:rFonts w:ascii="宋体" w:hAnsi="Courier New" w:cs="Courier New"/>
      <w:kern w:val="2"/>
      <w:sz w:val="24"/>
      <w:szCs w:val="21"/>
    </w:rPr>
  </w:style>
  <w:style w:type="character" w:customStyle="1" w:styleId="28">
    <w:name w:val="电子邮件签名 Char"/>
    <w:basedOn w:val="17"/>
    <w:link w:val="3"/>
    <w:qFormat/>
    <w:uiPriority w:val="0"/>
    <w:rPr>
      <w:rFonts w:ascii="宋体" w:hAnsi="宋体" w:cs="宋体"/>
      <w:color w:val="000000"/>
      <w:kern w:val="2"/>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8152</Words>
  <Characters>8429</Characters>
  <Lines>98</Lines>
  <Paragraphs>27</Paragraphs>
  <TotalTime>16</TotalTime>
  <ScaleCrop>false</ScaleCrop>
  <LinksUpToDate>false</LinksUpToDate>
  <CharactersWithSpaces>8435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2025-04-28T17:07:00Z</dcterms:created>
  <dc:creator>审核人</dc:creator>
  <cp:lastModifiedBy>Administrator</cp:lastModifiedBy>
  <dcterms:modified xsi:type="dcterms:W3CDTF">2025-05-07T04:53:15Z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eyJoZGlkIjoiYzk4OGU4NTkzZmQ5MTRkNjc3Y2M0MDdmYjBjYTgxM2UiLCJ1c2VySWQiOiI3NDYwMTEyNDEifQ==</vt:lpwstr>
  </property>
</Properties>
</file>