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3CF48">
      <w:pPr>
        <w:spacing w:line="540" w:lineRule="exact"/>
        <w:ind w:left="0" w:leftChars="0" w:right="-619" w:rightChars="-295" w:firstLine="0" w:firstLineChars="0"/>
        <w:jc w:val="both"/>
        <w:rPr>
          <w:rFonts w:hint="default" w:ascii="Times New Roman" w:hAnsi="Times New Roman" w:eastAsia="华文中宋" w:cs="Times New Roman"/>
          <w:b/>
          <w:kern w:val="0"/>
          <w:sz w:val="52"/>
          <w:szCs w:val="52"/>
          <w:highlight w:val="none"/>
        </w:rPr>
      </w:pPr>
    </w:p>
    <w:p w14:paraId="522849AE">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奇财预[2024]24号昌州财教[2023]84号 关于提前下达中央、县级2024年博物馆纪念馆免费开放补助资金预算的通知</w:t>
      </w:r>
    </w:p>
    <w:p w14:paraId="505C97E7">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项目支出绩效评价</w:t>
      </w:r>
    </w:p>
    <w:p w14:paraId="3A5231FF">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14:paraId="38098015">
      <w:pPr>
        <w:spacing w:line="540" w:lineRule="exact"/>
        <w:jc w:val="center"/>
        <w:rPr>
          <w:rFonts w:hint="default" w:ascii="Times New Roman" w:hAnsi="Times New Roman" w:eastAsia="华文中宋" w:cs="Times New Roman"/>
          <w:b/>
          <w:kern w:val="0"/>
          <w:sz w:val="52"/>
          <w:szCs w:val="52"/>
          <w:highlight w:val="none"/>
        </w:rPr>
      </w:pPr>
    </w:p>
    <w:p w14:paraId="617AEDAE">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14:paraId="19848CE1">
      <w:pPr>
        <w:spacing w:line="540" w:lineRule="exact"/>
        <w:jc w:val="center"/>
        <w:rPr>
          <w:rFonts w:hint="default" w:ascii="Times New Roman" w:hAnsi="Times New Roman" w:eastAsia="仿宋_GB2312" w:cs="Times New Roman"/>
          <w:kern w:val="0"/>
          <w:sz w:val="30"/>
          <w:szCs w:val="30"/>
          <w:highlight w:val="none"/>
        </w:rPr>
      </w:pPr>
    </w:p>
    <w:p w14:paraId="5CBFAA1F">
      <w:pPr>
        <w:spacing w:line="540" w:lineRule="exact"/>
        <w:jc w:val="center"/>
        <w:rPr>
          <w:rFonts w:hint="default" w:ascii="Times New Roman" w:hAnsi="Times New Roman" w:eastAsia="仿宋_GB2312" w:cs="Times New Roman"/>
          <w:kern w:val="0"/>
          <w:sz w:val="30"/>
          <w:szCs w:val="30"/>
          <w:highlight w:val="none"/>
        </w:rPr>
      </w:pPr>
    </w:p>
    <w:p w14:paraId="0236530E">
      <w:pPr>
        <w:spacing w:line="540" w:lineRule="exact"/>
        <w:jc w:val="center"/>
        <w:rPr>
          <w:rFonts w:hint="default" w:ascii="Times New Roman" w:hAnsi="Times New Roman" w:eastAsia="仿宋_GB2312" w:cs="Times New Roman"/>
          <w:kern w:val="0"/>
          <w:sz w:val="30"/>
          <w:szCs w:val="30"/>
          <w:highlight w:val="none"/>
        </w:rPr>
      </w:pPr>
    </w:p>
    <w:p w14:paraId="3B0D5470">
      <w:pPr>
        <w:spacing w:line="540" w:lineRule="exact"/>
        <w:rPr>
          <w:rFonts w:hint="default" w:ascii="Times New Roman" w:hAnsi="Times New Roman" w:eastAsia="仿宋_GB2312" w:cs="Times New Roman"/>
          <w:kern w:val="0"/>
          <w:sz w:val="30"/>
          <w:szCs w:val="30"/>
          <w:highlight w:val="none"/>
        </w:rPr>
      </w:pPr>
    </w:p>
    <w:p w14:paraId="261B6F5E">
      <w:pPr>
        <w:spacing w:line="700" w:lineRule="exact"/>
        <w:jc w:val="left"/>
        <w:rPr>
          <w:rFonts w:hint="eastAsia"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项目名称：奇财预[2024]24号昌州财教[2023]84号 关于提前下达中央、县级2024年博物馆纪念馆免费开放补助资金预算的通知实施单位（公章）：</w:t>
      </w:r>
      <w:r>
        <w:rPr>
          <w:rFonts w:hint="eastAsia" w:eastAsia="仿宋_GB2312" w:cs="Times New Roman"/>
          <w:kern w:val="0"/>
          <w:sz w:val="36"/>
          <w:szCs w:val="36"/>
          <w:highlight w:val="none"/>
          <w:lang w:val="en-US" w:eastAsia="zh-CN"/>
        </w:rPr>
        <w:t>奇台县博物馆</w:t>
      </w:r>
    </w:p>
    <w:p w14:paraId="735C2D34">
      <w:pPr>
        <w:keepNext w:val="0"/>
        <w:keepLines w:val="0"/>
        <w:pageBreakBefore w:val="0"/>
        <w:widowControl w:val="0"/>
        <w:kinsoku/>
        <w:wordWrap w:val="0"/>
        <w:overflowPunct/>
        <w:topLinePunct/>
        <w:autoSpaceDE/>
        <w:autoSpaceDN/>
        <w:bidi w:val="0"/>
        <w:adjustRightInd/>
        <w:snapToGrid/>
        <w:spacing w:line="560" w:lineRule="exact"/>
        <w:ind w:firstLine="720" w:firstLineChars="200"/>
        <w:jc w:val="left"/>
        <w:textAlignment w:val="auto"/>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主管部门（公章）：</w:t>
      </w:r>
      <w:r>
        <w:rPr>
          <w:rFonts w:hint="default" w:ascii="Times New Roman" w:hAnsi="Times New Roman" w:eastAsia="仿宋_GB2312" w:cs="Times New Roman"/>
          <w:kern w:val="0"/>
          <w:sz w:val="36"/>
          <w:szCs w:val="36"/>
          <w:highlight w:val="none"/>
          <w:lang w:val="en-US" w:eastAsia="zh-CN"/>
        </w:rPr>
        <w:t>奇台县文化体育广播电视和旅游局</w:t>
      </w:r>
    </w:p>
    <w:p w14:paraId="3252266E">
      <w:pPr>
        <w:spacing w:line="700" w:lineRule="exact"/>
        <w:ind w:firstLine="720" w:firstLineChars="2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李远娇</w:t>
      </w:r>
    </w:p>
    <w:p w14:paraId="48B8FB31">
      <w:pPr>
        <w:spacing w:line="700" w:lineRule="exact"/>
        <w:ind w:firstLine="720" w:firstLineChars="2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7</w:t>
      </w:r>
      <w:r>
        <w:rPr>
          <w:rFonts w:hint="default" w:ascii="Times New Roman" w:hAnsi="Times New Roman" w:eastAsia="仿宋_GB2312" w:cs="Times New Roman"/>
          <w:kern w:val="0"/>
          <w:sz w:val="36"/>
          <w:szCs w:val="36"/>
          <w:highlight w:val="none"/>
        </w:rPr>
        <w:t>日</w:t>
      </w:r>
    </w:p>
    <w:p w14:paraId="09B41B71">
      <w:pPr>
        <w:spacing w:line="700" w:lineRule="exact"/>
        <w:ind w:firstLine="720" w:firstLineChars="200"/>
        <w:jc w:val="left"/>
        <w:rPr>
          <w:rFonts w:hint="default" w:ascii="Times New Roman" w:hAnsi="Times New Roman" w:eastAsia="仿宋_GB2312" w:cs="Times New Roman"/>
          <w:kern w:val="0"/>
          <w:sz w:val="36"/>
          <w:szCs w:val="36"/>
          <w:highlight w:val="none"/>
        </w:rPr>
      </w:pPr>
    </w:p>
    <w:p w14:paraId="79360A12">
      <w:pPr>
        <w:spacing w:line="560" w:lineRule="exact"/>
        <w:rPr>
          <w:rFonts w:hint="default" w:ascii="Times New Roman" w:hAnsi="Times New Roman" w:eastAsia="黑体" w:cs="Times New Roman"/>
          <w:bCs/>
          <w:sz w:val="32"/>
          <w:szCs w:val="32"/>
          <w:highlight w:val="none"/>
        </w:rPr>
      </w:pPr>
    </w:p>
    <w:p w14:paraId="01D52FB1">
      <w:pPr>
        <w:spacing w:line="560" w:lineRule="exact"/>
        <w:rPr>
          <w:rFonts w:hint="default" w:ascii="Times New Roman" w:hAnsi="Times New Roman" w:eastAsia="黑体" w:cs="Times New Roman"/>
          <w:bCs/>
          <w:sz w:val="32"/>
          <w:szCs w:val="32"/>
          <w:highlight w:val="none"/>
        </w:rPr>
      </w:pPr>
    </w:p>
    <w:p w14:paraId="3A4BDC9D">
      <w:pPr>
        <w:spacing w:line="560" w:lineRule="exact"/>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0403ACBD">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2DCC534B">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4FD18CBB">
      <w:pPr>
        <w:spacing w:line="700" w:lineRule="exact"/>
        <w:ind w:firstLine="640" w:firstLineChars="200"/>
        <w:jc w:val="both"/>
        <w:rPr>
          <w:rFonts w:hint="default" w:ascii="Times New Roman" w:hAnsi="Times New Roman" w:eastAsia="仿宋_GB2312" w:cs="Times New Roman"/>
          <w:sz w:val="32"/>
          <w:szCs w:val="32"/>
          <w:highlight w:val="none"/>
          <w:lang w:val="en-US" w:eastAsia="zh-CN"/>
        </w:rPr>
      </w:pPr>
      <w:r>
        <w:rPr>
          <w:rFonts w:hint="default" w:eastAsia="仿宋_GB2312" w:cs="Times New Roman"/>
          <w:sz w:val="32"/>
          <w:szCs w:val="32"/>
          <w:highlight w:val="none"/>
          <w:lang w:val="en-US" w:eastAsia="zh-CN"/>
        </w:rPr>
        <w:t>根据奇财预[2024]24号昌州财教[2023]84号 关于提前下达中央、县级2024年博物馆纪念馆免费开放补助资金预算的通知，推动地方</w:t>
      </w:r>
      <w:r>
        <w:rPr>
          <w:rFonts w:hint="eastAsia" w:eastAsia="仿宋_GB2312" w:cs="Times New Roman"/>
          <w:sz w:val="32"/>
          <w:szCs w:val="32"/>
          <w:highlight w:val="none"/>
          <w:lang w:val="en-US" w:eastAsia="zh-CN"/>
        </w:rPr>
        <w:t>博物馆实行免费开放，</w:t>
      </w:r>
      <w:r>
        <w:rPr>
          <w:rFonts w:hint="default" w:ascii="Times New Roman" w:hAnsi="Times New Roman" w:eastAsia="仿宋_GB2312" w:cs="Times New Roman"/>
          <w:sz w:val="32"/>
          <w:szCs w:val="32"/>
          <w:highlight w:val="none"/>
          <w:lang w:val="en-US" w:eastAsia="zh-CN"/>
        </w:rPr>
        <w:t>进一步提高政府为群社会提供公共文化服务水平，保障广大群众基本权益，促进社会和谐稳定具有重要意义。</w:t>
      </w:r>
    </w:p>
    <w:p w14:paraId="036B248F">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14:paraId="67D2ED3F">
      <w:pPr>
        <w:spacing w:line="560" w:lineRule="exact"/>
        <w:ind w:firstLine="600" w:firstLineChars="200"/>
        <w:rPr>
          <w:rFonts w:hint="default" w:ascii="Times New Roman" w:hAnsi="Times New Roman" w:eastAsia="黑体" w:cs="Times New Roman"/>
          <w:highlight w:val="none"/>
          <w:lang w:val="en-US" w:eastAsia="zh-CN"/>
        </w:rPr>
      </w:pPr>
      <w:r>
        <w:rPr>
          <w:rFonts w:hint="default" w:ascii="Times New Roman" w:hAnsi="Times New Roman" w:eastAsia="仿宋_GB2312" w:cs="Times New Roman"/>
          <w:sz w:val="30"/>
          <w:szCs w:val="30"/>
          <w:highlight w:val="none"/>
          <w:lang w:val="en-US" w:eastAsia="zh-CN"/>
        </w:rPr>
        <w:t>项目主要内容：</w:t>
      </w:r>
      <w:r>
        <w:rPr>
          <w:rFonts w:hint="default" w:eastAsia="仿宋_GB2312" w:cs="Times New Roman"/>
          <w:sz w:val="32"/>
          <w:szCs w:val="32"/>
          <w:highlight w:val="none"/>
          <w:lang w:val="en-US" w:eastAsia="zh-CN"/>
        </w:rPr>
        <w:t>奇财预[2024]24号昌州财教[2023]84号 关于提前下达中央、县级2024年博物馆纪念馆免费开放补助资金预算的通知</w:t>
      </w:r>
      <w:r>
        <w:rPr>
          <w:rFonts w:hint="eastAsia" w:eastAsia="仿宋_GB2312" w:cs="Times New Roman"/>
          <w:sz w:val="32"/>
          <w:szCs w:val="32"/>
          <w:highlight w:val="none"/>
          <w:lang w:val="en-US" w:eastAsia="zh-CN"/>
        </w:rPr>
        <w:t>，该项目主要用于用于补助列入国家确定的免费开放名单的博物馆实行免费开放，提升公共服务能力等。</w:t>
      </w:r>
    </w:p>
    <w:p w14:paraId="5D4832A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项目实施情况：</w:t>
      </w:r>
      <w:r>
        <w:rPr>
          <w:rFonts w:hint="default" w:ascii="Times New Roman" w:hAnsi="Times New Roman" w:eastAsia="仿宋_GB2312" w:cs="Times New Roman"/>
          <w:sz w:val="32"/>
          <w:szCs w:val="32"/>
          <w:highlight w:val="none"/>
          <w:lang w:val="en-US" w:eastAsia="zh-CN"/>
        </w:rPr>
        <w:t>本项目由奇台县文化体育广播电视和旅游局下属事业单位</w:t>
      </w:r>
      <w:r>
        <w:rPr>
          <w:rFonts w:hint="eastAsia" w:eastAsia="仿宋_GB2312" w:cs="Times New Roman"/>
          <w:sz w:val="32"/>
          <w:szCs w:val="32"/>
          <w:highlight w:val="none"/>
          <w:lang w:val="en-US" w:eastAsia="zh-CN"/>
        </w:rPr>
        <w:t>博物馆</w:t>
      </w:r>
      <w:r>
        <w:rPr>
          <w:rFonts w:hint="default" w:ascii="Times New Roman" w:hAnsi="Times New Roman" w:eastAsia="仿宋_GB2312" w:cs="Times New Roman"/>
          <w:sz w:val="32"/>
          <w:szCs w:val="32"/>
          <w:highlight w:val="none"/>
          <w:lang w:val="en-US" w:eastAsia="zh-CN"/>
        </w:rPr>
        <w:t>具体组织实施，成立领导小组，由局副局长王惠萍担任组长，</w:t>
      </w:r>
      <w:r>
        <w:rPr>
          <w:rFonts w:hint="eastAsia" w:eastAsia="仿宋_GB2312" w:cs="Times New Roman"/>
          <w:sz w:val="32"/>
          <w:szCs w:val="32"/>
          <w:highlight w:val="none"/>
          <w:lang w:val="en-US" w:eastAsia="zh-CN"/>
        </w:rPr>
        <w:t>博物</w:t>
      </w:r>
      <w:r>
        <w:rPr>
          <w:rFonts w:hint="default" w:ascii="Times New Roman" w:hAnsi="Times New Roman" w:eastAsia="仿宋_GB2312" w:cs="Times New Roman"/>
          <w:sz w:val="32"/>
          <w:szCs w:val="32"/>
          <w:highlight w:val="none"/>
          <w:lang w:val="en-US" w:eastAsia="zh-CN"/>
        </w:rPr>
        <w:t>馆馆长</w:t>
      </w:r>
      <w:r>
        <w:rPr>
          <w:rFonts w:hint="eastAsia" w:eastAsia="仿宋_GB2312" w:cs="Times New Roman"/>
          <w:sz w:val="32"/>
          <w:szCs w:val="32"/>
          <w:highlight w:val="none"/>
          <w:lang w:val="en-US" w:eastAsia="zh-CN"/>
        </w:rPr>
        <w:t>李远娇</w:t>
      </w:r>
      <w:r>
        <w:rPr>
          <w:rFonts w:hint="default" w:ascii="Times New Roman" w:hAnsi="Times New Roman" w:eastAsia="仿宋_GB2312" w:cs="Times New Roman"/>
          <w:sz w:val="32"/>
          <w:szCs w:val="32"/>
          <w:highlight w:val="none"/>
          <w:lang w:val="en-US" w:eastAsia="zh-CN"/>
        </w:rPr>
        <w:t>为副组长，</w:t>
      </w:r>
      <w:r>
        <w:rPr>
          <w:rFonts w:hint="eastAsia" w:eastAsia="仿宋_GB2312" w:cs="Times New Roman"/>
          <w:sz w:val="32"/>
          <w:szCs w:val="32"/>
          <w:highlight w:val="none"/>
          <w:lang w:val="en-US" w:eastAsia="zh-CN"/>
        </w:rPr>
        <w:t>博物馆工作人员</w:t>
      </w:r>
      <w:r>
        <w:rPr>
          <w:rFonts w:hint="default" w:ascii="Times New Roman" w:hAnsi="Times New Roman" w:eastAsia="仿宋_GB2312" w:cs="Times New Roman"/>
          <w:sz w:val="32"/>
          <w:szCs w:val="32"/>
          <w:highlight w:val="none"/>
          <w:lang w:val="en-US" w:eastAsia="zh-CN"/>
        </w:rPr>
        <w:t>为小组成员，县文旅局审议通过实施方案并协调督促落实项目</w:t>
      </w:r>
      <w:r>
        <w:rPr>
          <w:rFonts w:hint="eastAsia" w:eastAsia="仿宋_GB2312" w:cs="Times New Roman"/>
          <w:sz w:val="32"/>
          <w:szCs w:val="32"/>
          <w:highlight w:val="none"/>
          <w:lang w:val="en-US" w:eastAsia="zh-CN"/>
        </w:rPr>
        <w:t>全过程</w:t>
      </w:r>
      <w:r>
        <w:rPr>
          <w:rFonts w:hint="default" w:ascii="Times New Roman" w:hAnsi="Times New Roman" w:eastAsia="仿宋_GB2312" w:cs="Times New Roman"/>
          <w:sz w:val="32"/>
          <w:szCs w:val="32"/>
          <w:highlight w:val="none"/>
          <w:lang w:val="en-US" w:eastAsia="zh-CN"/>
        </w:rPr>
        <w:t>。项目管理领导小组将根据工作安排，负责组织，协助调查、检查项目的全面质量管理工作。</w:t>
      </w:r>
    </w:p>
    <w:p w14:paraId="751A27A1">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5E005D1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46E0171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62.5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62.5</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一般公共预算资金</w:t>
      </w:r>
      <w:r>
        <w:rPr>
          <w:rFonts w:hint="default" w:ascii="Times New Roman" w:hAnsi="Times New Roman" w:eastAsia="仿宋_GB2312" w:cs="Times New Roman"/>
          <w:sz w:val="32"/>
          <w:szCs w:val="32"/>
          <w:highlight w:val="none"/>
          <w:lang w:val="en-US" w:eastAsia="zh-CN"/>
        </w:rPr>
        <w:t>。</w:t>
      </w:r>
    </w:p>
    <w:p w14:paraId="6CF42E9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103543B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62.5</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62.5</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62.47万元，预算执行率为99.95%，主要用于：博物馆开展日常免费开放服务、流动博物馆展览等，充分发挥博物馆在提高群众鉴赏能力、提高各族群众思想道德和科学文化素质的作用，不断强化文物的实证史证作用和宣传教育功能，不断弘扬传承优秀传统文化，大力培育社会主义社心价值观，有效保障各族群众精神文化需要，促进社会和谐稳定。</w:t>
      </w:r>
    </w:p>
    <w:p w14:paraId="3CF53AB2">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028F9A4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20E6E77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62.5</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，主要用于博物馆</w:t>
      </w:r>
      <w:r>
        <w:rPr>
          <w:rFonts w:hint="default" w:ascii="Times New Roman" w:hAnsi="Times New Roman" w:eastAsia="仿宋_GB2312" w:cs="Times New Roman"/>
          <w:sz w:val="32"/>
          <w:szCs w:val="32"/>
          <w:highlight w:val="none"/>
          <w:lang w:val="en-US" w:eastAsia="zh-CN"/>
        </w:rPr>
        <w:t>日常免费开放服务、流动博物馆展览等，充分发挥博物馆在提高群众鉴赏能力、提高各族群众思想道德和科学文化素质的作用，不断强化文物的实证史证作用和宣传教育功能，不断弘扬传承优秀传统文化，大力培育社会主义社心价值观，有效保障各族群众精神文化需要，促进社会和谐稳定</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开展流动博物馆场次30场次，安排经费的博物馆个数1个，场馆设备有效利用率达到90%，面向基层群众开展文化宣传惠民活动。</w:t>
      </w:r>
    </w:p>
    <w:p w14:paraId="6EE9906D">
      <w:pPr>
        <w:numPr>
          <w:ilvl w:val="0"/>
          <w:numId w:val="0"/>
        </w:numPr>
        <w:spacing w:line="560" w:lineRule="exact"/>
        <w:ind w:firstLine="640" w:firstLineChars="200"/>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阶段性目标</w:t>
      </w:r>
    </w:p>
    <w:p w14:paraId="059B673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黑体" w:cs="Times New Roman"/>
          <w:b w:val="0"/>
          <w:bCs/>
          <w:highlight w:val="none"/>
          <w:lang w:eastAsia="zh-CN"/>
        </w:rPr>
      </w:pPr>
      <w:r>
        <w:rPr>
          <w:rFonts w:hint="eastAsia" w:eastAsia="仿宋_GB2312" w:cs="Times New Roman"/>
          <w:sz w:val="32"/>
          <w:szCs w:val="32"/>
          <w:highlight w:val="none"/>
          <w:lang w:val="en-US" w:eastAsia="zh-CN"/>
        </w:rPr>
        <w:t>2024年主要完成</w:t>
      </w:r>
      <w:r>
        <w:rPr>
          <w:rFonts w:hint="default" w:ascii="Times New Roman" w:hAnsi="Times New Roman" w:eastAsia="仿宋_GB2312" w:cs="Times New Roman"/>
          <w:sz w:val="32"/>
          <w:szCs w:val="32"/>
          <w:highlight w:val="none"/>
          <w:lang w:val="en-US" w:eastAsia="zh-CN"/>
        </w:rPr>
        <w:t>流动博物馆场次41场次，安排经费的博物馆个数1个，场馆设备有效利用率达到90%，面向基层群众开展文化宣传惠民活动。目实施后，有效保障保障群众精神文化需求，同时也有效保障弘扬传承中华优秀传统文化。</w:t>
      </w:r>
    </w:p>
    <w:p w14:paraId="1CD227B5">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753A4D2B">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0150258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7E8885D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1E48AE2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1689091A">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6FE4ED3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E79AB4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2BBBA45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580936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694485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64C275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4F171A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49C2AA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7C66C0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2395F1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147E79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80EDC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0D3ADB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412F58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1EF6CC7B">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4E1D72B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本项目预算绩效评价报告的评价对象是奇财预[2024]24号昌州财教[2023]84号 关于提前下达中央、县级2024年博物馆纪念馆免费开放补助资金预算的通知及其预算执行情况。该项目由</w:t>
      </w:r>
      <w:r>
        <w:rPr>
          <w:rFonts w:hint="default" w:ascii="Times New Roman" w:hAnsi="Times New Roman" w:eastAsia="仿宋_GB2312" w:cs="Times New Roman"/>
          <w:b w:val="0"/>
          <w:bCs w:val="0"/>
          <w:sz w:val="32"/>
          <w:szCs w:val="32"/>
          <w:highlight w:val="none"/>
          <w:lang w:val="en-US" w:eastAsia="zh-CN"/>
        </w:rPr>
        <w:t>奇台县文化体育广播电视和旅游局下属事业单位</w:t>
      </w:r>
      <w:r>
        <w:rPr>
          <w:rFonts w:hint="eastAsia" w:eastAsia="仿宋_GB2312" w:cs="Times New Roman"/>
          <w:b w:val="0"/>
          <w:bCs w:val="0"/>
          <w:sz w:val="32"/>
          <w:szCs w:val="32"/>
          <w:highlight w:val="none"/>
          <w:lang w:val="en-US" w:eastAsia="zh-CN"/>
        </w:rPr>
        <w:t>博物馆</w:t>
      </w:r>
      <w:r>
        <w:rPr>
          <w:rFonts w:hint="default" w:ascii="Times New Roman" w:hAnsi="Times New Roman" w:eastAsia="仿宋_GB2312" w:cs="Times New Roman"/>
          <w:b w:val="0"/>
          <w:bCs w:val="0"/>
          <w:sz w:val="32"/>
          <w:szCs w:val="32"/>
          <w:highlight w:val="none"/>
          <w:lang w:val="en-US" w:eastAsia="zh-CN"/>
        </w:rPr>
        <w:t>具体组织实施</w:t>
      </w:r>
      <w:r>
        <w:rPr>
          <w:rFonts w:hint="default" w:ascii="Times New Roman" w:hAnsi="Times New Roman" w:eastAsia="仿宋_GB2312" w:cs="Times New Roman"/>
          <w:b w:val="0"/>
          <w:bCs w:val="0"/>
          <w:highlight w:val="none"/>
        </w:rPr>
        <w:t>负责实施，旨在充分发挥博物馆在提高群众鉴赏能力、提高各族群众思想道德和科学文化素质的作用，不断强化文物的实证史证作用和宣传教育功能，不断弘扬传承优秀传统文化，大力培育社会主义社心价值观，有效保障各族群众精神文化需要，促进社会和谐稳定。项目预算涵盖从</w:t>
      </w:r>
      <w:r>
        <w:rPr>
          <w:rFonts w:hint="default" w:ascii="Times New Roman" w:hAnsi="Times New Roman" w:eastAsia="仿宋_GB2312" w:cs="Times New Roman"/>
          <w:b w:val="0"/>
          <w:bCs w:val="0"/>
          <w:sz w:val="32"/>
          <w:szCs w:val="32"/>
          <w:highlight w:val="none"/>
          <w:lang w:val="en-US" w:eastAsia="zh-CN"/>
        </w:rPr>
        <w:t>2024年1月1日至2024年12月31日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62.5</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4233DB7E">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7E45A40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1CFFAB4E">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2E42745B">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2A8A26C8">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0AA7FFD2">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社会影响：考察项目对社会方面的影响。</w:t>
      </w:r>
    </w:p>
    <w:p w14:paraId="29D103CE">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52B151A7">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0CE79B91">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47547DCC">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785BF268">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6B139802">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48205F82">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28BB495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0AA37816">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11DEE93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53095BF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14E29B8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342FC217">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420A6560">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7DBED8D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42C763AC">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1E77D35A">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4B8341E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62A0B0C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07D61FF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0DF65AAD">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14:paraId="0807C701">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14:paraId="689D2AB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14:paraId="748F090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（四）公众评判法。是指通过专家评估、公众问卷及抽样调查等方式进行评判的方法。</w:t>
      </w:r>
    </w:p>
    <w:p w14:paraId="6020329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69D21DA9">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绩效评价标准通常包括计划标准、行业标准、历史标准等，用于对绩效指标完成情况进行比较、分析、评价。本次评价主要采用了计划标准。</w:t>
      </w:r>
    </w:p>
    <w:p w14:paraId="75DB1A59">
      <w:pPr>
        <w:ind w:firstLine="640" w:firstLineChars="200"/>
        <w:rPr>
          <w:rFonts w:hint="default"/>
          <w:lang w:val="en-US" w:eastAsia="zh-CN"/>
        </w:rPr>
      </w:pPr>
      <w:r>
        <w:rPr>
          <w:rFonts w:hint="eastAsia" w:ascii="Times New Roman" w:hAnsi="Times New Roman" w:eastAsia="仿宋_GB2312" w:cs="Times New Roman"/>
          <w:b w:val="0"/>
          <w:bCs w:val="0"/>
          <w:kern w:val="28"/>
          <w:sz w:val="32"/>
          <w:szCs w:val="32"/>
          <w:highlight w:val="none"/>
          <w:lang w:val="en-US" w:eastAsia="zh-CN" w:bidi="ar-SA"/>
        </w:rPr>
        <w:t>（1）计划标准。指以预先制定的目标、计划、预算、定额等作为评价标准。</w:t>
      </w:r>
    </w:p>
    <w:p w14:paraId="6B96B5EA">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2A9F30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199EDB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w:t>
      </w:r>
      <w:r>
        <w:rPr>
          <w:rFonts w:hint="default" w:ascii="Times New Roman" w:hAnsi="Times New Roman" w:eastAsia="仿宋_GB2312" w:cs="Times New Roman"/>
          <w:sz w:val="32"/>
          <w:szCs w:val="32"/>
          <w:highlight w:val="none"/>
          <w:lang w:val="en-US" w:eastAsia="zh-CN"/>
        </w:rPr>
        <w:t>分管财务领导、财务人员、</w:t>
      </w:r>
      <w:r>
        <w:rPr>
          <w:rFonts w:hint="eastAsia" w:eastAsia="仿宋_GB2312" w:cs="Times New Roman"/>
          <w:sz w:val="32"/>
          <w:szCs w:val="32"/>
          <w:highlight w:val="none"/>
          <w:lang w:val="en-US" w:eastAsia="zh-CN"/>
        </w:rPr>
        <w:t>博物馆</w:t>
      </w:r>
      <w:r>
        <w:rPr>
          <w:rFonts w:hint="default" w:ascii="Times New Roman" w:hAnsi="Times New Roman" w:eastAsia="仿宋_GB2312" w:cs="Times New Roman"/>
          <w:sz w:val="32"/>
          <w:szCs w:val="32"/>
          <w:highlight w:val="none"/>
          <w:lang w:val="en-US" w:eastAsia="zh-CN"/>
        </w:rPr>
        <w:t>项目资金人员组成，</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0B8E0C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6CC39F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326520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0E4CFE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71BC16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6D4703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10AC3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20C1A5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2DA26E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51519C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73C31B49">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3BCA093B">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76EDE362">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奇财预[2024]24号昌州财教[2023]84号 关于提前下达中央、县级2024年博物馆纪念馆免费开放补助资金预算的通知</w:t>
      </w:r>
      <w:r>
        <w:rPr>
          <w:rFonts w:hint="default" w:ascii="Times New Roman" w:hAnsi="Times New Roman" w:eastAsia="仿宋_GB2312" w:cs="Times New Roman"/>
          <w:sz w:val="32"/>
          <w:szCs w:val="32"/>
          <w:highlight w:val="none"/>
        </w:rPr>
        <w:t>在主要用于博物馆开展日常免费开放服务、流动博物馆展览等，充分发挥博物馆在提高群众鉴赏能力、提高各族群众思想道德和科学文化素质的作用，不断强化文物的实证史证作用和宣传教育功能，不断弘扬传承优秀传统文化，大力培育社会主义社心价值观，有效保障各族群众精神文化需要，促进社会和谐稳定等方面表现出色，达到了预期的标准与要求。同时，项目也在开展流动博物馆，场馆设备有效利用率，面向基层群众开展文化宣传惠民活动</w:t>
      </w:r>
      <w:r>
        <w:rPr>
          <w:rFonts w:hint="eastAsia" w:eastAsia="仿宋_GB2312" w:cs="Times New Roman"/>
          <w:sz w:val="32"/>
          <w:szCs w:val="32"/>
          <w:highlight w:val="none"/>
          <w:lang w:val="en-US" w:eastAsia="zh-CN"/>
        </w:rPr>
        <w:t>等方面</w:t>
      </w:r>
      <w:r>
        <w:rPr>
          <w:rFonts w:hint="default" w:ascii="Times New Roman" w:hAnsi="Times New Roman" w:eastAsia="仿宋_GB2312" w:cs="Times New Roman"/>
          <w:sz w:val="32"/>
          <w:szCs w:val="32"/>
          <w:highlight w:val="none"/>
        </w:rPr>
        <w:t>取得了显著的成效，如开展流动博物馆场次41场次，安排经费的博物馆个数1个，场馆设备有效利用率达到90%，面向基层群众开展文化宣传惠民活动等。</w:t>
      </w:r>
    </w:p>
    <w:p w14:paraId="361F0A3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在项目管理方面，</w:t>
      </w:r>
      <w:r>
        <w:rPr>
          <w:rFonts w:hint="default" w:ascii="Times New Roman" w:hAnsi="Times New Roman" w:eastAsia="仿宋_GB2312" w:cs="Times New Roman"/>
          <w:sz w:val="32"/>
          <w:szCs w:val="32"/>
          <w:highlight w:val="none"/>
          <w:lang w:val="en-US" w:eastAsia="zh-CN"/>
        </w:rPr>
        <w:t>奇台县文化体育广播电视和旅游局通过有效的规划、组织与协调，项目得以顺利实施，并在预算与时间上保持了良好的控制。</w:t>
      </w:r>
    </w:p>
    <w:p w14:paraId="0FE7C7C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w:t>
      </w:r>
      <w:r>
        <w:rPr>
          <w:rFonts w:hint="eastAsia" w:eastAsia="仿宋_GB2312" w:cs="Times New Roman"/>
          <w:sz w:val="32"/>
          <w:szCs w:val="32"/>
          <w:highlight w:val="none"/>
          <w:lang w:val="en-US" w:eastAsia="zh-CN"/>
        </w:rPr>
        <w:t>博物馆</w:t>
      </w:r>
      <w:r>
        <w:rPr>
          <w:rFonts w:hint="default" w:ascii="Times New Roman" w:hAnsi="Times New Roman" w:eastAsia="仿宋_GB2312" w:cs="Times New Roman"/>
          <w:sz w:val="32"/>
          <w:szCs w:val="32"/>
          <w:highlight w:val="none"/>
          <w:lang w:val="en-US" w:eastAsia="zh-CN"/>
        </w:rPr>
        <w:t>每年</w:t>
      </w:r>
      <w:r>
        <w:rPr>
          <w:rFonts w:hint="eastAsia" w:eastAsia="仿宋_GB2312" w:cs="Times New Roman"/>
          <w:sz w:val="32"/>
          <w:szCs w:val="32"/>
          <w:highlight w:val="none"/>
          <w:lang w:val="en-US" w:eastAsia="zh-CN"/>
        </w:rPr>
        <w:t>免费开放、设备利用率、公共文化服务</w:t>
      </w:r>
      <w:r>
        <w:rPr>
          <w:rFonts w:hint="default" w:ascii="Times New Roman" w:hAnsi="Times New Roman" w:eastAsia="仿宋_GB2312" w:cs="Times New Roman"/>
          <w:sz w:val="32"/>
          <w:szCs w:val="32"/>
          <w:highlight w:val="none"/>
          <w:lang w:val="en-US" w:eastAsia="zh-CN"/>
        </w:rPr>
        <w:t>等方面的提升，为项目的利益相关者带来了实实在在的利益。</w:t>
      </w:r>
    </w:p>
    <w:p w14:paraId="3FFA611B">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奇财预[2024]24号昌州财教[2023]84号 关于提前下达中央、县级2024年博物馆纪念馆免费开放补助资金预算的通知</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1D1A7B16">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51C1F08D">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99.95</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19.99</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99.95</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7E2A9B2A">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2576BB7A">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4AF6F623">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9B21930">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2733C13">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7BE4EB3">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63669F4B">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3DACE32">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7630B28D">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24ED0B31">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7C847B5">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20</w:t>
            </w:r>
          </w:p>
        </w:tc>
      </w:tr>
      <w:tr w14:paraId="3D24239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E528732">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6887FBB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6D0104A">
            <w:pPr>
              <w:jc w:val="center"/>
              <w:rPr>
                <w:rFonts w:hint="default" w:ascii="Times New Roman" w:hAnsi="Times New Roman" w:eastAsia="仿宋_GB2312" w:cs="Times New Roman"/>
                <w:color w:val="000000"/>
                <w:sz w:val="21"/>
                <w:szCs w:val="21"/>
                <w:highlight w:val="none"/>
                <w:lang w:val="en-US"/>
              </w:rPr>
            </w:pPr>
            <w:r>
              <w:rPr>
                <w:rFonts w:hint="eastAsia" w:eastAsia="仿宋_GB2312" w:cs="Times New Roman"/>
                <w:color w:val="000000"/>
                <w:sz w:val="21"/>
                <w:szCs w:val="21"/>
                <w:highlight w:val="none"/>
                <w:lang w:val="en-US" w:eastAsia="zh-CN"/>
              </w:rPr>
              <w:t>19.99</w:t>
            </w:r>
          </w:p>
        </w:tc>
        <w:tc>
          <w:tcPr>
            <w:tcW w:w="2023" w:type="dxa"/>
            <w:tcBorders>
              <w:top w:val="nil"/>
              <w:left w:val="nil"/>
              <w:bottom w:val="single" w:color="auto" w:sz="4" w:space="0"/>
              <w:right w:val="single" w:color="auto" w:sz="4" w:space="0"/>
            </w:tcBorders>
            <w:shd w:val="clear" w:color="auto" w:fill="auto"/>
            <w:vAlign w:val="center"/>
          </w:tcPr>
          <w:p w14:paraId="7FEDF1EC">
            <w:pPr>
              <w:jc w:val="center"/>
              <w:rPr>
                <w:rFonts w:hint="default" w:ascii="Times New Roman" w:hAnsi="Times New Roman" w:eastAsia="仿宋_GB2312" w:cs="Times New Roman"/>
                <w:color w:val="000000"/>
                <w:sz w:val="21"/>
                <w:szCs w:val="21"/>
                <w:highlight w:val="none"/>
                <w:lang w:val="en-US"/>
              </w:rPr>
            </w:pPr>
            <w:r>
              <w:rPr>
                <w:rFonts w:hint="eastAsia" w:eastAsia="仿宋_GB2312" w:cs="Times New Roman"/>
                <w:color w:val="000000"/>
                <w:sz w:val="21"/>
                <w:szCs w:val="21"/>
                <w:highlight w:val="none"/>
                <w:lang w:val="en-US" w:eastAsia="zh-CN"/>
              </w:rPr>
              <w:t>99.95</w:t>
            </w:r>
          </w:p>
        </w:tc>
      </w:tr>
      <w:tr w14:paraId="1D1D6FD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BA755DD">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1E18EA68">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58D6D8FC">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12D9AC88">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40</w:t>
            </w:r>
          </w:p>
        </w:tc>
      </w:tr>
      <w:tr w14:paraId="67171E67">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7456C10F">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698743E3">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00CBB7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1D6601C">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lang w:val="en-US" w:eastAsia="zh-CN"/>
              </w:rPr>
              <w:t>20</w:t>
            </w:r>
          </w:p>
        </w:tc>
      </w:tr>
      <w:tr w14:paraId="7948E174">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940BB74">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5EAB38AB">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78125BED">
            <w:pPr>
              <w:jc w:val="center"/>
              <w:rPr>
                <w:rFonts w:hint="default" w:ascii="Times New Roman" w:hAnsi="Times New Roman" w:eastAsia="仿宋_GB2312" w:cs="Times New Roman"/>
                <w:b/>
                <w:bCs/>
                <w:color w:val="000000"/>
                <w:sz w:val="21"/>
                <w:szCs w:val="21"/>
                <w:highlight w:val="none"/>
                <w:lang w:val="en-US"/>
              </w:rPr>
            </w:pPr>
            <w:r>
              <w:rPr>
                <w:rFonts w:hint="eastAsia" w:eastAsia="仿宋_GB2312" w:cs="Times New Roman"/>
                <w:b/>
                <w:bCs/>
                <w:color w:val="000000"/>
                <w:sz w:val="21"/>
                <w:szCs w:val="21"/>
                <w:highlight w:val="none"/>
                <w:lang w:val="en-US" w:eastAsia="zh-CN"/>
              </w:rPr>
              <w:t>99.99</w:t>
            </w:r>
          </w:p>
        </w:tc>
        <w:tc>
          <w:tcPr>
            <w:tcW w:w="2023" w:type="dxa"/>
            <w:tcBorders>
              <w:top w:val="nil"/>
              <w:left w:val="nil"/>
              <w:bottom w:val="single" w:color="auto" w:sz="4" w:space="0"/>
              <w:right w:val="single" w:color="auto" w:sz="4" w:space="0"/>
            </w:tcBorders>
            <w:shd w:val="clear" w:color="auto" w:fill="auto"/>
            <w:vAlign w:val="center"/>
          </w:tcPr>
          <w:p w14:paraId="6330B388">
            <w:pPr>
              <w:jc w:val="center"/>
              <w:rPr>
                <w:rFonts w:hint="default" w:ascii="Times New Roman" w:hAnsi="Times New Roman" w:eastAsia="仿宋_GB2312" w:cs="Times New Roman"/>
                <w:b/>
                <w:bCs/>
                <w:color w:val="000000"/>
                <w:sz w:val="21"/>
                <w:szCs w:val="21"/>
                <w:highlight w:val="none"/>
                <w:lang w:val="en-US"/>
              </w:rPr>
            </w:pPr>
            <w:r>
              <w:rPr>
                <w:rFonts w:hint="eastAsia" w:eastAsia="仿宋_GB2312" w:cs="Times New Roman"/>
                <w:b/>
                <w:bCs/>
                <w:color w:val="000000"/>
                <w:sz w:val="21"/>
                <w:szCs w:val="21"/>
                <w:highlight w:val="none"/>
                <w:lang w:val="en-US" w:eastAsia="zh-CN"/>
              </w:rPr>
              <w:t>99.95</w:t>
            </w:r>
          </w:p>
        </w:tc>
      </w:tr>
    </w:tbl>
    <w:p w14:paraId="78F90DFE">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2D5FEBF1">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5917065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AA3A55E">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22D390F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1ADF45A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奇财预[2024]24号昌州财教[2023]84号 关于提前下达中央、县级2024年博物馆纪念馆免费开放补助资金预算的通知项目围绕本年度工作重点和工作计划制定经费预算，属于公共财政支持范围。本项目与部门内部其他相关项目不重复。部门发展规划及职能文件等归档完整。</w:t>
      </w:r>
    </w:p>
    <w:p w14:paraId="6FCE8C6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177890B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3A50164C">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5B9E4BD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1472622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37D779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2F92BDE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6ED540A9">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7EC6367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50D47B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5541E16A">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641BB54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586F3D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CBD90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7E33D2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BBA824C">
      <w:pPr>
        <w:pStyle w:val="10"/>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29ED3AE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19.99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99.95</w:t>
      </w:r>
      <w:r>
        <w:rPr>
          <w:rFonts w:hint="default" w:ascii="Times New Roman" w:hAnsi="Times New Roman" w:eastAsia="仿宋_GB2312" w:cs="Times New Roman"/>
          <w:sz w:val="32"/>
          <w:szCs w:val="32"/>
          <w:highlight w:val="none"/>
          <w:lang w:val="en-US" w:eastAsia="zh-CN"/>
        </w:rPr>
        <w:t>%。</w:t>
      </w:r>
    </w:p>
    <w:p w14:paraId="092DA9A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531608D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54456B0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62.5</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3358D5DE">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10694B1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预算编制较为详细，项目资金支出总体能够按照预算执行，预算资金支出62.47万元，预算执行率为</w:t>
      </w:r>
      <w:r>
        <w:rPr>
          <w:rFonts w:hint="eastAsia" w:eastAsia="仿宋_GB2312" w:cs="Times New Roman"/>
          <w:sz w:val="32"/>
          <w:szCs w:val="32"/>
          <w:highlight w:val="none"/>
          <w:lang w:val="en-US" w:eastAsia="zh-CN"/>
        </w:rPr>
        <w:t>99.95</w:t>
      </w:r>
      <w:r>
        <w:rPr>
          <w:rFonts w:hint="default" w:ascii="Times New Roman" w:hAnsi="Times New Roman" w:eastAsia="仿宋_GB2312" w:cs="Times New Roman"/>
          <w:sz w:val="32"/>
          <w:szCs w:val="32"/>
          <w:highlight w:val="none"/>
          <w:lang w:val="en-US" w:eastAsia="zh-CN"/>
        </w:rPr>
        <w:t>%。</w:t>
      </w:r>
    </w:p>
    <w:p w14:paraId="745FFE2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7EF8EC5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1022B28F">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1AFE9A0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0ED5DE2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44A33ED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4A6C784D">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14:paraId="7FE54843">
      <w:pPr>
        <w:pStyle w:val="12"/>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2E0454D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9</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56.29</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93</w:t>
      </w:r>
      <w:r>
        <w:rPr>
          <w:rFonts w:hint="default" w:ascii="Times New Roman" w:hAnsi="Times New Roman" w:eastAsia="仿宋_GB2312" w:cs="Times New Roman"/>
          <w:sz w:val="32"/>
          <w:szCs w:val="32"/>
          <w:highlight w:val="none"/>
          <w:lang w:val="en-US" w:eastAsia="zh-CN"/>
        </w:rPr>
        <w:t>%。具体产出指标完成情况如下：</w:t>
      </w:r>
    </w:p>
    <w:p w14:paraId="70CF5275">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6F50F94C">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指标1：开展流动博物馆场次</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指标值：&gt;=30场次</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 xml:space="preserve">=41场次，指标完成率 </w:t>
      </w:r>
      <w:r>
        <w:rPr>
          <w:rFonts w:hint="eastAsia" w:eastAsia="仿宋_GB2312" w:cs="Times New Roman"/>
          <w:sz w:val="32"/>
          <w:szCs w:val="32"/>
          <w:highlight w:val="none"/>
          <w:lang w:val="en-US" w:eastAsia="zh-CN"/>
        </w:rPr>
        <w:t>133</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偏差原因：本年度积极开展流动展工作，超额完成设置目标。</w:t>
      </w:r>
    </w:p>
    <w:p w14:paraId="4F592908">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：安排经费的博物馆个数</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default" w:ascii="Times New Roman" w:hAnsi="Times New Roman" w:eastAsia="仿宋_GB2312" w:cs="Times New Roman"/>
          <w:sz w:val="32"/>
          <w:szCs w:val="32"/>
          <w:highlight w:val="none"/>
          <w:lang w:val="en-US" w:eastAsia="zh-CN"/>
        </w:rPr>
        <w:t>=1个</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 xml:space="preserve">，指标完成率 </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7D6062A5">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14:paraId="118251AC">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场馆设备有效利用率</w:t>
      </w:r>
      <w:r>
        <w:rPr>
          <w:rFonts w:hint="default" w:ascii="Times New Roman" w:hAnsi="Times New Roman" w:eastAsia="仿宋_GB2312" w:cs="Times New Roman"/>
          <w:sz w:val="32"/>
          <w:szCs w:val="32"/>
          <w:highlight w:val="none"/>
        </w:rPr>
        <w:t>，指标值：&gt;=9</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val="en-US" w:eastAsia="zh-CN"/>
        </w:rPr>
        <w:t>9</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11D1B498">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免费开放绩效考评率</w:t>
      </w:r>
      <w:r>
        <w:rPr>
          <w:rFonts w:hint="default" w:ascii="Times New Roman" w:hAnsi="Times New Roman" w:eastAsia="仿宋_GB2312" w:cs="Times New Roman"/>
          <w:sz w:val="32"/>
          <w:szCs w:val="32"/>
          <w:highlight w:val="none"/>
        </w:rPr>
        <w:t>，指标值：&gt;=9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val="en-US" w:eastAsia="zh-CN"/>
        </w:rPr>
        <w:t>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153BDF92">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陈列展示水平</w:t>
      </w:r>
      <w:r>
        <w:rPr>
          <w:rFonts w:hint="default" w:ascii="Times New Roman" w:hAnsi="Times New Roman" w:eastAsia="仿宋_GB2312" w:cs="Times New Roman"/>
          <w:sz w:val="32"/>
          <w:szCs w:val="32"/>
          <w:highlight w:val="none"/>
        </w:rPr>
        <w:t>，指标值：&gt;=9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val="en-US" w:eastAsia="zh-CN"/>
        </w:rPr>
        <w:t>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0CA1EAE7">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val="en-US" w:eastAsia="zh-CN"/>
        </w:rPr>
        <w:t>社会教育服务水平</w:t>
      </w:r>
      <w:r>
        <w:rPr>
          <w:rFonts w:hint="default" w:ascii="Times New Roman" w:hAnsi="Times New Roman" w:eastAsia="仿宋_GB2312" w:cs="Times New Roman"/>
          <w:sz w:val="32"/>
          <w:szCs w:val="32"/>
          <w:highlight w:val="none"/>
        </w:rPr>
        <w:t>，指标值：&gt;=9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val="en-US" w:eastAsia="zh-CN"/>
        </w:rPr>
        <w:t>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727D11B6">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14:paraId="1F77304A">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：博物馆免费开放专项资金完成时间，指标值：2024年12月31日，实际完成值：</w:t>
      </w:r>
      <w:r>
        <w:rPr>
          <w:rFonts w:hint="default" w:ascii="Times New Roman" w:hAnsi="Times New Roman" w:eastAsia="仿宋_GB2312" w:cs="Times New Roman"/>
          <w:sz w:val="32"/>
          <w:szCs w:val="32"/>
          <w:highlight w:val="none"/>
          <w:lang w:val="en-US" w:eastAsia="zh-CN"/>
        </w:rPr>
        <w:t>2024年12月31日</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5F51ADF5">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14:paraId="01AE817E">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经济成本</w:t>
      </w:r>
    </w:p>
    <w:p w14:paraId="40A86E9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：博物馆免费开放专项资金，指标值：=62.50万元，实际完成值：</w:t>
      </w:r>
      <w:r>
        <w:rPr>
          <w:rFonts w:hint="default" w:ascii="Times New Roman" w:hAnsi="Times New Roman" w:eastAsia="仿宋_GB2312" w:cs="Times New Roman"/>
          <w:sz w:val="32"/>
          <w:szCs w:val="32"/>
          <w:highlight w:val="none"/>
          <w:lang w:val="en-US" w:eastAsia="zh-CN"/>
        </w:rPr>
        <w:t>62.47万元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99.95</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偏差原因：本年度博物馆部分票据未开具，造成资金支付未能完成，下年度将提前谋划，积极提高资金支付率。</w:t>
      </w:r>
    </w:p>
    <w:p w14:paraId="7185F420">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：博物馆关免费开放资金到位率，指标值：&lt;=98%，实际完成值：</w:t>
      </w:r>
      <w:r>
        <w:rPr>
          <w:rFonts w:hint="default" w:ascii="Times New Roman" w:hAnsi="Times New Roman" w:eastAsia="仿宋_GB2312" w:cs="Times New Roman"/>
          <w:sz w:val="32"/>
          <w:szCs w:val="32"/>
          <w:highlight w:val="none"/>
          <w:lang w:val="en-US" w:eastAsia="zh-CN"/>
        </w:rPr>
        <w:t>99.95%</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01</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偏差原因：本年度博物馆项目资金较往年有所提高，本次指标设置有偏差。</w:t>
      </w:r>
    </w:p>
    <w:p w14:paraId="3F923C1B">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2024年本项目未设置</w:t>
      </w:r>
      <w:r>
        <w:rPr>
          <w:rFonts w:hint="default" w:eastAsia="仿宋_GB2312" w:cs="Times New Roman"/>
          <w:sz w:val="32"/>
          <w:szCs w:val="32"/>
          <w:highlight w:val="none"/>
          <w:lang w:val="en-US" w:eastAsia="zh-CN"/>
        </w:rPr>
        <w:t>社会成本指标</w:t>
      </w:r>
      <w:r>
        <w:rPr>
          <w:rFonts w:hint="eastAsia" w:eastAsia="仿宋_GB2312" w:cs="Times New Roman"/>
          <w:sz w:val="32"/>
          <w:szCs w:val="32"/>
          <w:highlight w:val="none"/>
          <w:lang w:val="en-US" w:eastAsia="zh-CN"/>
        </w:rPr>
        <w:t>。</w:t>
      </w:r>
    </w:p>
    <w:p w14:paraId="2E19E540">
      <w:pPr>
        <w:pStyle w:val="3"/>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2024年本项目未设置生态效益指标。</w:t>
      </w:r>
    </w:p>
    <w:p w14:paraId="5239709E">
      <w:pPr>
        <w:pStyle w:val="12"/>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17CE04B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%。具体效益指标及满意度指标完成情况如下：</w:t>
      </w:r>
    </w:p>
    <w:p w14:paraId="4770BE9F">
      <w:pPr>
        <w:numPr>
          <w:ilvl w:val="0"/>
          <w:numId w:val="0"/>
        </w:numPr>
        <w:shd w:val="clear"/>
        <w:spacing w:line="600" w:lineRule="exact"/>
        <w:ind w:leftChars="304"/>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p>
    <w:p w14:paraId="533665CA">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14:paraId="1A9A7FA4">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：社会工作专业人才实训基地场地使用率（%），指标值：有效提升，实际完成值：</w:t>
      </w:r>
      <w:r>
        <w:rPr>
          <w:rFonts w:hint="default" w:ascii="Times New Roman" w:hAnsi="Times New Roman" w:eastAsia="仿宋_GB2312" w:cs="Times New Roman"/>
          <w:sz w:val="32"/>
          <w:szCs w:val="32"/>
          <w:highlight w:val="none"/>
          <w:lang w:val="en-US" w:eastAsia="zh-CN"/>
        </w:rPr>
        <w:t>有效提升</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6068D260">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：不断弘扬传承优秀传统文化大力培育社会主义社心价值观，指标值：有效提升，实际完成值：</w:t>
      </w:r>
      <w:r>
        <w:rPr>
          <w:rFonts w:hint="default" w:ascii="Times New Roman" w:hAnsi="Times New Roman" w:eastAsia="仿宋_GB2312" w:cs="Times New Roman"/>
          <w:sz w:val="32"/>
          <w:szCs w:val="32"/>
          <w:highlight w:val="none"/>
          <w:lang w:val="en-US" w:eastAsia="zh-CN"/>
        </w:rPr>
        <w:t>有效提升</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w:t>
      </w:r>
      <w:r>
        <w:rPr>
          <w:rFonts w:hint="eastAsia" w:eastAsia="仿宋_GB2312" w:cs="Times New Roman"/>
          <w:sz w:val="32"/>
          <w:szCs w:val="32"/>
          <w:highlight w:val="none"/>
          <w:lang w:val="en-US" w:eastAsia="zh-CN"/>
        </w:rPr>
        <w:t>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335A7D1C">
      <w:pPr>
        <w:numPr>
          <w:ilvl w:val="0"/>
          <w:numId w:val="0"/>
        </w:numPr>
        <w:shd w:val="clear"/>
        <w:spacing w:line="600" w:lineRule="exact"/>
        <w:ind w:leftChars="304"/>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eastAsia" w:eastAsia="仿宋_GB2312" w:cs="Times New Roman"/>
          <w:sz w:val="32"/>
          <w:szCs w:val="32"/>
          <w:highlight w:val="none"/>
          <w:lang w:val="en-US" w:eastAsia="zh-CN"/>
        </w:rPr>
        <w:t>经济效益</w:t>
      </w:r>
      <w:r>
        <w:rPr>
          <w:rFonts w:hint="default" w:ascii="Times New Roman" w:hAnsi="Times New Roman" w:eastAsia="仿宋_GB2312" w:cs="Times New Roman"/>
          <w:sz w:val="32"/>
          <w:szCs w:val="32"/>
          <w:highlight w:val="none"/>
        </w:rPr>
        <w:t>指标</w:t>
      </w:r>
    </w:p>
    <w:p w14:paraId="44BF5BD7">
      <w:pPr>
        <w:numPr>
          <w:ilvl w:val="0"/>
          <w:numId w:val="0"/>
        </w:numPr>
        <w:shd w:val="clear"/>
        <w:spacing w:line="600" w:lineRule="exact"/>
        <w:ind w:leftChars="304"/>
        <w:outlineLvl w:val="0"/>
        <w:rPr>
          <w:rFonts w:hint="default" w:ascii="Times New Roman" w:hAnsi="Times New Roman" w:eastAsia="仿宋_GB2312" w:cs="Times New Roman"/>
          <w:color w:val="FF0000"/>
          <w:sz w:val="32"/>
          <w:szCs w:val="32"/>
          <w:highlight w:val="none"/>
          <w:lang w:val="en-US" w:eastAsia="zh-CN"/>
        </w:rPr>
      </w:pPr>
      <w:r>
        <w:rPr>
          <w:rFonts w:hint="eastAsia" w:eastAsia="仿宋_GB2312" w:cs="Times New Roman"/>
          <w:sz w:val="32"/>
          <w:szCs w:val="32"/>
          <w:highlight w:val="none"/>
          <w:lang w:val="en-US" w:eastAsia="zh-CN"/>
        </w:rPr>
        <w:t>2024年本项</w:t>
      </w:r>
      <w:r>
        <w:rPr>
          <w:rFonts w:hint="eastAsia" w:eastAsia="仿宋_GB2312" w:cs="Times New Roman"/>
          <w:color w:val="auto"/>
          <w:sz w:val="32"/>
          <w:szCs w:val="32"/>
          <w:highlight w:val="none"/>
          <w:lang w:val="en-US" w:eastAsia="zh-CN"/>
        </w:rPr>
        <w:t>目未设置</w:t>
      </w:r>
      <w:r>
        <w:rPr>
          <w:rFonts w:hint="default" w:ascii="Times New Roman" w:hAnsi="Times New Roman" w:eastAsia="仿宋_GB2312" w:cs="Times New Roman"/>
          <w:color w:val="auto"/>
          <w:sz w:val="32"/>
          <w:szCs w:val="32"/>
          <w:highlight w:val="none"/>
          <w:lang w:val="en-US" w:eastAsia="zh-CN"/>
        </w:rPr>
        <w:t>经济效益指标</w:t>
      </w:r>
    </w:p>
    <w:p w14:paraId="054C4C3B">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生态效益指标</w:t>
      </w:r>
    </w:p>
    <w:p w14:paraId="6FFF676B">
      <w:pPr>
        <w:numPr>
          <w:ilvl w:val="0"/>
          <w:numId w:val="0"/>
        </w:numPr>
        <w:shd w:val="clear"/>
        <w:spacing w:line="600" w:lineRule="exact"/>
        <w:ind w:leftChars="304"/>
        <w:outlineLvl w:val="0"/>
        <w:rPr>
          <w:rFonts w:hint="default" w:ascii="Times New Roman" w:hAnsi="Times New Roman" w:eastAsia="仿宋_GB2312" w:cs="Times New Roman"/>
          <w:color w:val="FF0000"/>
          <w:sz w:val="32"/>
          <w:szCs w:val="32"/>
          <w:highlight w:val="none"/>
          <w:lang w:val="en-US" w:eastAsia="zh-CN"/>
        </w:rPr>
      </w:pPr>
      <w:r>
        <w:rPr>
          <w:rFonts w:hint="eastAsia" w:eastAsia="仿宋_GB2312" w:cs="Times New Roman"/>
          <w:sz w:val="32"/>
          <w:szCs w:val="32"/>
          <w:highlight w:val="none"/>
          <w:lang w:val="en-US" w:eastAsia="zh-CN"/>
        </w:rPr>
        <w:t>2024年本项目未设置</w:t>
      </w:r>
      <w:r>
        <w:rPr>
          <w:rFonts w:hint="default" w:ascii="Times New Roman" w:hAnsi="Times New Roman" w:eastAsia="仿宋_GB2312" w:cs="Times New Roman"/>
          <w:sz w:val="32"/>
          <w:szCs w:val="32"/>
          <w:highlight w:val="none"/>
        </w:rPr>
        <w:t>生态效益指标</w:t>
      </w:r>
    </w:p>
    <w:p w14:paraId="318365B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14:paraId="5014AE6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指标1：社会公众对博物馆服务满意度，预期指标值为&gt;=95%；</w:t>
      </w:r>
      <w:r>
        <w:rPr>
          <w:rFonts w:hint="default" w:ascii="Times New Roman" w:hAnsi="Times New Roman" w:eastAsia="仿宋_GB2312" w:cs="Times New Roman"/>
          <w:sz w:val="32"/>
          <w:szCs w:val="32"/>
          <w:highlight w:val="none"/>
        </w:rPr>
        <w:t>实际完成值</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default"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p>
    <w:p w14:paraId="0F2184C1">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14:paraId="1AD08F6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lang w:val="en-US"/>
        </w:rPr>
      </w:pPr>
      <w:r>
        <w:rPr>
          <w:rFonts w:hint="eastAsia" w:ascii="Times New Roman" w:hAnsi="Times New Roman" w:eastAsia="仿宋_GB2312" w:cs="Times New Roman"/>
          <w:sz w:val="32"/>
          <w:szCs w:val="32"/>
          <w:highlight w:val="none"/>
          <w:lang w:val="en-US" w:eastAsia="zh-CN"/>
        </w:rPr>
        <w:t>地方博物馆</w:t>
      </w:r>
      <w:r>
        <w:rPr>
          <w:rFonts w:hint="default" w:ascii="Times New Roman" w:hAnsi="Times New Roman" w:eastAsia="仿宋_GB2312" w:cs="Times New Roman"/>
          <w:sz w:val="32"/>
          <w:szCs w:val="32"/>
          <w:highlight w:val="none"/>
          <w:lang w:val="en-US" w:eastAsia="zh-CN"/>
        </w:rPr>
        <w:t>项目年初预算</w:t>
      </w:r>
      <w:r>
        <w:rPr>
          <w:rFonts w:hint="eastAsia" w:ascii="Times New Roman" w:hAnsi="Times New Roman" w:eastAsia="仿宋_GB2312" w:cs="Times New Roman"/>
          <w:sz w:val="32"/>
          <w:szCs w:val="32"/>
          <w:highlight w:val="none"/>
          <w:lang w:val="en-US" w:eastAsia="zh-CN"/>
        </w:rPr>
        <w:t>62.5</w:t>
      </w:r>
      <w:r>
        <w:rPr>
          <w:rFonts w:hint="default" w:ascii="Times New Roman" w:hAnsi="Times New Roman" w:eastAsia="仿宋_GB2312" w:cs="Times New Roman"/>
          <w:sz w:val="32"/>
          <w:szCs w:val="32"/>
          <w:highlight w:val="none"/>
          <w:lang w:val="en-US" w:eastAsia="zh-CN"/>
        </w:rPr>
        <w:t>万元，全年预算</w:t>
      </w:r>
      <w:r>
        <w:rPr>
          <w:rFonts w:hint="eastAsia" w:ascii="Times New Roman" w:hAnsi="Times New Roman" w:eastAsia="仿宋_GB2312" w:cs="Times New Roman"/>
          <w:sz w:val="32"/>
          <w:szCs w:val="32"/>
          <w:highlight w:val="none"/>
          <w:lang w:val="en-US" w:eastAsia="zh-CN"/>
        </w:rPr>
        <w:t>62.5</w:t>
      </w:r>
      <w:r>
        <w:rPr>
          <w:rFonts w:hint="default" w:ascii="Times New Roman" w:hAnsi="Times New Roman" w:eastAsia="仿宋_GB2312" w:cs="Times New Roman"/>
          <w:sz w:val="32"/>
          <w:szCs w:val="32"/>
          <w:highlight w:val="none"/>
          <w:lang w:val="en-US" w:eastAsia="zh-CN"/>
        </w:rPr>
        <w:t>万元，实际支出62.47万元，预算执行率为</w:t>
      </w:r>
      <w:r>
        <w:rPr>
          <w:rFonts w:hint="eastAsia" w:ascii="Times New Roman" w:hAnsi="Times New Roman" w:eastAsia="仿宋_GB2312" w:cs="Times New Roman"/>
          <w:sz w:val="32"/>
          <w:szCs w:val="32"/>
          <w:highlight w:val="none"/>
          <w:lang w:val="en-US" w:eastAsia="zh-CN"/>
        </w:rPr>
        <w:t>99.95</w:t>
      </w:r>
      <w:r>
        <w:rPr>
          <w:rFonts w:hint="default" w:ascii="Times New Roman" w:hAnsi="Times New Roman" w:eastAsia="仿宋_GB2312" w:cs="Times New Roman"/>
          <w:sz w:val="32"/>
          <w:szCs w:val="32"/>
          <w:highlight w:val="none"/>
          <w:lang w:val="en-US" w:eastAsia="zh-CN"/>
        </w:rPr>
        <w:t>%，项目绩效指标总体完成率为</w:t>
      </w:r>
      <w:r>
        <w:rPr>
          <w:rFonts w:hint="eastAsia" w:ascii="Times New Roman" w:hAnsi="Times New Roman" w:eastAsia="仿宋_GB2312" w:cs="Times New Roman"/>
          <w:sz w:val="32"/>
          <w:szCs w:val="32"/>
          <w:highlight w:val="none"/>
          <w:lang w:val="en-US" w:eastAsia="zh-CN"/>
        </w:rPr>
        <w:t>103.08</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Hans"/>
        </w:rPr>
        <w:t>总体</w:t>
      </w:r>
      <w:r>
        <w:rPr>
          <w:rFonts w:hint="default" w:ascii="Times New Roman" w:hAnsi="Times New Roman" w:eastAsia="仿宋_GB2312" w:cs="Times New Roman"/>
          <w:sz w:val="32"/>
          <w:szCs w:val="32"/>
          <w:highlight w:val="none"/>
          <w:lang w:val="en-US" w:eastAsia="zh-CN"/>
        </w:rPr>
        <w:t>偏差率为</w:t>
      </w:r>
      <w:bookmarkStart w:id="3" w:name="_GoBack"/>
      <w:bookmarkEnd w:id="3"/>
      <w:r>
        <w:rPr>
          <w:rFonts w:hint="eastAsia" w:ascii="Times New Roman" w:hAnsi="Times New Roman" w:eastAsia="仿宋_GB2312" w:cs="Times New Roman"/>
          <w:sz w:val="32"/>
          <w:szCs w:val="32"/>
          <w:highlight w:val="none"/>
          <w:lang w:val="en-US" w:eastAsia="zh-CN"/>
        </w:rPr>
        <w:t>3.13</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，偏差原因：本年度博物馆项目资金较往年有所提高，个别指标设置有偏</w:t>
      </w:r>
      <w:r>
        <w:rPr>
          <w:rFonts w:hint="eastAsia" w:eastAsia="仿宋_GB2312" w:cs="Times New Roman"/>
          <w:sz w:val="32"/>
          <w:szCs w:val="32"/>
          <w:highlight w:val="none"/>
          <w:lang w:val="en-US" w:eastAsia="zh-CN"/>
        </w:rPr>
        <w:t>差，超额完成设置目标，部分票据未开具，造成资金支付未能完成。改进措施：下年度将提前谋划，积极提高资金支付率。</w:t>
      </w:r>
    </w:p>
    <w:p w14:paraId="29E16E26">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14:paraId="3437BF29">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highlight w:val="none"/>
        </w:rPr>
      </w:pPr>
      <w:r>
        <w:rPr>
          <w:rFonts w:hint="eastAsia" w:ascii="楷体" w:hAnsi="楷体" w:eastAsia="楷体" w:cs="楷体"/>
          <w:b/>
          <w:bCs/>
          <w:sz w:val="32"/>
          <w:szCs w:val="32"/>
          <w:highlight w:val="none"/>
        </w:rPr>
        <w:t>（一）主要经验及做法</w:t>
      </w:r>
    </w:p>
    <w:p w14:paraId="03FA9CA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608B8F1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严格坚持先做事、后验收、再拨付的原则，</w:t>
      </w:r>
      <w:r>
        <w:rPr>
          <w:rFonts w:hint="default" w:ascii="Times New Roman" w:hAnsi="Times New Roman" w:eastAsia="仿宋_GB2312" w:cs="Times New Roman"/>
          <w:sz w:val="32"/>
          <w:szCs w:val="32"/>
          <w:highlight w:val="none"/>
          <w:lang w:eastAsia="zh-CN"/>
        </w:rPr>
        <w:t>杜绝</w:t>
      </w:r>
      <w:r>
        <w:rPr>
          <w:rFonts w:hint="default" w:ascii="Times New Roman" w:hAnsi="Times New Roman" w:eastAsia="仿宋_GB2312" w:cs="Times New Roman"/>
          <w:sz w:val="32"/>
          <w:szCs w:val="3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F275A7E">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rPr>
          <w:rFonts w:hint="eastAsia" w:ascii="楷体" w:hAnsi="楷体" w:eastAsia="楷体" w:cs="楷体"/>
          <w:b/>
          <w:bCs/>
          <w:sz w:val="32"/>
          <w:szCs w:val="32"/>
          <w:highlight w:val="none"/>
        </w:rPr>
      </w:pPr>
      <w:r>
        <w:rPr>
          <w:rFonts w:hint="eastAsia" w:ascii="楷体" w:hAnsi="楷体" w:eastAsia="楷体" w:cs="楷体"/>
          <w:b/>
          <w:bCs/>
          <w:sz w:val="32"/>
          <w:szCs w:val="32"/>
          <w:highlight w:val="none"/>
          <w:lang w:eastAsia="zh-CN"/>
        </w:rPr>
        <w:t>（</w:t>
      </w:r>
      <w:r>
        <w:rPr>
          <w:rFonts w:hint="eastAsia" w:ascii="楷体" w:hAnsi="楷体" w:eastAsia="楷体" w:cs="楷体"/>
          <w:b/>
          <w:bCs/>
          <w:sz w:val="32"/>
          <w:szCs w:val="32"/>
          <w:highlight w:val="none"/>
          <w:lang w:val="en-US" w:eastAsia="zh-CN"/>
        </w:rPr>
        <w:t>二</w:t>
      </w:r>
      <w:r>
        <w:rPr>
          <w:rFonts w:hint="eastAsia" w:ascii="楷体" w:hAnsi="楷体" w:eastAsia="楷体" w:cs="楷体"/>
          <w:b/>
          <w:bCs/>
          <w:sz w:val="32"/>
          <w:szCs w:val="32"/>
          <w:highlight w:val="none"/>
          <w:lang w:eastAsia="zh-CN"/>
        </w:rPr>
        <w:t>）</w:t>
      </w:r>
      <w:r>
        <w:rPr>
          <w:rFonts w:hint="eastAsia" w:ascii="楷体" w:hAnsi="楷体" w:eastAsia="楷体" w:cs="楷体"/>
          <w:b/>
          <w:bCs/>
          <w:sz w:val="32"/>
          <w:szCs w:val="32"/>
          <w:highlight w:val="none"/>
        </w:rPr>
        <w:t>存在的问题及原因分析</w:t>
      </w:r>
    </w:p>
    <w:p w14:paraId="6EA7806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项目绩效管理基础薄弱，项目管理人员绩效管理知识不完善，内部绩效管理工作力量薄弱，多数以财务人员牵头开展绩效管理，工作推动机制不健全。</w:t>
      </w:r>
    </w:p>
    <w:p w14:paraId="77D3A92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2.部分资金下达不及时，资金监控不足。年初项目资金使用计划、实际执行国成情况的审核、监督及考核管理力度不足。</w:t>
      </w:r>
    </w:p>
    <w:p w14:paraId="18FE6D7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3.管理制度不健全，制度执行有效性不强，未结合项目实际情况制定专项资金管理制度，对资金拨付时间节点要求不明确。</w:t>
      </w:r>
    </w:p>
    <w:p w14:paraId="6B168F9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六、</w:t>
      </w:r>
      <w:r>
        <w:rPr>
          <w:rFonts w:hint="eastAsia" w:ascii="黑体" w:hAnsi="黑体" w:eastAsia="黑体" w:cs="黑体"/>
          <w:sz w:val="32"/>
          <w:szCs w:val="32"/>
          <w:highlight w:val="none"/>
        </w:rPr>
        <w:t>有关建议</w:t>
      </w:r>
    </w:p>
    <w:p w14:paraId="26E8AD4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1965A36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3D93C4A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635712F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2"/>
          <w:szCs w:val="32"/>
          <w:highlight w:val="none"/>
        </w:rPr>
        <w:t>。</w:t>
      </w:r>
    </w:p>
    <w:p w14:paraId="370E5DA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36801B07">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lang w:val="en-US" w:eastAsia="zh-CN"/>
        </w:rPr>
        <w:t>七、</w:t>
      </w:r>
      <w:r>
        <w:rPr>
          <w:rFonts w:hint="eastAsia" w:ascii="黑体" w:hAnsi="黑体" w:eastAsia="黑体" w:cs="黑体"/>
          <w:sz w:val="32"/>
          <w:szCs w:val="32"/>
          <w:highlight w:val="none"/>
        </w:rPr>
        <w:t>其他需要说</w:t>
      </w:r>
      <w:bookmarkStart w:id="0" w:name="page8"/>
      <w:bookmarkEnd w:id="0"/>
      <w:r>
        <w:rPr>
          <w:rFonts w:hint="eastAsia" w:ascii="黑体" w:hAnsi="黑体" w:eastAsia="黑体" w:cs="黑体"/>
          <w:sz w:val="32"/>
          <w:szCs w:val="32"/>
          <w:highlight w:val="none"/>
        </w:rPr>
        <w:t>明的问题</w:t>
      </w:r>
    </w:p>
    <w:p w14:paraId="20E3CA2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14:paraId="3B9C7136">
      <w:pPr>
        <w:pStyle w:val="13"/>
        <w:spacing w:after="0" w:line="560" w:lineRule="exact"/>
        <w:ind w:left="0" w:leftChars="0" w:firstLine="640"/>
        <w:rPr>
          <w:rFonts w:hint="default" w:ascii="Times New Roman" w:hAnsi="Times New Roman" w:eastAsia="仿宋_GB2312" w:cs="Times New Roman"/>
          <w:sz w:val="32"/>
          <w:szCs w:val="32"/>
          <w:highlight w:val="none"/>
        </w:rPr>
      </w:pPr>
    </w:p>
    <w:p w14:paraId="7E878360">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14:paraId="125D1287">
      <w:pPr>
        <w:pStyle w:val="19"/>
        <w:ind w:firstLine="562"/>
        <w:jc w:val="center"/>
        <w:rPr>
          <w:rFonts w:hint="eastAsia" w:ascii="仿宋_GB2312" w:hAnsi="仿宋_GB2312" w:eastAsia="仿宋_GB2312" w:cs="仿宋_GB2312"/>
          <w:sz w:val="28"/>
          <w:szCs w:val="40"/>
          <w:highlight w:val="none"/>
        </w:rPr>
      </w:pPr>
      <w:bookmarkStart w:id="1" w:name="_Toc26499_WPSOffice_Level2"/>
      <w:bookmarkStart w:id="2" w:name="_Toc30064_WPSOffice_Level1"/>
      <w:r>
        <w:rPr>
          <w:rFonts w:hint="eastAsia" w:ascii="仿宋_GB2312" w:hAnsi="仿宋_GB2312" w:eastAsia="仿宋_GB2312" w:cs="仿宋_GB2312"/>
          <w:b/>
          <w:bCs/>
          <w:sz w:val="28"/>
          <w:szCs w:val="40"/>
          <w:highlight w:val="none"/>
          <w:lang w:val="en-US" w:eastAsia="zh-CN"/>
        </w:rPr>
        <w:t>奇财预[2024]24号昌州财教[2023]84号 关于提前下达中央、县级2024年博物馆纪念馆免费开放补助资金预算的通知</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7A0BC8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0A00FAC5">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14:paraId="0560D82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369E84A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14:paraId="16DD541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14:paraId="10ACD2D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14:paraId="06D028A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14:paraId="440EC3D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1D43E1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23C65DB2">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BA17FC8">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FE80E02">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9FAD3E4">
            <w:pPr>
              <w:widowControl/>
              <w:spacing w:line="0" w:lineRule="atLeast"/>
              <w:jc w:val="center"/>
              <w:rPr>
                <w:rFonts w:hint="default" w:ascii="Times New Roman" w:hAnsi="Times New Roman" w:eastAsia="仿宋_GB2312" w:cs="Times New Roman"/>
                <w:color w:val="000000"/>
                <w:kern w:val="0"/>
                <w:sz w:val="18"/>
                <w:szCs w:val="18"/>
                <w:highlight w:val="none"/>
              </w:rPr>
            </w:pPr>
          </w:p>
          <w:p w14:paraId="62800E87">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53CFA6B">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45F2ED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7B6AFD0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1F4F3B9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016AA86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14:paraId="368C371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2E96A5AB">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14:paraId="2943DFE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407779D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0093D8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632F188E">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64E2D0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15F734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0BAD933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14:paraId="1223744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14:paraId="0994C402">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457B920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774CA5C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4E7CD4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79A656D2">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679B087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2FADFC9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076B7A9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14:paraId="1AD669A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69278C81">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4832FD20">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14:paraId="678444D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0297311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546740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6FA1144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7D49559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5C73766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7A9573E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14:paraId="55AD303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7D5AF64B">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14:paraId="1B41082A">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p>
        </w:tc>
        <w:tc>
          <w:tcPr>
            <w:tcW w:w="1365" w:type="dxa"/>
            <w:shd w:val="clear" w:color="000000" w:fill="FFFFFF"/>
            <w:vAlign w:val="center"/>
          </w:tcPr>
          <w:p w14:paraId="4DEF19FF">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w:t>
            </w:r>
          </w:p>
        </w:tc>
      </w:tr>
      <w:tr w14:paraId="5BF01C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1CA70A9F">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2118F37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690F5751">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3655358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647ABEC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14:paraId="75EE54D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3EEB16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14:paraId="4DF2D28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064C3BAC">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07E290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6E4D5489">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2329D3AA">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396DDD0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4E9C4E8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14:paraId="6537256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0734D1E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14:paraId="68A4F93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34AC2A2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46996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4C46E919">
            <w:pPr>
              <w:spacing w:line="0" w:lineRule="atLeast"/>
              <w:jc w:val="center"/>
              <w:rPr>
                <w:rFonts w:hint="default" w:ascii="Times New Roman" w:hAnsi="Times New Roman" w:eastAsia="仿宋_GB2312" w:cs="Times New Roman"/>
                <w:color w:val="000000"/>
                <w:kern w:val="0"/>
                <w:sz w:val="18"/>
                <w:szCs w:val="18"/>
                <w:highlight w:val="none"/>
              </w:rPr>
            </w:pPr>
          </w:p>
          <w:p w14:paraId="63B0E4FB">
            <w:pPr>
              <w:spacing w:line="0" w:lineRule="atLeast"/>
              <w:jc w:val="center"/>
              <w:rPr>
                <w:rFonts w:hint="default" w:ascii="Times New Roman" w:hAnsi="Times New Roman" w:eastAsia="仿宋_GB2312" w:cs="Times New Roman"/>
                <w:color w:val="000000"/>
                <w:kern w:val="0"/>
                <w:sz w:val="18"/>
                <w:szCs w:val="18"/>
                <w:highlight w:val="none"/>
              </w:rPr>
            </w:pPr>
          </w:p>
          <w:p w14:paraId="473F6750">
            <w:pPr>
              <w:spacing w:line="0" w:lineRule="atLeast"/>
              <w:jc w:val="center"/>
              <w:rPr>
                <w:rFonts w:hint="default" w:ascii="Times New Roman" w:hAnsi="Times New Roman" w:eastAsia="仿宋_GB2312" w:cs="Times New Roman"/>
                <w:color w:val="000000"/>
                <w:kern w:val="0"/>
                <w:sz w:val="18"/>
                <w:szCs w:val="18"/>
                <w:highlight w:val="none"/>
              </w:rPr>
            </w:pPr>
          </w:p>
          <w:p w14:paraId="5EFB4D3C">
            <w:pPr>
              <w:spacing w:line="0" w:lineRule="atLeast"/>
              <w:jc w:val="center"/>
              <w:rPr>
                <w:rFonts w:hint="default" w:ascii="Times New Roman" w:hAnsi="Times New Roman" w:eastAsia="仿宋_GB2312" w:cs="Times New Roman"/>
                <w:color w:val="000000"/>
                <w:kern w:val="0"/>
                <w:sz w:val="18"/>
                <w:szCs w:val="18"/>
                <w:highlight w:val="none"/>
              </w:rPr>
            </w:pPr>
          </w:p>
          <w:p w14:paraId="4304D62F">
            <w:pPr>
              <w:spacing w:line="0" w:lineRule="atLeast"/>
              <w:jc w:val="center"/>
              <w:rPr>
                <w:rFonts w:hint="default" w:ascii="Times New Roman" w:hAnsi="Times New Roman" w:eastAsia="仿宋_GB2312" w:cs="Times New Roman"/>
                <w:color w:val="000000"/>
                <w:kern w:val="0"/>
                <w:sz w:val="18"/>
                <w:szCs w:val="18"/>
                <w:highlight w:val="none"/>
              </w:rPr>
            </w:pPr>
          </w:p>
          <w:p w14:paraId="73FB2E6F">
            <w:pPr>
              <w:spacing w:line="0" w:lineRule="atLeast"/>
              <w:jc w:val="center"/>
              <w:rPr>
                <w:rFonts w:hint="default" w:ascii="Times New Roman" w:hAnsi="Times New Roman" w:eastAsia="仿宋_GB2312" w:cs="Times New Roman"/>
                <w:color w:val="000000"/>
                <w:kern w:val="0"/>
                <w:sz w:val="18"/>
                <w:szCs w:val="18"/>
                <w:highlight w:val="none"/>
              </w:rPr>
            </w:pPr>
          </w:p>
          <w:p w14:paraId="11669809">
            <w:pPr>
              <w:spacing w:line="0" w:lineRule="atLeast"/>
              <w:jc w:val="center"/>
              <w:rPr>
                <w:rFonts w:hint="default" w:ascii="Times New Roman" w:hAnsi="Times New Roman" w:eastAsia="仿宋_GB2312" w:cs="Times New Roman"/>
                <w:color w:val="000000"/>
                <w:kern w:val="0"/>
                <w:sz w:val="18"/>
                <w:szCs w:val="18"/>
                <w:highlight w:val="none"/>
              </w:rPr>
            </w:pPr>
          </w:p>
          <w:p w14:paraId="3F718FE6">
            <w:pPr>
              <w:spacing w:line="0" w:lineRule="atLeast"/>
              <w:jc w:val="center"/>
              <w:rPr>
                <w:rFonts w:hint="default" w:ascii="Times New Roman" w:hAnsi="Times New Roman" w:eastAsia="仿宋_GB2312" w:cs="Times New Roman"/>
                <w:color w:val="000000"/>
                <w:kern w:val="0"/>
                <w:sz w:val="18"/>
                <w:szCs w:val="18"/>
                <w:highlight w:val="none"/>
              </w:rPr>
            </w:pPr>
          </w:p>
          <w:p w14:paraId="6463A6CE">
            <w:pPr>
              <w:spacing w:line="0" w:lineRule="atLeast"/>
              <w:jc w:val="center"/>
              <w:rPr>
                <w:rFonts w:hint="default" w:ascii="Times New Roman" w:hAnsi="Times New Roman" w:eastAsia="仿宋_GB2312" w:cs="Times New Roman"/>
                <w:color w:val="000000"/>
                <w:kern w:val="0"/>
                <w:sz w:val="18"/>
                <w:szCs w:val="18"/>
                <w:highlight w:val="none"/>
              </w:rPr>
            </w:pPr>
          </w:p>
          <w:p w14:paraId="6300C255">
            <w:pPr>
              <w:spacing w:line="0" w:lineRule="atLeast"/>
              <w:jc w:val="center"/>
              <w:rPr>
                <w:rFonts w:hint="default" w:ascii="Times New Roman" w:hAnsi="Times New Roman" w:eastAsia="仿宋_GB2312" w:cs="Times New Roman"/>
                <w:color w:val="000000"/>
                <w:kern w:val="0"/>
                <w:sz w:val="18"/>
                <w:szCs w:val="18"/>
                <w:highlight w:val="none"/>
              </w:rPr>
            </w:pPr>
          </w:p>
          <w:p w14:paraId="2690FA90">
            <w:pPr>
              <w:spacing w:line="0" w:lineRule="atLeast"/>
              <w:jc w:val="center"/>
              <w:rPr>
                <w:rFonts w:hint="default" w:ascii="Times New Roman" w:hAnsi="Times New Roman" w:eastAsia="仿宋_GB2312" w:cs="Times New Roman"/>
                <w:color w:val="000000"/>
                <w:kern w:val="0"/>
                <w:sz w:val="18"/>
                <w:szCs w:val="18"/>
                <w:highlight w:val="none"/>
              </w:rPr>
            </w:pPr>
          </w:p>
          <w:p w14:paraId="395BFCB8">
            <w:pPr>
              <w:spacing w:line="0" w:lineRule="atLeast"/>
              <w:jc w:val="center"/>
              <w:rPr>
                <w:rFonts w:hint="default" w:ascii="Times New Roman" w:hAnsi="Times New Roman" w:eastAsia="仿宋_GB2312" w:cs="Times New Roman"/>
                <w:color w:val="000000"/>
                <w:kern w:val="0"/>
                <w:sz w:val="18"/>
                <w:szCs w:val="18"/>
                <w:highlight w:val="none"/>
              </w:rPr>
            </w:pPr>
          </w:p>
          <w:p w14:paraId="1DF3B596">
            <w:pPr>
              <w:spacing w:line="0" w:lineRule="atLeast"/>
              <w:jc w:val="center"/>
              <w:rPr>
                <w:rFonts w:hint="default" w:ascii="Times New Roman" w:hAnsi="Times New Roman" w:eastAsia="仿宋_GB2312" w:cs="Times New Roman"/>
                <w:color w:val="000000"/>
                <w:kern w:val="0"/>
                <w:sz w:val="18"/>
                <w:szCs w:val="18"/>
                <w:highlight w:val="none"/>
              </w:rPr>
            </w:pPr>
          </w:p>
          <w:p w14:paraId="458E3AFA">
            <w:pPr>
              <w:spacing w:line="0" w:lineRule="atLeast"/>
              <w:jc w:val="center"/>
              <w:rPr>
                <w:rFonts w:hint="default" w:ascii="Times New Roman" w:hAnsi="Times New Roman" w:eastAsia="仿宋_GB2312" w:cs="Times New Roman"/>
                <w:color w:val="000000"/>
                <w:kern w:val="0"/>
                <w:sz w:val="18"/>
                <w:szCs w:val="18"/>
                <w:highlight w:val="none"/>
              </w:rPr>
            </w:pPr>
          </w:p>
          <w:p w14:paraId="1A5B6631">
            <w:pPr>
              <w:spacing w:line="0" w:lineRule="atLeast"/>
              <w:jc w:val="center"/>
              <w:rPr>
                <w:rFonts w:hint="default" w:ascii="Times New Roman" w:hAnsi="Times New Roman" w:eastAsia="仿宋_GB2312" w:cs="Times New Roman"/>
                <w:color w:val="000000"/>
                <w:kern w:val="0"/>
                <w:sz w:val="18"/>
                <w:szCs w:val="18"/>
                <w:highlight w:val="none"/>
              </w:rPr>
            </w:pPr>
          </w:p>
          <w:p w14:paraId="436C66EE">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0E13BF2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04E55BA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4670D85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14:paraId="5ED00CB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5AB5817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2D1AD8C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0749798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23B6E27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56A86E7E">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62234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3E5FCFEA">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704F8DCF">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EC1D08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14:paraId="2F86CA48">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0A4317B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4485F38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0D39CBB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3.99</w:t>
            </w:r>
          </w:p>
        </w:tc>
      </w:tr>
      <w:tr w14:paraId="77CF68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6FABC7F4">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15DA78E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0931F75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17E52CB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14:paraId="1C542E5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0C2EA40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14:paraId="507BE4DA">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c>
          <w:tcPr>
            <w:tcW w:w="1365" w:type="dxa"/>
            <w:shd w:val="clear" w:color="000000" w:fill="FFFFFF"/>
            <w:vAlign w:val="center"/>
          </w:tcPr>
          <w:p w14:paraId="0BB9E83E">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14:paraId="66F10B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54E6F9F4">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0919BB5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2ED736AE">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5487BD0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30978FF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14:paraId="2194B95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7FD0346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14:paraId="4C859C2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170E2708">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360963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30880C11">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D9E2E4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85FAA3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376C87B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14:paraId="0B52481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4D7549A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14:paraId="47961D3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219DAB3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14:paraId="68AF50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6539776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3D19D8D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000C150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14:paraId="6144A42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7990065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0DECD19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113B182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3AB8F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6CDF589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50E8986">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299491F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14:paraId="7049014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3AED14F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4500C77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32F7FD35">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c>
          <w:tcPr>
            <w:tcW w:w="1365" w:type="dxa"/>
            <w:shd w:val="clear" w:color="000000" w:fill="FFFFFF"/>
            <w:vAlign w:val="center"/>
          </w:tcPr>
          <w:p w14:paraId="02C6ECF6">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D3526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6D36B3AF">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15EAF68C">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11F3D4C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14:paraId="210FA6F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324A453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60791F7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700B28A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7EAAD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2D1062D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2B05034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52AAD9E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693FCC2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05B46CE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6E1F185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510D87D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574267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44CA012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6C65A89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5C0D9E2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055A526B">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48875D8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1A8E714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14:paraId="4AEC153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EC0ED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0C679318">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B5EC35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EC4139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0E7C3C3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66980B8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0F2245A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3E6429FB">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F7F8B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3B12AA15">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664D877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1BF44CD8">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99.99</w:t>
            </w:r>
          </w:p>
        </w:tc>
      </w:tr>
    </w:tbl>
    <w:p w14:paraId="3BFB54BF">
      <w:pPr>
        <w:rPr>
          <w:rFonts w:hint="default" w:ascii="Times New Roman" w:hAnsi="Times New Roman" w:cs="Times New Roman"/>
          <w:highlight w:val="none"/>
        </w:rPr>
        <w:sectPr>
          <w:footerReference r:id="rId3" w:type="default"/>
          <w:pgSz w:w="11906" w:h="16838"/>
          <w:pgMar w:top="2344" w:right="1608" w:bottom="1474" w:left="1478" w:header="851" w:footer="992" w:gutter="0"/>
          <w:cols w:space="425" w:num="1"/>
          <w:docGrid w:type="lines" w:linePitch="312" w:charSpace="0"/>
        </w:sectPr>
      </w:pPr>
    </w:p>
    <w:p w14:paraId="6AE3CCC2">
      <w:pPr>
        <w:spacing w:line="600" w:lineRule="exact"/>
        <w:rPr>
          <w:rFonts w:hint="eastAsia" w:eastAsia="黑体" w:cs="Times New Roman"/>
          <w:sz w:val="28"/>
          <w:szCs w:val="28"/>
          <w:highlight w:val="none"/>
          <w:lang w:val="en-US" w:eastAsia="zh-CN"/>
        </w:rPr>
      </w:pPr>
      <w:r>
        <w:rPr>
          <w:rFonts w:hint="eastAsia" w:ascii="Times New Roman" w:hAnsi="Times New Roman" w:eastAsia="黑体" w:cs="Times New Roman"/>
          <w:sz w:val="28"/>
          <w:szCs w:val="28"/>
          <w:highlight w:val="none"/>
          <w:lang w:val="en-US" w:eastAsia="zh-CN"/>
        </w:rPr>
        <w:t>附件</w:t>
      </w:r>
      <w:r>
        <w:rPr>
          <w:rFonts w:hint="eastAsia" w:eastAsia="黑体" w:cs="Times New Roman"/>
          <w:sz w:val="28"/>
          <w:szCs w:val="28"/>
          <w:highlight w:val="none"/>
          <w:lang w:val="en-US" w:eastAsia="zh-CN"/>
        </w:rPr>
        <w:t>2</w:t>
      </w:r>
    </w:p>
    <w:p w14:paraId="75108A04">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r>
        <w:rPr>
          <w:rFonts w:hint="eastAsia" w:ascii="仿宋_GB2312" w:hAnsi="仿宋_GB2312" w:eastAsia="仿宋_GB2312" w:cs="仿宋_GB2312"/>
          <w:b/>
          <w:bCs/>
          <w:i w:val="0"/>
          <w:iCs w:val="0"/>
          <w:color w:val="000000"/>
          <w:kern w:val="0"/>
          <w:sz w:val="28"/>
          <w:szCs w:val="28"/>
          <w:highlight w:val="none"/>
          <w:u w:val="none"/>
          <w:lang w:val="en-US" w:eastAsia="zh-CN" w:bidi="ar"/>
        </w:rPr>
        <w:t>项目支出绩效自评表</w:t>
      </w:r>
      <w:r>
        <w:rPr>
          <w:rFonts w:hint="default" w:ascii="Times New Roman" w:hAnsi="Times New Roman" w:eastAsia="仿宋_GB2312" w:cs="Times New Roman"/>
          <w:b/>
          <w:bCs/>
          <w:i w:val="0"/>
          <w:iCs w:val="0"/>
          <w:color w:val="000000"/>
          <w:kern w:val="0"/>
          <w:sz w:val="22"/>
          <w:szCs w:val="22"/>
          <w:highlight w:val="none"/>
          <w:u w:val="none"/>
          <w:lang w:val="en-US" w:eastAsia="zh-CN" w:bidi="ar"/>
        </w:rPr>
        <w:t>（ 2024年度）</w:t>
      </w:r>
    </w:p>
    <w:tbl>
      <w:tblPr>
        <w:tblStyle w:val="14"/>
        <w:tblW w:w="1393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1"/>
        <w:gridCol w:w="1442"/>
        <w:gridCol w:w="1536"/>
        <w:gridCol w:w="526"/>
        <w:gridCol w:w="2026"/>
        <w:gridCol w:w="172"/>
        <w:gridCol w:w="1896"/>
        <w:gridCol w:w="1048"/>
        <w:gridCol w:w="376"/>
        <w:gridCol w:w="474"/>
        <w:gridCol w:w="424"/>
        <w:gridCol w:w="519"/>
        <w:gridCol w:w="448"/>
        <w:gridCol w:w="2411"/>
      </w:tblGrid>
      <w:tr w14:paraId="13E0D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F452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85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1B15C4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奇财预[2024]24号昌州财教[2023]84号 关于提前下达中央、县级2024年博物馆纪念馆免费开放补助资金预算的通知</w:t>
            </w:r>
          </w:p>
        </w:tc>
      </w:tr>
      <w:tr w14:paraId="66121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0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5214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615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5ADB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奇台县文化体育广播电视和旅游局</w:t>
            </w:r>
          </w:p>
        </w:tc>
        <w:tc>
          <w:tcPr>
            <w:tcW w:w="1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F3BE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276"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D09F9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奇台县文化体育广播电视和旅游局</w:t>
            </w:r>
          </w:p>
        </w:tc>
      </w:tr>
      <w:tr w14:paraId="42D15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08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9BEC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8B2758">
            <w:pPr>
              <w:jc w:val="center"/>
              <w:rPr>
                <w:rFonts w:hint="eastAsia" w:ascii="宋体" w:hAnsi="宋体" w:eastAsia="宋体" w:cs="宋体"/>
                <w:i w:val="0"/>
                <w:iCs w:val="0"/>
                <w:color w:val="000000"/>
                <w:sz w:val="20"/>
                <w:szCs w:val="20"/>
                <w:u w:val="none"/>
              </w:rPr>
            </w:pP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03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3368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1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1AEF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BCFD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98B3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24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2FB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2BAC8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08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F8688">
            <w:pPr>
              <w:jc w:val="center"/>
              <w:rPr>
                <w:rFonts w:hint="eastAsia" w:ascii="宋体" w:hAnsi="宋体" w:eastAsia="宋体" w:cs="宋体"/>
                <w:i w:val="0"/>
                <w:iCs w:val="0"/>
                <w:color w:val="000000"/>
                <w:sz w:val="20"/>
                <w:szCs w:val="20"/>
                <w:u w:val="none"/>
              </w:rPr>
            </w:pPr>
          </w:p>
        </w:tc>
        <w:tc>
          <w:tcPr>
            <w:tcW w:w="2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16D3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AAA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62.50</w:t>
            </w:r>
          </w:p>
        </w:tc>
        <w:tc>
          <w:tcPr>
            <w:tcW w:w="2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A0F9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62.50</w:t>
            </w:r>
          </w:p>
        </w:tc>
        <w:tc>
          <w:tcPr>
            <w:tcW w:w="1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147D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62.47</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03E5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5FF7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99.95%</w:t>
            </w:r>
          </w:p>
        </w:tc>
        <w:tc>
          <w:tcPr>
            <w:tcW w:w="24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419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r>
      <w:tr w14:paraId="573AE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08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BB791A">
            <w:pPr>
              <w:jc w:val="center"/>
              <w:rPr>
                <w:rFonts w:hint="eastAsia" w:ascii="宋体" w:hAnsi="宋体" w:eastAsia="宋体" w:cs="宋体"/>
                <w:i w:val="0"/>
                <w:iCs w:val="0"/>
                <w:color w:val="000000"/>
                <w:sz w:val="20"/>
                <w:szCs w:val="20"/>
                <w:u w:val="none"/>
              </w:rPr>
            </w:pPr>
          </w:p>
        </w:tc>
        <w:tc>
          <w:tcPr>
            <w:tcW w:w="2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6C1C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878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62.5</w:t>
            </w:r>
          </w:p>
        </w:tc>
        <w:tc>
          <w:tcPr>
            <w:tcW w:w="2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4F55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62.5</w:t>
            </w:r>
          </w:p>
        </w:tc>
        <w:tc>
          <w:tcPr>
            <w:tcW w:w="1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5638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62.47</w:t>
            </w: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22E2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7951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4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646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654F9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08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34EA0E">
            <w:pPr>
              <w:jc w:val="center"/>
              <w:rPr>
                <w:rFonts w:hint="eastAsia" w:ascii="宋体" w:hAnsi="宋体" w:eastAsia="宋体" w:cs="宋体"/>
                <w:i w:val="0"/>
                <w:iCs w:val="0"/>
                <w:color w:val="000000"/>
                <w:sz w:val="20"/>
                <w:szCs w:val="20"/>
                <w:u w:val="none"/>
              </w:rPr>
            </w:pPr>
          </w:p>
        </w:tc>
        <w:tc>
          <w:tcPr>
            <w:tcW w:w="2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D54F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565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3E2C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E0B29A">
            <w:pPr>
              <w:jc w:val="center"/>
              <w:rPr>
                <w:rFonts w:hint="eastAsia" w:ascii="宋体" w:hAnsi="宋体" w:eastAsia="宋体" w:cs="宋体"/>
                <w:i w:val="0"/>
                <w:iCs w:val="0"/>
                <w:color w:val="000000"/>
                <w:sz w:val="20"/>
                <w:szCs w:val="20"/>
                <w:u w:val="none"/>
              </w:rPr>
            </w:pP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C3A0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E425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4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4C7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67724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08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0DE70">
            <w:pPr>
              <w:jc w:val="center"/>
              <w:rPr>
                <w:rFonts w:hint="eastAsia" w:ascii="宋体" w:hAnsi="宋体" w:eastAsia="宋体" w:cs="宋体"/>
                <w:i w:val="0"/>
                <w:iCs w:val="0"/>
                <w:color w:val="000000"/>
                <w:sz w:val="20"/>
                <w:szCs w:val="20"/>
                <w:u w:val="none"/>
              </w:rPr>
            </w:pPr>
          </w:p>
        </w:tc>
        <w:tc>
          <w:tcPr>
            <w:tcW w:w="2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C948B0">
            <w:pPr>
              <w:jc w:val="center"/>
              <w:rPr>
                <w:rFonts w:hint="eastAsia" w:ascii="宋体" w:hAnsi="宋体" w:eastAsia="宋体" w:cs="宋体"/>
                <w:i w:val="0"/>
                <w:iCs w:val="0"/>
                <w:color w:val="000000"/>
                <w:sz w:val="20"/>
                <w:szCs w:val="20"/>
                <w:u w:val="none"/>
              </w:rPr>
            </w:pPr>
          </w:p>
        </w:tc>
        <w:tc>
          <w:tcPr>
            <w:tcW w:w="20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215EA">
            <w:pPr>
              <w:jc w:val="center"/>
              <w:rPr>
                <w:rFonts w:hint="eastAsia" w:ascii="宋体" w:hAnsi="宋体" w:eastAsia="宋体" w:cs="宋体"/>
                <w:i w:val="0"/>
                <w:iCs w:val="0"/>
                <w:color w:val="000000"/>
                <w:sz w:val="20"/>
                <w:szCs w:val="20"/>
                <w:u w:val="none"/>
              </w:rPr>
            </w:pPr>
          </w:p>
        </w:tc>
        <w:tc>
          <w:tcPr>
            <w:tcW w:w="20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B01E75">
            <w:pPr>
              <w:jc w:val="center"/>
              <w:rPr>
                <w:rFonts w:hint="eastAsia" w:ascii="宋体" w:hAnsi="宋体" w:eastAsia="宋体" w:cs="宋体"/>
                <w:i w:val="0"/>
                <w:iCs w:val="0"/>
                <w:color w:val="000000"/>
                <w:sz w:val="20"/>
                <w:szCs w:val="20"/>
                <w:u w:val="none"/>
              </w:rPr>
            </w:pPr>
          </w:p>
        </w:tc>
        <w:tc>
          <w:tcPr>
            <w:tcW w:w="14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C40059">
            <w:pPr>
              <w:jc w:val="center"/>
              <w:rPr>
                <w:rFonts w:hint="eastAsia" w:ascii="宋体" w:hAnsi="宋体" w:eastAsia="宋体" w:cs="宋体"/>
                <w:i w:val="0"/>
                <w:iCs w:val="0"/>
                <w:color w:val="000000"/>
                <w:sz w:val="20"/>
                <w:szCs w:val="20"/>
                <w:u w:val="none"/>
              </w:rPr>
            </w:pPr>
          </w:p>
        </w:tc>
        <w:tc>
          <w:tcPr>
            <w:tcW w:w="8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D34C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96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8BAB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24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2EB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4DAE5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0402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759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858E6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57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135B19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0F42A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82"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3A1D85">
            <w:pPr>
              <w:jc w:val="center"/>
              <w:rPr>
                <w:rFonts w:hint="eastAsia" w:ascii="宋体" w:hAnsi="宋体" w:eastAsia="宋体" w:cs="宋体"/>
                <w:i w:val="0"/>
                <w:iCs w:val="0"/>
                <w:color w:val="000000"/>
                <w:sz w:val="20"/>
                <w:szCs w:val="20"/>
                <w:u w:val="none"/>
              </w:rPr>
            </w:pPr>
          </w:p>
        </w:tc>
        <w:tc>
          <w:tcPr>
            <w:tcW w:w="7598"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6C694C50">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该项目预算投入资金62.5万元，主要用于博物馆开展日常免费开放服务、流动博物馆展览等，开展流动博物馆场次30场次，安排经费的博物馆个数1个，场馆设备有效利用率达到90%，面向基层群众开展文化宣传惠民活动。充分发挥博物馆在提高群众鉴赏能力、提高各族群众思想道德和科学文化素质的作用，不断强化文物的实证史证作用和宣传教育功能，不断弘扬传承优秀传统文化，大力培育社会主义社心价值观，有效保障各族群众精神文化需要，促进社会和谐稳定。</w:t>
            </w:r>
          </w:p>
        </w:tc>
        <w:tc>
          <w:tcPr>
            <w:tcW w:w="570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2C946399">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2024年，该项目共计支付资金62.4665万元，今年开展流动博物馆场次41场次，安排经费的博物馆个数1个，场馆设备有效利用率达到90%，面向基层群众开展文化宣传惠民活动。</w:t>
            </w:r>
          </w:p>
        </w:tc>
      </w:tr>
      <w:tr w14:paraId="69C1E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C29724">
            <w:pPr>
              <w:jc w:val="center"/>
              <w:rPr>
                <w:rFonts w:hint="eastAsia" w:ascii="宋体" w:hAnsi="宋体" w:eastAsia="宋体" w:cs="宋体"/>
                <w:i w:val="0"/>
                <w:iCs w:val="0"/>
                <w:color w:val="000000"/>
                <w:sz w:val="20"/>
                <w:szCs w:val="20"/>
                <w:u w:val="none"/>
              </w:rPr>
            </w:pPr>
          </w:p>
        </w:tc>
        <w:tc>
          <w:tcPr>
            <w:tcW w:w="14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D1F3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5E4B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72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7FA5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43F6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0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2941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8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AF3A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9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B3B8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285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51CC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22357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8"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CCEDB">
            <w:pPr>
              <w:jc w:val="center"/>
              <w:rPr>
                <w:rFonts w:hint="eastAsia" w:ascii="宋体" w:hAnsi="宋体" w:eastAsia="宋体" w:cs="宋体"/>
                <w:i w:val="0"/>
                <w:iCs w:val="0"/>
                <w:color w:val="000000"/>
                <w:sz w:val="20"/>
                <w:szCs w:val="20"/>
                <w:u w:val="none"/>
              </w:rPr>
            </w:pPr>
          </w:p>
        </w:tc>
        <w:tc>
          <w:tcPr>
            <w:tcW w:w="1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5CCE2">
            <w:pPr>
              <w:jc w:val="center"/>
              <w:rPr>
                <w:rFonts w:hint="eastAsia" w:ascii="宋体" w:hAnsi="宋体" w:eastAsia="宋体" w:cs="宋体"/>
                <w:i w:val="0"/>
                <w:iCs w:val="0"/>
                <w:color w:val="000000"/>
                <w:sz w:val="20"/>
                <w:szCs w:val="20"/>
                <w:u w:val="none"/>
              </w:rPr>
            </w:pPr>
          </w:p>
        </w:tc>
        <w:tc>
          <w:tcPr>
            <w:tcW w:w="1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41346">
            <w:pPr>
              <w:jc w:val="center"/>
              <w:rPr>
                <w:rFonts w:hint="eastAsia" w:ascii="宋体" w:hAnsi="宋体" w:eastAsia="宋体" w:cs="宋体"/>
                <w:i w:val="0"/>
                <w:iCs w:val="0"/>
                <w:color w:val="000000"/>
                <w:sz w:val="20"/>
                <w:szCs w:val="20"/>
                <w:u w:val="none"/>
              </w:rPr>
            </w:pPr>
          </w:p>
        </w:tc>
        <w:tc>
          <w:tcPr>
            <w:tcW w:w="272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14A14B">
            <w:pPr>
              <w:jc w:val="center"/>
              <w:rPr>
                <w:rFonts w:hint="eastAsia" w:ascii="宋体" w:hAnsi="宋体" w:eastAsia="宋体" w:cs="宋体"/>
                <w:i w:val="0"/>
                <w:iCs w:val="0"/>
                <w:color w:val="000000"/>
                <w:sz w:val="20"/>
                <w:szCs w:val="20"/>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76D6E">
            <w:pPr>
              <w:jc w:val="center"/>
              <w:rPr>
                <w:rFonts w:hint="eastAsia" w:ascii="宋体" w:hAnsi="宋体" w:eastAsia="宋体" w:cs="宋体"/>
                <w:i w:val="0"/>
                <w:iCs w:val="0"/>
                <w:color w:val="000000"/>
                <w:sz w:val="20"/>
                <w:szCs w:val="20"/>
                <w:u w:val="none"/>
              </w:rPr>
            </w:pPr>
          </w:p>
        </w:tc>
        <w:tc>
          <w:tcPr>
            <w:tcW w:w="10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0C7611">
            <w:pPr>
              <w:jc w:val="center"/>
              <w:rPr>
                <w:rFonts w:hint="eastAsia" w:ascii="宋体" w:hAnsi="宋体" w:eastAsia="宋体" w:cs="宋体"/>
                <w:i w:val="0"/>
                <w:iCs w:val="0"/>
                <w:color w:val="000000"/>
                <w:sz w:val="20"/>
                <w:szCs w:val="20"/>
                <w:u w:val="none"/>
              </w:rPr>
            </w:pPr>
          </w:p>
        </w:tc>
        <w:tc>
          <w:tcPr>
            <w:tcW w:w="8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42389">
            <w:pPr>
              <w:jc w:val="center"/>
              <w:rPr>
                <w:rFonts w:hint="eastAsia" w:ascii="宋体" w:hAnsi="宋体" w:eastAsia="宋体" w:cs="宋体"/>
                <w:i w:val="0"/>
                <w:iCs w:val="0"/>
                <w:color w:val="000000"/>
                <w:sz w:val="20"/>
                <w:szCs w:val="20"/>
                <w:u w:val="none"/>
              </w:rPr>
            </w:pPr>
          </w:p>
        </w:tc>
        <w:tc>
          <w:tcPr>
            <w:tcW w:w="9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B2552">
            <w:pPr>
              <w:jc w:val="center"/>
              <w:rPr>
                <w:rFonts w:hint="eastAsia" w:ascii="宋体" w:hAnsi="宋体" w:eastAsia="宋体" w:cs="宋体"/>
                <w:i w:val="0"/>
                <w:iCs w:val="0"/>
                <w:color w:val="000000"/>
                <w:sz w:val="20"/>
                <w:szCs w:val="20"/>
                <w:u w:val="none"/>
              </w:rPr>
            </w:pPr>
          </w:p>
        </w:tc>
        <w:tc>
          <w:tcPr>
            <w:tcW w:w="285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1304D">
            <w:pPr>
              <w:jc w:val="center"/>
              <w:rPr>
                <w:rFonts w:hint="eastAsia" w:ascii="宋体" w:hAnsi="宋体" w:eastAsia="宋体" w:cs="宋体"/>
                <w:i w:val="0"/>
                <w:iCs w:val="0"/>
                <w:color w:val="000000"/>
                <w:sz w:val="20"/>
                <w:szCs w:val="20"/>
                <w:u w:val="none"/>
              </w:rPr>
            </w:pPr>
          </w:p>
        </w:tc>
      </w:tr>
      <w:tr w14:paraId="766FC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31CB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4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E716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A1B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E82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开展流动博物馆场次</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37D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&gt;=30场次</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BF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=41场次</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C4FA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3943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D9E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本年度积极开展流动展工作，超额完成设置目标。</w:t>
            </w:r>
          </w:p>
        </w:tc>
      </w:tr>
      <w:tr w14:paraId="1EF3D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27CA2">
            <w:pPr>
              <w:jc w:val="center"/>
              <w:rPr>
                <w:rFonts w:hint="eastAsia" w:ascii="宋体" w:hAnsi="宋体" w:eastAsia="宋体" w:cs="宋体"/>
                <w:i w:val="0"/>
                <w:iCs w:val="0"/>
                <w:color w:val="000000"/>
                <w:sz w:val="20"/>
                <w:szCs w:val="20"/>
                <w:u w:val="none"/>
              </w:rPr>
            </w:pPr>
          </w:p>
        </w:tc>
        <w:tc>
          <w:tcPr>
            <w:tcW w:w="1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0849A6">
            <w:pPr>
              <w:jc w:val="center"/>
              <w:rPr>
                <w:rFonts w:hint="eastAsia" w:ascii="宋体" w:hAnsi="宋体" w:eastAsia="宋体" w:cs="宋体"/>
                <w:i w:val="0"/>
                <w:iCs w:val="0"/>
                <w:color w:val="000000"/>
                <w:sz w:val="20"/>
                <w:szCs w:val="20"/>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2D5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FB6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安排经费的博物馆个数</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C07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918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=1个</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6849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3710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6EA4BA">
            <w:pPr>
              <w:jc w:val="center"/>
              <w:rPr>
                <w:rFonts w:hint="eastAsia" w:ascii="宋体" w:hAnsi="宋体" w:eastAsia="宋体" w:cs="宋体"/>
                <w:i w:val="0"/>
                <w:iCs w:val="0"/>
                <w:color w:val="000000"/>
                <w:sz w:val="20"/>
                <w:szCs w:val="20"/>
                <w:u w:val="none"/>
              </w:rPr>
            </w:pPr>
          </w:p>
        </w:tc>
      </w:tr>
      <w:tr w14:paraId="475A8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94838B">
            <w:pPr>
              <w:jc w:val="center"/>
              <w:rPr>
                <w:rFonts w:hint="eastAsia" w:ascii="宋体" w:hAnsi="宋体" w:eastAsia="宋体" w:cs="宋体"/>
                <w:i w:val="0"/>
                <w:iCs w:val="0"/>
                <w:color w:val="000000"/>
                <w:sz w:val="20"/>
                <w:szCs w:val="20"/>
                <w:u w:val="none"/>
              </w:rPr>
            </w:pPr>
          </w:p>
        </w:tc>
        <w:tc>
          <w:tcPr>
            <w:tcW w:w="1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86F6B">
            <w:pPr>
              <w:jc w:val="center"/>
              <w:rPr>
                <w:rFonts w:hint="eastAsia" w:ascii="宋体" w:hAnsi="宋体" w:eastAsia="宋体" w:cs="宋体"/>
                <w:i w:val="0"/>
                <w:iCs w:val="0"/>
                <w:color w:val="000000"/>
                <w:sz w:val="20"/>
                <w:szCs w:val="20"/>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CE1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1473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场馆设备有效利用率</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0C1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0DF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4955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56F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6DAC0F">
            <w:pPr>
              <w:jc w:val="center"/>
              <w:rPr>
                <w:rFonts w:hint="eastAsia" w:ascii="宋体" w:hAnsi="宋体" w:eastAsia="宋体" w:cs="宋体"/>
                <w:i w:val="0"/>
                <w:iCs w:val="0"/>
                <w:color w:val="000000"/>
                <w:sz w:val="20"/>
                <w:szCs w:val="20"/>
                <w:u w:val="none"/>
              </w:rPr>
            </w:pPr>
          </w:p>
        </w:tc>
      </w:tr>
      <w:tr w14:paraId="1E7B0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0D444">
            <w:pPr>
              <w:jc w:val="center"/>
              <w:rPr>
                <w:rFonts w:hint="eastAsia" w:ascii="宋体" w:hAnsi="宋体" w:eastAsia="宋体" w:cs="宋体"/>
                <w:i w:val="0"/>
                <w:iCs w:val="0"/>
                <w:color w:val="000000"/>
                <w:sz w:val="20"/>
                <w:szCs w:val="20"/>
                <w:u w:val="none"/>
              </w:rPr>
            </w:pPr>
          </w:p>
        </w:tc>
        <w:tc>
          <w:tcPr>
            <w:tcW w:w="1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7CD19">
            <w:pPr>
              <w:jc w:val="center"/>
              <w:rPr>
                <w:rFonts w:hint="eastAsia" w:ascii="宋体" w:hAnsi="宋体" w:eastAsia="宋体" w:cs="宋体"/>
                <w:i w:val="0"/>
                <w:iCs w:val="0"/>
                <w:color w:val="000000"/>
                <w:sz w:val="20"/>
                <w:szCs w:val="20"/>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782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A9C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免费开放绩效考评率</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0A9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0A1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E23D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3E8A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2EBA1C">
            <w:pPr>
              <w:jc w:val="center"/>
              <w:rPr>
                <w:rFonts w:hint="eastAsia" w:ascii="宋体" w:hAnsi="宋体" w:eastAsia="宋体" w:cs="宋体"/>
                <w:i w:val="0"/>
                <w:iCs w:val="0"/>
                <w:color w:val="000000"/>
                <w:sz w:val="20"/>
                <w:szCs w:val="20"/>
                <w:u w:val="none"/>
              </w:rPr>
            </w:pPr>
          </w:p>
        </w:tc>
      </w:tr>
      <w:tr w14:paraId="42DAE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F266F">
            <w:pPr>
              <w:jc w:val="center"/>
              <w:rPr>
                <w:rFonts w:hint="eastAsia" w:ascii="宋体" w:hAnsi="宋体" w:eastAsia="宋体" w:cs="宋体"/>
                <w:i w:val="0"/>
                <w:iCs w:val="0"/>
                <w:color w:val="000000"/>
                <w:sz w:val="20"/>
                <w:szCs w:val="20"/>
                <w:u w:val="none"/>
              </w:rPr>
            </w:pPr>
          </w:p>
        </w:tc>
        <w:tc>
          <w:tcPr>
            <w:tcW w:w="1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1262DF">
            <w:pPr>
              <w:jc w:val="center"/>
              <w:rPr>
                <w:rFonts w:hint="eastAsia" w:ascii="宋体" w:hAnsi="宋体" w:eastAsia="宋体" w:cs="宋体"/>
                <w:i w:val="0"/>
                <w:iCs w:val="0"/>
                <w:color w:val="000000"/>
                <w:sz w:val="20"/>
                <w:szCs w:val="20"/>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65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49C5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陈列展示水平</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959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390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EF55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1468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982FC8">
            <w:pPr>
              <w:jc w:val="center"/>
              <w:rPr>
                <w:rFonts w:hint="eastAsia" w:ascii="宋体" w:hAnsi="宋体" w:eastAsia="宋体" w:cs="宋体"/>
                <w:i w:val="0"/>
                <w:iCs w:val="0"/>
                <w:color w:val="000000"/>
                <w:sz w:val="20"/>
                <w:szCs w:val="20"/>
                <w:u w:val="none"/>
              </w:rPr>
            </w:pPr>
          </w:p>
        </w:tc>
      </w:tr>
      <w:tr w14:paraId="1A367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A8936C">
            <w:pPr>
              <w:jc w:val="center"/>
              <w:rPr>
                <w:rFonts w:hint="eastAsia" w:ascii="宋体" w:hAnsi="宋体" w:eastAsia="宋体" w:cs="宋体"/>
                <w:i w:val="0"/>
                <w:iCs w:val="0"/>
                <w:color w:val="000000"/>
                <w:sz w:val="20"/>
                <w:szCs w:val="20"/>
                <w:u w:val="none"/>
              </w:rPr>
            </w:pPr>
          </w:p>
        </w:tc>
        <w:tc>
          <w:tcPr>
            <w:tcW w:w="1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D2932">
            <w:pPr>
              <w:jc w:val="center"/>
              <w:rPr>
                <w:rFonts w:hint="eastAsia" w:ascii="宋体" w:hAnsi="宋体" w:eastAsia="宋体" w:cs="宋体"/>
                <w:i w:val="0"/>
                <w:iCs w:val="0"/>
                <w:color w:val="000000"/>
                <w:sz w:val="20"/>
                <w:szCs w:val="20"/>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5D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47D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社会教育服务水平</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E84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1F3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487E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2BD7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7DABE">
            <w:pPr>
              <w:jc w:val="center"/>
              <w:rPr>
                <w:rFonts w:hint="eastAsia" w:ascii="宋体" w:hAnsi="宋体" w:eastAsia="宋体" w:cs="宋体"/>
                <w:i w:val="0"/>
                <w:iCs w:val="0"/>
                <w:color w:val="000000"/>
                <w:sz w:val="20"/>
                <w:szCs w:val="20"/>
                <w:u w:val="none"/>
              </w:rPr>
            </w:pPr>
          </w:p>
        </w:tc>
      </w:tr>
      <w:tr w14:paraId="40383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18C01">
            <w:pPr>
              <w:jc w:val="center"/>
              <w:rPr>
                <w:rFonts w:hint="eastAsia" w:ascii="宋体" w:hAnsi="宋体" w:eastAsia="宋体" w:cs="宋体"/>
                <w:i w:val="0"/>
                <w:iCs w:val="0"/>
                <w:color w:val="000000"/>
                <w:sz w:val="20"/>
                <w:szCs w:val="20"/>
                <w:u w:val="none"/>
              </w:rPr>
            </w:pPr>
          </w:p>
        </w:tc>
        <w:tc>
          <w:tcPr>
            <w:tcW w:w="1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56824">
            <w:pPr>
              <w:jc w:val="center"/>
              <w:rPr>
                <w:rFonts w:hint="eastAsia" w:ascii="宋体" w:hAnsi="宋体" w:eastAsia="宋体" w:cs="宋体"/>
                <w:i w:val="0"/>
                <w:iCs w:val="0"/>
                <w:color w:val="000000"/>
                <w:sz w:val="20"/>
                <w:szCs w:val="20"/>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1E9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B1D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博物馆免费开放专项资金完成时间</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675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2024年12月31日</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042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=2024年12月31日</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2946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1C3D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B98623">
            <w:pPr>
              <w:jc w:val="center"/>
              <w:rPr>
                <w:rFonts w:hint="eastAsia" w:ascii="宋体" w:hAnsi="宋体" w:eastAsia="宋体" w:cs="宋体"/>
                <w:i w:val="0"/>
                <w:iCs w:val="0"/>
                <w:color w:val="000000"/>
                <w:sz w:val="20"/>
                <w:szCs w:val="20"/>
                <w:u w:val="none"/>
              </w:rPr>
            </w:pPr>
          </w:p>
        </w:tc>
      </w:tr>
      <w:tr w14:paraId="3D56F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C8FA3E">
            <w:pPr>
              <w:jc w:val="center"/>
              <w:rPr>
                <w:rFonts w:hint="eastAsia" w:ascii="宋体" w:hAnsi="宋体" w:eastAsia="宋体" w:cs="宋体"/>
                <w:i w:val="0"/>
                <w:iCs w:val="0"/>
                <w:color w:val="000000"/>
                <w:sz w:val="20"/>
                <w:szCs w:val="20"/>
                <w:u w:val="none"/>
              </w:rPr>
            </w:pPr>
          </w:p>
        </w:tc>
        <w:tc>
          <w:tcPr>
            <w:tcW w:w="14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B400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4B3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7276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博物馆免费开放专项资金</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90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=62.50万元</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31C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=62.47万元</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8A8C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1141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9.99</w:t>
            </w: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0892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本年度博物馆部分票据未开具，造成资金支付未能完成，下年度将提前谋划，积极提高资金支付率。</w:t>
            </w:r>
          </w:p>
        </w:tc>
      </w:tr>
      <w:tr w14:paraId="75864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4B71F">
            <w:pPr>
              <w:jc w:val="center"/>
              <w:rPr>
                <w:rFonts w:hint="eastAsia" w:ascii="宋体" w:hAnsi="宋体" w:eastAsia="宋体" w:cs="宋体"/>
                <w:i w:val="0"/>
                <w:iCs w:val="0"/>
                <w:color w:val="000000"/>
                <w:sz w:val="20"/>
                <w:szCs w:val="20"/>
                <w:u w:val="none"/>
              </w:rPr>
            </w:pPr>
          </w:p>
        </w:tc>
        <w:tc>
          <w:tcPr>
            <w:tcW w:w="1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644B9">
            <w:pPr>
              <w:jc w:val="center"/>
              <w:rPr>
                <w:rFonts w:hint="eastAsia" w:ascii="宋体" w:hAnsi="宋体" w:eastAsia="宋体" w:cs="宋体"/>
                <w:i w:val="0"/>
                <w:iCs w:val="0"/>
                <w:color w:val="000000"/>
                <w:sz w:val="20"/>
                <w:szCs w:val="20"/>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655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F0D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博物馆关免费开放资金到位率</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875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&lt;=98%</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614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=99.95%</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30A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B9B9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74F8B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本年度博物馆项目资金较往年有所提高，本次指标设置有偏差。</w:t>
            </w:r>
          </w:p>
        </w:tc>
      </w:tr>
      <w:tr w14:paraId="2E250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32361D">
            <w:pPr>
              <w:jc w:val="center"/>
              <w:rPr>
                <w:rFonts w:hint="eastAsia" w:ascii="宋体" w:hAnsi="宋体" w:eastAsia="宋体" w:cs="宋体"/>
                <w:i w:val="0"/>
                <w:iCs w:val="0"/>
                <w:color w:val="000000"/>
                <w:sz w:val="20"/>
                <w:szCs w:val="20"/>
                <w:u w:val="none"/>
              </w:rPr>
            </w:pPr>
          </w:p>
        </w:tc>
        <w:tc>
          <w:tcPr>
            <w:tcW w:w="1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BCCFC">
            <w:pPr>
              <w:jc w:val="center"/>
              <w:rPr>
                <w:rFonts w:hint="eastAsia" w:ascii="宋体" w:hAnsi="宋体" w:eastAsia="宋体" w:cs="宋体"/>
                <w:i w:val="0"/>
                <w:iCs w:val="0"/>
                <w:color w:val="000000"/>
                <w:sz w:val="20"/>
                <w:szCs w:val="20"/>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BAA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2268C">
            <w:pPr>
              <w:jc w:val="left"/>
              <w:rPr>
                <w:rFonts w:hint="eastAsia" w:ascii="宋体" w:hAnsi="宋体" w:eastAsia="宋体" w:cs="宋体"/>
                <w:i w:val="0"/>
                <w:iCs w:val="0"/>
                <w:color w:val="000000"/>
                <w:sz w:val="20"/>
                <w:szCs w:val="20"/>
                <w:u w:val="none"/>
              </w:rPr>
            </w:pP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77F79">
            <w:pPr>
              <w:jc w:val="center"/>
              <w:rPr>
                <w:rFonts w:hint="eastAsia" w:ascii="宋体" w:hAnsi="宋体" w:eastAsia="宋体" w:cs="宋体"/>
                <w:i w:val="0"/>
                <w:iCs w:val="0"/>
                <w:color w:val="000000"/>
                <w:sz w:val="20"/>
                <w:szCs w:val="20"/>
                <w:u w:val="none"/>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DC5FC">
            <w:pPr>
              <w:jc w:val="center"/>
              <w:rPr>
                <w:rFonts w:hint="eastAsia" w:ascii="宋体" w:hAnsi="宋体" w:eastAsia="宋体" w:cs="宋体"/>
                <w:i w:val="0"/>
                <w:iCs w:val="0"/>
                <w:color w:val="000000"/>
                <w:sz w:val="20"/>
                <w:szCs w:val="20"/>
                <w:u w:val="none"/>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187B42">
            <w:pPr>
              <w:jc w:val="center"/>
              <w:rPr>
                <w:rFonts w:hint="eastAsia" w:ascii="宋体" w:hAnsi="宋体" w:eastAsia="宋体" w:cs="宋体"/>
                <w:i w:val="0"/>
                <w:iCs w:val="0"/>
                <w:color w:val="000000"/>
                <w:sz w:val="20"/>
                <w:szCs w:val="20"/>
                <w:u w:val="none"/>
              </w:rPr>
            </w:pP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56BCB1">
            <w:pPr>
              <w:jc w:val="center"/>
              <w:rPr>
                <w:rFonts w:hint="eastAsia" w:ascii="宋体" w:hAnsi="宋体" w:eastAsia="宋体" w:cs="宋体"/>
                <w:i w:val="0"/>
                <w:iCs w:val="0"/>
                <w:color w:val="000000"/>
                <w:sz w:val="20"/>
                <w:szCs w:val="20"/>
                <w:u w:val="none"/>
              </w:rPr>
            </w:pP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D0C17B">
            <w:pPr>
              <w:jc w:val="center"/>
              <w:rPr>
                <w:rFonts w:hint="eastAsia" w:ascii="宋体" w:hAnsi="宋体" w:eastAsia="宋体" w:cs="宋体"/>
                <w:i w:val="0"/>
                <w:iCs w:val="0"/>
                <w:color w:val="000000"/>
                <w:sz w:val="20"/>
                <w:szCs w:val="20"/>
                <w:u w:val="none"/>
              </w:rPr>
            </w:pPr>
          </w:p>
        </w:tc>
      </w:tr>
      <w:tr w14:paraId="37F57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18E8D">
            <w:pPr>
              <w:jc w:val="center"/>
              <w:rPr>
                <w:rFonts w:hint="eastAsia" w:ascii="宋体" w:hAnsi="宋体" w:eastAsia="宋体" w:cs="宋体"/>
                <w:i w:val="0"/>
                <w:iCs w:val="0"/>
                <w:color w:val="000000"/>
                <w:sz w:val="20"/>
                <w:szCs w:val="20"/>
                <w:u w:val="none"/>
              </w:rPr>
            </w:pPr>
          </w:p>
        </w:tc>
        <w:tc>
          <w:tcPr>
            <w:tcW w:w="1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3B905">
            <w:pPr>
              <w:jc w:val="center"/>
              <w:rPr>
                <w:rFonts w:hint="eastAsia" w:ascii="宋体" w:hAnsi="宋体" w:eastAsia="宋体" w:cs="宋体"/>
                <w:i w:val="0"/>
                <w:iCs w:val="0"/>
                <w:color w:val="000000"/>
                <w:sz w:val="20"/>
                <w:szCs w:val="20"/>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DC7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C6ED6">
            <w:pPr>
              <w:jc w:val="left"/>
              <w:rPr>
                <w:rFonts w:hint="eastAsia" w:ascii="宋体" w:hAnsi="宋体" w:eastAsia="宋体" w:cs="宋体"/>
                <w:i w:val="0"/>
                <w:iCs w:val="0"/>
                <w:color w:val="000000"/>
                <w:sz w:val="20"/>
                <w:szCs w:val="20"/>
                <w:u w:val="none"/>
              </w:rPr>
            </w:pP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2DAB2">
            <w:pPr>
              <w:jc w:val="center"/>
              <w:rPr>
                <w:rFonts w:hint="eastAsia" w:ascii="宋体" w:hAnsi="宋体" w:eastAsia="宋体" w:cs="宋体"/>
                <w:i w:val="0"/>
                <w:iCs w:val="0"/>
                <w:color w:val="000000"/>
                <w:sz w:val="20"/>
                <w:szCs w:val="20"/>
                <w:u w:val="none"/>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01934">
            <w:pPr>
              <w:jc w:val="center"/>
              <w:rPr>
                <w:rFonts w:hint="eastAsia" w:ascii="宋体" w:hAnsi="宋体" w:eastAsia="宋体" w:cs="宋体"/>
                <w:i w:val="0"/>
                <w:iCs w:val="0"/>
                <w:color w:val="000000"/>
                <w:sz w:val="20"/>
                <w:szCs w:val="20"/>
                <w:u w:val="none"/>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5D7499">
            <w:pPr>
              <w:jc w:val="center"/>
              <w:rPr>
                <w:rFonts w:hint="eastAsia" w:ascii="宋体" w:hAnsi="宋体" w:eastAsia="宋体" w:cs="宋体"/>
                <w:i w:val="0"/>
                <w:iCs w:val="0"/>
                <w:color w:val="000000"/>
                <w:sz w:val="20"/>
                <w:szCs w:val="20"/>
                <w:u w:val="none"/>
              </w:rPr>
            </w:pP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0527D5">
            <w:pPr>
              <w:jc w:val="center"/>
              <w:rPr>
                <w:rFonts w:hint="eastAsia" w:ascii="宋体" w:hAnsi="宋体" w:eastAsia="宋体" w:cs="宋体"/>
                <w:i w:val="0"/>
                <w:iCs w:val="0"/>
                <w:color w:val="000000"/>
                <w:sz w:val="20"/>
                <w:szCs w:val="20"/>
                <w:u w:val="none"/>
              </w:rPr>
            </w:pP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AA0495">
            <w:pPr>
              <w:jc w:val="center"/>
              <w:rPr>
                <w:rFonts w:hint="eastAsia" w:ascii="宋体" w:hAnsi="宋体" w:eastAsia="宋体" w:cs="宋体"/>
                <w:i w:val="0"/>
                <w:iCs w:val="0"/>
                <w:color w:val="000000"/>
                <w:sz w:val="20"/>
                <w:szCs w:val="20"/>
                <w:u w:val="none"/>
              </w:rPr>
            </w:pPr>
          </w:p>
        </w:tc>
      </w:tr>
      <w:tr w14:paraId="13493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932EA">
            <w:pPr>
              <w:jc w:val="center"/>
              <w:rPr>
                <w:rFonts w:hint="eastAsia" w:ascii="宋体" w:hAnsi="宋体" w:eastAsia="宋体" w:cs="宋体"/>
                <w:i w:val="0"/>
                <w:iCs w:val="0"/>
                <w:color w:val="000000"/>
                <w:sz w:val="20"/>
                <w:szCs w:val="20"/>
                <w:u w:val="none"/>
              </w:rPr>
            </w:pPr>
          </w:p>
        </w:tc>
        <w:tc>
          <w:tcPr>
            <w:tcW w:w="14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B21B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7F2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F0129">
            <w:pPr>
              <w:jc w:val="left"/>
              <w:rPr>
                <w:rFonts w:hint="eastAsia" w:ascii="宋体" w:hAnsi="宋体" w:eastAsia="宋体" w:cs="宋体"/>
                <w:i w:val="0"/>
                <w:iCs w:val="0"/>
                <w:color w:val="000000"/>
                <w:sz w:val="20"/>
                <w:szCs w:val="20"/>
                <w:u w:val="none"/>
              </w:rPr>
            </w:pP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1DD41">
            <w:pPr>
              <w:jc w:val="center"/>
              <w:rPr>
                <w:rFonts w:hint="eastAsia" w:ascii="宋体" w:hAnsi="宋体" w:eastAsia="宋体" w:cs="宋体"/>
                <w:i w:val="0"/>
                <w:iCs w:val="0"/>
                <w:color w:val="000000"/>
                <w:sz w:val="20"/>
                <w:szCs w:val="20"/>
                <w:u w:val="none"/>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2DCD8">
            <w:pPr>
              <w:jc w:val="center"/>
              <w:rPr>
                <w:rFonts w:hint="eastAsia" w:ascii="宋体" w:hAnsi="宋体" w:eastAsia="宋体" w:cs="宋体"/>
                <w:i w:val="0"/>
                <w:iCs w:val="0"/>
                <w:color w:val="000000"/>
                <w:sz w:val="20"/>
                <w:szCs w:val="20"/>
                <w:u w:val="none"/>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A938AE">
            <w:pPr>
              <w:jc w:val="center"/>
              <w:rPr>
                <w:rFonts w:hint="eastAsia" w:ascii="宋体" w:hAnsi="宋体" w:eastAsia="宋体" w:cs="宋体"/>
                <w:i w:val="0"/>
                <w:iCs w:val="0"/>
                <w:color w:val="000000"/>
                <w:sz w:val="20"/>
                <w:szCs w:val="20"/>
                <w:u w:val="none"/>
              </w:rPr>
            </w:pP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26A03">
            <w:pPr>
              <w:jc w:val="center"/>
              <w:rPr>
                <w:rFonts w:hint="eastAsia" w:ascii="宋体" w:hAnsi="宋体" w:eastAsia="宋体" w:cs="宋体"/>
                <w:i w:val="0"/>
                <w:iCs w:val="0"/>
                <w:color w:val="000000"/>
                <w:sz w:val="20"/>
                <w:szCs w:val="20"/>
                <w:u w:val="none"/>
              </w:rPr>
            </w:pP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F02C7F">
            <w:pPr>
              <w:jc w:val="center"/>
              <w:rPr>
                <w:rFonts w:hint="eastAsia" w:ascii="宋体" w:hAnsi="宋体" w:eastAsia="宋体" w:cs="宋体"/>
                <w:i w:val="0"/>
                <w:iCs w:val="0"/>
                <w:color w:val="000000"/>
                <w:sz w:val="20"/>
                <w:szCs w:val="20"/>
                <w:u w:val="none"/>
              </w:rPr>
            </w:pPr>
          </w:p>
        </w:tc>
      </w:tr>
      <w:tr w14:paraId="6E2A9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3FF42">
            <w:pPr>
              <w:jc w:val="center"/>
              <w:rPr>
                <w:rFonts w:hint="eastAsia" w:ascii="宋体" w:hAnsi="宋体" w:eastAsia="宋体" w:cs="宋体"/>
                <w:i w:val="0"/>
                <w:iCs w:val="0"/>
                <w:color w:val="000000"/>
                <w:sz w:val="20"/>
                <w:szCs w:val="20"/>
                <w:u w:val="none"/>
              </w:rPr>
            </w:pPr>
          </w:p>
        </w:tc>
        <w:tc>
          <w:tcPr>
            <w:tcW w:w="1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B0B8A">
            <w:pPr>
              <w:jc w:val="center"/>
              <w:rPr>
                <w:rFonts w:hint="eastAsia" w:ascii="宋体" w:hAnsi="宋体" w:eastAsia="宋体" w:cs="宋体"/>
                <w:i w:val="0"/>
                <w:iCs w:val="0"/>
                <w:color w:val="000000"/>
                <w:sz w:val="20"/>
                <w:szCs w:val="20"/>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B08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7BC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社会工作专业人才实训基地场地使用率（%）</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14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970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8EFD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402F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B4D93D">
            <w:pPr>
              <w:jc w:val="center"/>
              <w:rPr>
                <w:rFonts w:hint="eastAsia" w:ascii="宋体" w:hAnsi="宋体" w:eastAsia="宋体" w:cs="宋体"/>
                <w:i w:val="0"/>
                <w:iCs w:val="0"/>
                <w:color w:val="000000"/>
                <w:sz w:val="20"/>
                <w:szCs w:val="20"/>
                <w:u w:val="none"/>
              </w:rPr>
            </w:pPr>
          </w:p>
        </w:tc>
      </w:tr>
      <w:tr w14:paraId="765A9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8228D0">
            <w:pPr>
              <w:jc w:val="center"/>
              <w:rPr>
                <w:rFonts w:hint="eastAsia" w:ascii="宋体" w:hAnsi="宋体" w:eastAsia="宋体" w:cs="宋体"/>
                <w:i w:val="0"/>
                <w:iCs w:val="0"/>
                <w:color w:val="000000"/>
                <w:sz w:val="20"/>
                <w:szCs w:val="20"/>
                <w:u w:val="none"/>
              </w:rPr>
            </w:pPr>
          </w:p>
        </w:tc>
        <w:tc>
          <w:tcPr>
            <w:tcW w:w="1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6E5832">
            <w:pPr>
              <w:jc w:val="center"/>
              <w:rPr>
                <w:rFonts w:hint="eastAsia" w:ascii="宋体" w:hAnsi="宋体" w:eastAsia="宋体" w:cs="宋体"/>
                <w:i w:val="0"/>
                <w:iCs w:val="0"/>
                <w:color w:val="000000"/>
                <w:sz w:val="20"/>
                <w:szCs w:val="20"/>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90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6A3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不断弘扬传承优秀传统文化大力培育社会主义社心价值观</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440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DC9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有效提升</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FAEA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C1A1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9D82E9">
            <w:pPr>
              <w:jc w:val="center"/>
              <w:rPr>
                <w:rFonts w:hint="eastAsia" w:ascii="宋体" w:hAnsi="宋体" w:eastAsia="宋体" w:cs="宋体"/>
                <w:i w:val="0"/>
                <w:iCs w:val="0"/>
                <w:color w:val="000000"/>
                <w:sz w:val="20"/>
                <w:szCs w:val="20"/>
                <w:u w:val="none"/>
              </w:rPr>
            </w:pPr>
          </w:p>
        </w:tc>
      </w:tr>
      <w:tr w14:paraId="79D9F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11B89">
            <w:pPr>
              <w:jc w:val="center"/>
              <w:rPr>
                <w:rFonts w:hint="eastAsia" w:ascii="宋体" w:hAnsi="宋体" w:eastAsia="宋体" w:cs="宋体"/>
                <w:i w:val="0"/>
                <w:iCs w:val="0"/>
                <w:color w:val="000000"/>
                <w:sz w:val="20"/>
                <w:szCs w:val="20"/>
                <w:u w:val="none"/>
              </w:rPr>
            </w:pPr>
          </w:p>
        </w:tc>
        <w:tc>
          <w:tcPr>
            <w:tcW w:w="14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AF4DE">
            <w:pPr>
              <w:jc w:val="center"/>
              <w:rPr>
                <w:rFonts w:hint="eastAsia" w:ascii="宋体" w:hAnsi="宋体" w:eastAsia="宋体" w:cs="宋体"/>
                <w:i w:val="0"/>
                <w:iCs w:val="0"/>
                <w:color w:val="000000"/>
                <w:sz w:val="20"/>
                <w:szCs w:val="20"/>
                <w:u w:val="none"/>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405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5283A">
            <w:pPr>
              <w:jc w:val="left"/>
              <w:rPr>
                <w:rFonts w:hint="eastAsia" w:ascii="宋体" w:hAnsi="宋体" w:eastAsia="宋体" w:cs="宋体"/>
                <w:i w:val="0"/>
                <w:iCs w:val="0"/>
                <w:color w:val="000000"/>
                <w:sz w:val="20"/>
                <w:szCs w:val="20"/>
                <w:u w:val="none"/>
              </w:rPr>
            </w:pP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EB50A">
            <w:pPr>
              <w:jc w:val="center"/>
              <w:rPr>
                <w:rFonts w:hint="eastAsia" w:ascii="宋体" w:hAnsi="宋体" w:eastAsia="宋体" w:cs="宋体"/>
                <w:i w:val="0"/>
                <w:iCs w:val="0"/>
                <w:color w:val="000000"/>
                <w:sz w:val="20"/>
                <w:szCs w:val="20"/>
                <w:u w:val="none"/>
              </w:rPr>
            </w:pP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BF8A">
            <w:pPr>
              <w:jc w:val="center"/>
              <w:rPr>
                <w:rFonts w:hint="eastAsia" w:ascii="宋体" w:hAnsi="宋体" w:eastAsia="宋体" w:cs="宋体"/>
                <w:i w:val="0"/>
                <w:iCs w:val="0"/>
                <w:color w:val="000000"/>
                <w:sz w:val="20"/>
                <w:szCs w:val="20"/>
                <w:u w:val="none"/>
              </w:rPr>
            </w:pP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D67678">
            <w:pPr>
              <w:jc w:val="center"/>
              <w:rPr>
                <w:rFonts w:hint="eastAsia" w:ascii="宋体" w:hAnsi="宋体" w:eastAsia="宋体" w:cs="宋体"/>
                <w:i w:val="0"/>
                <w:iCs w:val="0"/>
                <w:color w:val="000000"/>
                <w:sz w:val="20"/>
                <w:szCs w:val="20"/>
                <w:u w:val="none"/>
              </w:rPr>
            </w:pP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373379">
            <w:pPr>
              <w:jc w:val="center"/>
              <w:rPr>
                <w:rFonts w:hint="eastAsia" w:ascii="宋体" w:hAnsi="宋体" w:eastAsia="宋体" w:cs="宋体"/>
                <w:i w:val="0"/>
                <w:iCs w:val="0"/>
                <w:color w:val="000000"/>
                <w:sz w:val="20"/>
                <w:szCs w:val="20"/>
                <w:u w:val="none"/>
              </w:rPr>
            </w:pP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ADFF84">
            <w:pPr>
              <w:jc w:val="center"/>
              <w:rPr>
                <w:rFonts w:hint="eastAsia" w:ascii="宋体" w:hAnsi="宋体" w:eastAsia="宋体" w:cs="宋体"/>
                <w:i w:val="0"/>
                <w:iCs w:val="0"/>
                <w:color w:val="000000"/>
                <w:sz w:val="20"/>
                <w:szCs w:val="20"/>
                <w:u w:val="none"/>
              </w:rPr>
            </w:pPr>
          </w:p>
        </w:tc>
      </w:tr>
      <w:tr w14:paraId="30E39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6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EFC595">
            <w:pPr>
              <w:jc w:val="center"/>
              <w:rPr>
                <w:rFonts w:hint="eastAsia" w:ascii="宋体" w:hAnsi="宋体" w:eastAsia="宋体" w:cs="宋体"/>
                <w:i w:val="0"/>
                <w:iCs w:val="0"/>
                <w:color w:val="000000"/>
                <w:sz w:val="20"/>
                <w:szCs w:val="20"/>
                <w:u w:val="none"/>
              </w:rPr>
            </w:pPr>
          </w:p>
        </w:tc>
        <w:tc>
          <w:tcPr>
            <w:tcW w:w="14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9CD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8D4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272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04D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社会公众对博物馆服务满意度</w:t>
            </w:r>
          </w:p>
        </w:tc>
        <w:tc>
          <w:tcPr>
            <w:tcW w:w="18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50F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10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88C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0971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CB54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28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9116DC">
            <w:pPr>
              <w:jc w:val="center"/>
              <w:rPr>
                <w:rFonts w:hint="eastAsia" w:ascii="宋体" w:hAnsi="宋体" w:eastAsia="宋体" w:cs="宋体"/>
                <w:i w:val="0"/>
                <w:iCs w:val="0"/>
                <w:color w:val="000000"/>
                <w:sz w:val="20"/>
                <w:szCs w:val="20"/>
                <w:u w:val="none"/>
              </w:rPr>
            </w:pPr>
          </w:p>
        </w:tc>
      </w:tr>
    </w:tbl>
    <w:p w14:paraId="38F270A1">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29BAB69">
        <w:pPr>
          <w:pStyle w:val="7"/>
          <w:jc w:val="center"/>
        </w:pPr>
        <w:r>
          <w:fldChar w:fldCharType="begin"/>
        </w:r>
        <w:r>
          <w:instrText xml:space="preserve">PAGE   \* MERGEFORMAT</w:instrText>
        </w:r>
        <w:r>
          <w:fldChar w:fldCharType="separate"/>
        </w:r>
        <w:r>
          <w:rPr>
            <w:lang w:val="zh-CN"/>
          </w:rPr>
          <w:t>13</w:t>
        </w:r>
        <w:r>
          <w:fldChar w:fldCharType="end"/>
        </w:r>
      </w:p>
    </w:sdtContent>
  </w:sdt>
  <w:p w14:paraId="24D5F134">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116B29BF"/>
    <w:multiLevelType w:val="singleLevel"/>
    <w:tmpl w:val="116B29BF"/>
    <w:lvl w:ilvl="0" w:tentative="0">
      <w:start w:val="3"/>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1A5591"/>
    <w:rsid w:val="07397B77"/>
    <w:rsid w:val="0AD007F3"/>
    <w:rsid w:val="0B832B83"/>
    <w:rsid w:val="0D082A6E"/>
    <w:rsid w:val="0E3C619F"/>
    <w:rsid w:val="0F6273CA"/>
    <w:rsid w:val="100F38EC"/>
    <w:rsid w:val="11170296"/>
    <w:rsid w:val="12C66037"/>
    <w:rsid w:val="12CD1ABC"/>
    <w:rsid w:val="1321181E"/>
    <w:rsid w:val="13471461"/>
    <w:rsid w:val="13B90F01"/>
    <w:rsid w:val="155E4C4D"/>
    <w:rsid w:val="181066D2"/>
    <w:rsid w:val="1C671E73"/>
    <w:rsid w:val="1D322C47"/>
    <w:rsid w:val="22290DFD"/>
    <w:rsid w:val="23616034"/>
    <w:rsid w:val="23696C97"/>
    <w:rsid w:val="24480FA2"/>
    <w:rsid w:val="250A6257"/>
    <w:rsid w:val="25227A45"/>
    <w:rsid w:val="26AC3A6A"/>
    <w:rsid w:val="2B9D7E25"/>
    <w:rsid w:val="2C7C7A3B"/>
    <w:rsid w:val="2F364819"/>
    <w:rsid w:val="2FD63906"/>
    <w:rsid w:val="37215DAE"/>
    <w:rsid w:val="38CA40DD"/>
    <w:rsid w:val="395F2B56"/>
    <w:rsid w:val="3B482032"/>
    <w:rsid w:val="3BBA0580"/>
    <w:rsid w:val="3BECE841"/>
    <w:rsid w:val="3CDE204C"/>
    <w:rsid w:val="3D363C36"/>
    <w:rsid w:val="3E9C3F6D"/>
    <w:rsid w:val="3FF7797D"/>
    <w:rsid w:val="42F16CBA"/>
    <w:rsid w:val="46690BD8"/>
    <w:rsid w:val="49F70BF1"/>
    <w:rsid w:val="4B4340EE"/>
    <w:rsid w:val="503D507A"/>
    <w:rsid w:val="51FA74D0"/>
    <w:rsid w:val="52AA4A52"/>
    <w:rsid w:val="539D3AD1"/>
    <w:rsid w:val="59943D66"/>
    <w:rsid w:val="59E051FD"/>
    <w:rsid w:val="59E6355E"/>
    <w:rsid w:val="5B821531"/>
    <w:rsid w:val="5BFF6039"/>
    <w:rsid w:val="5D76A616"/>
    <w:rsid w:val="5D7F20B9"/>
    <w:rsid w:val="5DAC7D0E"/>
    <w:rsid w:val="5F98B5AF"/>
    <w:rsid w:val="5FA41B40"/>
    <w:rsid w:val="5FFE8511"/>
    <w:rsid w:val="5FFEACE2"/>
    <w:rsid w:val="609D5BF6"/>
    <w:rsid w:val="61073070"/>
    <w:rsid w:val="61B9080E"/>
    <w:rsid w:val="61DF3FED"/>
    <w:rsid w:val="62606CE8"/>
    <w:rsid w:val="642B176B"/>
    <w:rsid w:val="643EE26D"/>
    <w:rsid w:val="656019A0"/>
    <w:rsid w:val="65F242EE"/>
    <w:rsid w:val="666D7E19"/>
    <w:rsid w:val="68376930"/>
    <w:rsid w:val="68F91E38"/>
    <w:rsid w:val="6B3158B9"/>
    <w:rsid w:val="6BA02A3F"/>
    <w:rsid w:val="6BDA66D0"/>
    <w:rsid w:val="6C105349"/>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818</Words>
  <Characters>917</Characters>
  <Lines>58</Lines>
  <Paragraphs>16</Paragraphs>
  <TotalTime>28</TotalTime>
  <ScaleCrop>false</ScaleCrop>
  <LinksUpToDate>false</LinksUpToDate>
  <CharactersWithSpaces>921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2025-05-09T09:48:37Z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BBB8E55C7FA14A5F8F57DD482A1B6B64_13</vt:lpwstr>
  </property>
  <property fmtid="{D5CDD505-2E9C-101B-9397-08002B2CF9AE}" pid="4" name="KSOTemplateDocerSaveRecord">
    <vt:lpwstr>eyJoZGlkIjoiZGU2OWVkNjVhNTc2NTNjNjZhOGJlZWQ2NTc3Njc5NGQiLCJ1c2VySWQiOiIzODQzMzMyOTcifQ==</vt:lpwstr>
  </property>
</Properties>
</file>