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A2C99">
      <w:pPr>
        <w:spacing w:after="0" w:line="240" w:lineRule="auto"/>
        <w:rPr>
          <w:rFonts w:hint="eastAsia" w:ascii="宋体" w:eastAsia="宋体"/>
          <w:sz w:val="32"/>
          <w:szCs w:val="32"/>
        </w:rPr>
      </w:pPr>
    </w:p>
    <w:p w14:paraId="225DD136">
      <w:pPr>
        <w:spacing w:after="0" w:line="240" w:lineRule="auto"/>
        <w:rPr>
          <w:rFonts w:hint="eastAsia" w:ascii="宋体" w:eastAsia="宋体"/>
          <w:sz w:val="44"/>
          <w:szCs w:val="44"/>
        </w:rPr>
      </w:pPr>
    </w:p>
    <w:p w14:paraId="042FC030">
      <w:pPr>
        <w:spacing w:after="0" w:line="240" w:lineRule="auto"/>
        <w:rPr>
          <w:rFonts w:hint="eastAsia" w:ascii="宋体" w:eastAsia="宋体"/>
          <w:sz w:val="44"/>
          <w:szCs w:val="44"/>
        </w:rPr>
      </w:pPr>
    </w:p>
    <w:p w14:paraId="36ECB46D">
      <w:pPr>
        <w:spacing w:after="0" w:line="240" w:lineRule="auto"/>
        <w:rPr>
          <w:rFonts w:hint="eastAsia" w:ascii="宋体" w:eastAsia="宋体"/>
          <w:sz w:val="44"/>
          <w:szCs w:val="44"/>
        </w:rPr>
      </w:pPr>
    </w:p>
    <w:p w14:paraId="31D27BE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奇台县技工学校</w:t>
      </w:r>
    </w:p>
    <w:p w14:paraId="72E869F7">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9361E24">
      <w:pPr>
        <w:rPr>
          <w:rFonts w:hint="eastAsia"/>
          <w:lang w:eastAsia="zh-CN"/>
        </w:rPr>
      </w:pPr>
      <w:r>
        <w:rPr>
          <w:sz w:val="0"/>
          <w:szCs w:val="0"/>
          <w:lang w:eastAsia="zh-CN"/>
        </w:rPr>
        <w:br w:type="page"/>
      </w:r>
    </w:p>
    <w:p w14:paraId="0C2F3D33">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B4B732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88D0C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6370D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91C931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284464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62C6C5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E8994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F1D1A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A96AD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18C06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3D51E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20E31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59CF2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11805C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1A1D4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87215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BAA4A0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7EE6E6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B1476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B04E87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6570F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350014C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5F2A802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7C82E17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441033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C91A2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3A02DB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1AACF88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8C814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ECC7BC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5B504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C6F8F0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ECF638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152AE7CD">
      <w:pPr>
        <w:rPr>
          <w:rFonts w:hint="eastAsia"/>
          <w:lang w:eastAsia="zh-CN"/>
        </w:rPr>
      </w:pPr>
      <w:r>
        <w:rPr>
          <w:sz w:val="0"/>
          <w:szCs w:val="0"/>
          <w:lang w:eastAsia="zh-CN"/>
        </w:rPr>
        <w:br w:type="page"/>
      </w:r>
    </w:p>
    <w:p w14:paraId="2A0B533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F83C06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C798A2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奇台县技工学校隶属于奇台县人力资源和社会保障局，系公益一类事业单位，是一所面向社会，培养高素质劳动者和技术技能人才的公办职业培训学校。培训对象主要针对农村劳动力、城镇失业未就业人员。学校坚持把职业技能教育作为培育新型农民、培养技能人才、推动乡村振兴和产业发展的重要抓手，立足县域实际、创新培训方式、强化培训实效，本着为广大城乡劳动力服务的宗旨，以就业为导向，根据市场需求，通过经常性走访各行业部门、企业等用工单位，收集梳理用工信息。</w:t>
      </w:r>
    </w:p>
    <w:p w14:paraId="6DB51C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807FF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奇台县技工学校2024年度，实有人数9人，其中：在职人员9人，减少1人；离休人员0人，较上年无变化；退休人员0人，较上年无变化</w:t>
      </w:r>
      <w:r>
        <w:rPr>
          <w:rFonts w:hint="eastAsia" w:ascii="仿宋_GB2312" w:eastAsia="仿宋_GB2312"/>
          <w:sz w:val="32"/>
          <w:szCs w:val="32"/>
          <w:lang w:eastAsia="zh-CN"/>
        </w:rPr>
        <w:t>。</w:t>
      </w:r>
    </w:p>
    <w:p w14:paraId="45E6D6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奇台县技工学校无下属预算单位，下设</w:t>
      </w:r>
      <w:r>
        <w:rPr>
          <w:rFonts w:hint="eastAsia" w:ascii="仿宋_GB2312" w:eastAsia="仿宋_GB2312"/>
          <w:sz w:val="32"/>
          <w:szCs w:val="32"/>
          <w:lang w:eastAsia="zh-CN"/>
        </w:rPr>
        <w:t>3</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hAnsi="宋体" w:eastAsia="仿宋_GB2312" w:cs="宋体"/>
          <w:sz w:val="32"/>
          <w:szCs w:val="32"/>
          <w:lang w:eastAsia="zh-CN"/>
        </w:rPr>
        <w:t>行政后勤办、教务教学办、招生就业办</w:t>
      </w:r>
      <w:r>
        <w:rPr>
          <w:rFonts w:ascii="仿宋_GB2312" w:eastAsia="仿宋_GB2312"/>
          <w:sz w:val="32"/>
          <w:szCs w:val="32"/>
          <w:lang w:eastAsia="zh-CN"/>
        </w:rPr>
        <w:t>。</w:t>
      </w:r>
    </w:p>
    <w:p w14:paraId="43C84E20">
      <w:pPr>
        <w:rPr>
          <w:rFonts w:hint="eastAsia"/>
          <w:lang w:eastAsia="zh-CN"/>
        </w:rPr>
      </w:pPr>
      <w:r>
        <w:rPr>
          <w:sz w:val="0"/>
          <w:szCs w:val="0"/>
          <w:lang w:eastAsia="zh-CN"/>
        </w:rPr>
        <w:br w:type="page"/>
      </w:r>
    </w:p>
    <w:p w14:paraId="7669F01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592BE98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4ABF9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2024年度收入总计172.22万元，其中：本年收入合计172.22万元，使用非财政拨款结余（含专用结余）0.00万元，年初结转和结余0.00万元。</w:t>
      </w:r>
    </w:p>
    <w:p w14:paraId="547F3DD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2024年度支出总计172.22万元，其中：本年支出合计172.22万元，结余分配0.00万元，年末结转和结余0.00万元。</w:t>
      </w:r>
    </w:p>
    <w:p w14:paraId="30746F8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收入支出总体与上年相比，减少25.14万元，下降12.74%，主要原因是：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w:t>
      </w:r>
    </w:p>
    <w:p w14:paraId="7DE80CC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A3FDE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本年收入172.22万元，其中：财政拨款收入172.22万元,占100.00%；上级补助收入0.00万元,占0.00%；事业收入0.00万元，占0.00%；经营收入0.00万元,占0.00%；附属单位上缴收入0.00万元，占0.00%；其他收入0.00万元，占0.00%。</w:t>
      </w:r>
    </w:p>
    <w:p w14:paraId="0F3960B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74141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本年支出172.22万元，其中：基本支出172.22万元，占100.00%；项目支出0.00万元，占0.00%；上缴上级支出0.00万元，占0.00%；经营支出0.00万元，占0.00%；对附属单位补助支出0.00万元，占0.00%。</w:t>
      </w:r>
    </w:p>
    <w:p w14:paraId="0D6E214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4FEA68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2024年度财政拨款收入总计172.22万元，其中：年初财政拨款结转和结余0.00万元，本年财政拨款收入172.22万元。财政拨款支出总计172.22万元，其中：年末财政拨款结转和结余0.00万元，本年财政拨款支出172.22万元。</w:t>
      </w:r>
    </w:p>
    <w:p w14:paraId="4846B8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财政拨款收入支出总体与上年相比，减少22.83万元，下降11.70%，主要原因是：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。与年初预算相比，年初预算数201.00万元，决算数172.22万元，预决算差异率-14.32%，主要原因是：</w:t>
      </w:r>
      <w:r>
        <w:rPr>
          <w:rFonts w:hint="eastAsia" w:ascii="仿宋_GB2312" w:eastAsia="仿宋_GB2312"/>
          <w:sz w:val="32"/>
          <w:szCs w:val="32"/>
          <w:lang w:eastAsia="zh-CN"/>
        </w:rPr>
        <w:t>较预算减少人员工资、津贴补贴、奖金等经费</w:t>
      </w:r>
      <w:r>
        <w:rPr>
          <w:rFonts w:ascii="仿宋_GB2312" w:eastAsia="仿宋_GB2312"/>
          <w:sz w:val="32"/>
          <w:szCs w:val="32"/>
          <w:lang w:eastAsia="zh-CN"/>
        </w:rPr>
        <w:t>。</w:t>
      </w:r>
    </w:p>
    <w:p w14:paraId="5C266F9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99442B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7D0ED5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2024年度一般公共预算财政拨款支出172.22万元，占本年支出合计的100.00%。与上年相比，减少22.83万元，下降11.70%，主要原因是：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。与年初预算相比，年初预算数201.00万元，决算数172.22万元，预决算差异率-14.32%，主要原因是：</w:t>
      </w:r>
      <w:r>
        <w:rPr>
          <w:rFonts w:hint="eastAsia" w:ascii="仿宋_GB2312" w:eastAsia="仿宋_GB2312"/>
          <w:sz w:val="32"/>
          <w:szCs w:val="32"/>
          <w:lang w:eastAsia="zh-CN"/>
        </w:rPr>
        <w:t>较预算减少人员工资、津贴补贴、奖金等经费</w:t>
      </w:r>
      <w:r>
        <w:rPr>
          <w:rFonts w:ascii="仿宋_GB2312" w:eastAsia="仿宋_GB2312"/>
          <w:sz w:val="32"/>
          <w:szCs w:val="32"/>
          <w:lang w:eastAsia="zh-CN"/>
        </w:rPr>
        <w:t>。</w:t>
      </w:r>
    </w:p>
    <w:p w14:paraId="052D90D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401AACC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教育支出（类）172.22万元，占100.00%。</w:t>
      </w:r>
    </w:p>
    <w:p w14:paraId="5A63F16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73056A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1、教育支出（类）职业教育（款）技校教育（项）：支出决算数为172.22万元，比上年决算减少22.83万元，下降11.70%，主要原因是：</w:t>
      </w:r>
      <w:r>
        <w:rPr>
          <w:rFonts w:hint="eastAsia" w:ascii="仿宋_GB2312" w:eastAsia="仿宋_GB2312"/>
          <w:sz w:val="32"/>
          <w:szCs w:val="32"/>
          <w:lang w:eastAsia="zh-CN"/>
        </w:rPr>
        <w:t>单位本年人员减少，人员工资、津贴补贴、奖金等经费减少。</w:t>
      </w:r>
    </w:p>
    <w:p w14:paraId="24792FE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82F14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172.22万元，其中：人员经费164.50万元，包括：基本工资、津贴补贴、奖金、绩效工资、机关事业单位基本养老保险缴费、职业年金缴费、职工基本医疗保险缴费、其他社会保障缴费、住房公积金和生活补助。</w:t>
      </w:r>
    </w:p>
    <w:p w14:paraId="214171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公用经费7.72万元，包括：办公费、水费、电费、邮电费、差旅费、维修（护）费、劳务费、工会经费和公务用车运行维护费。</w:t>
      </w:r>
    </w:p>
    <w:p w14:paraId="66AF132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57FB27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EED4DA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20C8C6C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7E824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D59C5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2024年度财政拨款“三公”经费支出0.91万元，比上年减少0.01万元，下降1.09%，主要原因是：</w:t>
      </w:r>
      <w:bookmarkStart w:id="0" w:name="_Hlk207110071"/>
      <w:r>
        <w:rPr>
          <w:rFonts w:hint="eastAsia" w:ascii="仿宋_GB2312" w:eastAsia="仿宋_GB2312"/>
          <w:sz w:val="32"/>
          <w:szCs w:val="32"/>
          <w:lang w:eastAsia="zh-CN"/>
        </w:rPr>
        <w:t>车辆出行次数减少，车辆保险费、燃油费、过路费减少</w:t>
      </w:r>
      <w:bookmarkEnd w:id="0"/>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；公务用车购置及运行维护费支出0.91万元，占100.00%，比上年减少0.01万元，下降1.09%，主要原因是：</w:t>
      </w:r>
      <w:r>
        <w:rPr>
          <w:rFonts w:hint="eastAsia" w:ascii="仿宋_GB2312" w:eastAsia="仿宋_GB2312"/>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bookmarkStart w:id="1" w:name="_Hlk207114081"/>
      <w:bookmarkStart w:id="2" w:name="_Hlk207720892"/>
      <w:r>
        <w:rPr>
          <w:rFonts w:hint="eastAsia" w:ascii="仿宋_GB2312" w:eastAsia="仿宋_GB2312"/>
          <w:sz w:val="32"/>
          <w:szCs w:val="32"/>
          <w:lang w:eastAsia="zh-CN"/>
        </w:rPr>
        <w:t>我单位上年度与本年度均无</w:t>
      </w:r>
      <w:bookmarkEnd w:id="1"/>
      <w:r>
        <w:rPr>
          <w:rFonts w:hint="eastAsia" w:ascii="仿宋_GB2312" w:eastAsia="仿宋_GB2312"/>
          <w:sz w:val="32"/>
          <w:szCs w:val="32"/>
          <w:lang w:eastAsia="zh-CN"/>
        </w:rPr>
        <w:t>此项经费</w:t>
      </w:r>
      <w:bookmarkEnd w:id="2"/>
      <w:r>
        <w:rPr>
          <w:rFonts w:ascii="仿宋_GB2312" w:eastAsia="仿宋_GB2312"/>
          <w:sz w:val="32"/>
          <w:szCs w:val="32"/>
          <w:lang w:eastAsia="zh-CN"/>
        </w:rPr>
        <w:t>。</w:t>
      </w:r>
    </w:p>
    <w:p w14:paraId="77ED225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5F4B2DD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27465"/>
      <w:r>
        <w:rPr>
          <w:rFonts w:ascii="仿宋_GB2312" w:eastAsia="仿宋_GB2312"/>
          <w:sz w:val="32"/>
          <w:szCs w:val="32"/>
          <w:lang w:eastAsia="zh-CN"/>
        </w:rPr>
        <w:t>本单位本年度无因公出国（境）费</w:t>
      </w:r>
      <w:bookmarkEnd w:id="3"/>
      <w:r>
        <w:rPr>
          <w:rFonts w:ascii="仿宋_GB2312" w:eastAsia="仿宋_GB2312"/>
          <w:sz w:val="32"/>
          <w:szCs w:val="32"/>
          <w:lang w:eastAsia="zh-CN"/>
        </w:rPr>
        <w:t>。单位全年安排的因公出国（境）团组0个，因公出国（境）0人次。</w:t>
      </w:r>
    </w:p>
    <w:p w14:paraId="622B2B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公务用车购置及运行维护费0.91万元，其中：公务用车购置费0.00万元，公务用车运行维护费0.91万元。公务用车运行维护费开支内容包括</w:t>
      </w:r>
      <w:bookmarkStart w:id="4" w:name="_Hlk207110208"/>
      <w:r>
        <w:rPr>
          <w:rFonts w:hint="eastAsia" w:ascii="仿宋_GB2312" w:eastAsia="仿宋_GB2312"/>
          <w:sz w:val="32"/>
          <w:szCs w:val="32"/>
          <w:lang w:eastAsia="zh-CN"/>
        </w:rPr>
        <w:t>公务用车燃油费、车辆维修维护费、保险费、过路费等</w:t>
      </w:r>
      <w:bookmarkEnd w:id="4"/>
      <w:r>
        <w:rPr>
          <w:rFonts w:ascii="仿宋_GB2312" w:eastAsia="仿宋_GB2312"/>
          <w:sz w:val="32"/>
          <w:szCs w:val="32"/>
          <w:lang w:eastAsia="zh-CN"/>
        </w:rPr>
        <w:t>。公务用车购置数0辆，公务用车保有量1辆。国有资产占用情况中固定资产车辆0辆，与公务用车保有量差异原因是：</w:t>
      </w:r>
      <w:r>
        <w:rPr>
          <w:rFonts w:hint="eastAsia" w:ascii="仿宋_GB2312" w:eastAsia="仿宋_GB2312"/>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2D1FCB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37E1BE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与全年预算相比，财政拨款“三公”经费支出全年预算数0.91万元，决算数0.91万元，预决算差异率0.00%，主要原因是：</w:t>
      </w:r>
      <w:bookmarkStart w:id="6" w:name="_Hlk207110149"/>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；公务用车运行维护费全年预算数0.91万元，决算数0.91万元，预决算差异率0.00%，主要原因是：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A57AA3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402A0A6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27DCCB2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2024年度奇台县技工学校单位（事业单位）公用经费支出7.72万元，比上年减少1.50万元，下降16.27%，主要原因是：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办公费、邮电费、差旅费、劳务费、公务用车运行维护费</w:t>
      </w:r>
      <w:r>
        <w:rPr>
          <w:rFonts w:hint="eastAsia" w:ascii="仿宋_GB2312" w:eastAsia="仿宋_GB2312"/>
          <w:sz w:val="32"/>
          <w:szCs w:val="32"/>
          <w:lang w:eastAsia="zh-CN"/>
        </w:rPr>
        <w:t>减少</w:t>
      </w:r>
      <w:r>
        <w:rPr>
          <w:rFonts w:ascii="仿宋_GB2312" w:eastAsia="仿宋_GB2312"/>
          <w:sz w:val="32"/>
          <w:szCs w:val="32"/>
          <w:lang w:eastAsia="zh-CN"/>
        </w:rPr>
        <w:t>。</w:t>
      </w:r>
    </w:p>
    <w:p w14:paraId="5C6AA5E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026B90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2024年度政府采购支出总额2.89万元，其中：政府采购货物支出2.25万元、政府采购工程支出0.00万元、政府采购服务支出0.64万元。</w:t>
      </w:r>
    </w:p>
    <w:p w14:paraId="7383C84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授予中小企业合同金额2.64万元，占政府采购支出总额的91.35%，其中：授予小微企业合同金额2.41万元，占政府采购支出总额的83.39%。</w:t>
      </w:r>
    </w:p>
    <w:p w14:paraId="21A62FC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F8468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单位无其他车辆</w:t>
      </w:r>
      <w:r>
        <w:rPr>
          <w:rFonts w:ascii="仿宋_GB2312" w:eastAsia="仿宋_GB2312"/>
          <w:sz w:val="32"/>
          <w:szCs w:val="32"/>
          <w:lang w:eastAsia="zh-CN"/>
        </w:rPr>
        <w:t>;单价100万元（含）以上设备（不含车辆）0台（套）。</w:t>
      </w:r>
    </w:p>
    <w:p w14:paraId="15B9E7F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80504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172.22</w:t>
      </w:r>
      <w:r>
        <w:rPr>
          <w:rFonts w:ascii="仿宋_GB2312" w:eastAsia="仿宋_GB2312"/>
          <w:sz w:val="32"/>
          <w:szCs w:val="32"/>
          <w:lang w:eastAsia="zh-CN"/>
        </w:rPr>
        <w:t>万元，实际执行总额</w:t>
      </w:r>
      <w:r>
        <w:rPr>
          <w:rFonts w:hint="eastAsia" w:ascii="仿宋_GB2312" w:eastAsia="仿宋_GB2312"/>
          <w:sz w:val="32"/>
          <w:szCs w:val="32"/>
          <w:lang w:eastAsia="zh-CN"/>
        </w:rPr>
        <w:t>172.22</w:t>
      </w:r>
      <w:r>
        <w:rPr>
          <w:rFonts w:ascii="仿宋_GB2312" w:eastAsia="仿宋_GB2312"/>
          <w:sz w:val="32"/>
          <w:szCs w:val="32"/>
          <w:lang w:eastAsia="zh-CN"/>
        </w:rPr>
        <w:t>万元；预算绩效评价项目</w:t>
      </w:r>
      <w:r>
        <w:rPr>
          <w:rFonts w:hint="eastAsia" w:ascii="仿宋_GB2312" w:eastAsia="仿宋_GB2312"/>
          <w:sz w:val="32"/>
          <w:szCs w:val="32"/>
          <w:lang w:eastAsia="zh-CN"/>
        </w:rPr>
        <w:t>0</w:t>
      </w:r>
      <w:r>
        <w:rPr>
          <w:rFonts w:ascii="仿宋_GB2312" w:eastAsia="仿宋_GB2312"/>
          <w:sz w:val="32"/>
          <w:szCs w:val="32"/>
          <w:lang w:eastAsia="zh-CN"/>
        </w:rPr>
        <w:t>个，全年预算数</w:t>
      </w:r>
      <w:r>
        <w:rPr>
          <w:rFonts w:hint="eastAsia" w:ascii="仿宋_GB2312" w:eastAsia="仿宋_GB2312"/>
          <w:sz w:val="32"/>
          <w:szCs w:val="32"/>
          <w:lang w:eastAsia="zh-CN"/>
        </w:rPr>
        <w:t>0.00</w:t>
      </w:r>
      <w:r>
        <w:rPr>
          <w:rFonts w:ascii="仿宋_GB2312" w:eastAsia="仿宋_GB2312"/>
          <w:sz w:val="32"/>
          <w:szCs w:val="32"/>
          <w:lang w:eastAsia="zh-CN"/>
        </w:rPr>
        <w:t>万元，全年执行数</w:t>
      </w:r>
      <w:r>
        <w:rPr>
          <w:rFonts w:hint="eastAsia" w:ascii="仿宋_GB2312" w:eastAsia="仿宋_GB2312"/>
          <w:sz w:val="32"/>
          <w:szCs w:val="32"/>
          <w:lang w:eastAsia="zh-CN"/>
        </w:rPr>
        <w:t>0.00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不断改善行政管理、严格经费及资产管理，改进文风会风，精简会议，提高了行政效率，降低了行政成本；二是资金使用合规性不断提升，资金使用无截留、挤占、挪用、虚列支出等情况。发现的问题及原因：一是预算编制工作有待细化。预算编制不够明确和细化，预算编制的合理性需要提高，预算执行力度还要进一步加强；二是在绩效目标编制上依然有欠缺，绩效目标设立不够明确、细化和量化，对绩效分析也不够透彻；三是公用经费控制有一定难度，基本为刚性支出。下一步改进措施:一是细化预算编制工作，认真做好预算的编制。进一步加强单位内部的预算管理意识，严格按照预算编制的相关制度和要求进行预算编制；二是加强财务管理，严格财务审核。加强单位财务管理，健全单位财务管理制度体系，规范单位财务行为。在费用报账支付时，按照预算规定的费用项目和用途进行资金使用审核、列报支付、财务核算，杜绝超支现象的发生；三是对相关人员加强培训，特别是针对《中华人民共和国预算法》《行政事业单位会计制度》等学习培训，规范部门预算收支核算，切实提高部门预算收支管理水平</w:t>
      </w:r>
      <w:r>
        <w:rPr>
          <w:rFonts w:ascii="仿宋_GB2312" w:eastAsia="仿宋_GB2312"/>
          <w:sz w:val="32"/>
          <w:szCs w:val="32"/>
          <w:lang w:eastAsia="zh-CN"/>
        </w:rPr>
        <w:t>。具体附部门整体支出绩效自评表</w:t>
      </w:r>
      <w:bookmarkStart w:id="8" w:name="_GoBack"/>
      <w:bookmarkEnd w:id="8"/>
      <w:r>
        <w:rPr>
          <w:rFonts w:ascii="仿宋_GB2312" w:eastAsia="仿宋_GB2312"/>
          <w:sz w:val="32"/>
          <w:szCs w:val="32"/>
          <w:lang w:eastAsia="zh-CN"/>
        </w:rPr>
        <w:t>。</w:t>
      </w:r>
    </w:p>
    <w:p w14:paraId="5CF3E155">
      <w:pPr>
        <w:rPr>
          <w:rFonts w:hint="eastAsia" w:ascii="宋体" w:hAnsi="宋体" w:eastAsia="宋体" w:cs="宋体"/>
          <w:b/>
          <w:bCs/>
          <w:sz w:val="18"/>
          <w:szCs w:val="18"/>
        </w:rPr>
      </w:pPr>
      <w:bookmarkStart w:id="7" w:name="_Hlk174962300"/>
    </w:p>
    <w:p w14:paraId="131863E8">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29BD6F9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tblGrid>
      <w:tr w14:paraId="1DB50A24">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636E78B9">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01A49FE">
            <w:pPr>
              <w:jc w:val="center"/>
              <w:rPr>
                <w:rFonts w:hint="eastAsia" w:ascii="宋体" w:hAnsi="宋体" w:eastAsia="宋体" w:cs="宋体"/>
                <w:b/>
                <w:bCs/>
                <w:sz w:val="18"/>
                <w:szCs w:val="18"/>
              </w:rPr>
            </w:pPr>
            <w:r>
              <w:rPr>
                <w:rFonts w:hint="eastAsia" w:ascii="宋体" w:hAnsi="宋体" w:eastAsia="宋体" w:cs="宋体"/>
                <w:b/>
                <w:bCs/>
                <w:sz w:val="18"/>
                <w:szCs w:val="18"/>
              </w:rPr>
              <w:t>奇台县技工学校</w:t>
            </w:r>
          </w:p>
        </w:tc>
      </w:tr>
      <w:tr w14:paraId="0444DFB6">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552D694">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5FEBAE5">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8548F79">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0F10FC36">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19A862A2">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6BDCB17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C9159E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F31EE5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196C7BB">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146F1A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9B177C5">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284CB42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21A92D0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7231BAC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78D7AF4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56BECD2">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1868E66B">
            <w:pPr>
              <w:jc w:val="center"/>
              <w:rPr>
                <w:rFonts w:hint="eastAsia" w:ascii="宋体" w:hAnsi="宋体" w:eastAsia="宋体" w:cs="宋体"/>
                <w:sz w:val="18"/>
                <w:szCs w:val="18"/>
              </w:rPr>
            </w:pPr>
            <w:r>
              <w:rPr>
                <w:rFonts w:hint="eastAsia" w:ascii="宋体" w:hAnsi="宋体" w:eastAsia="宋体" w:cs="宋体"/>
                <w:sz w:val="18"/>
                <w:szCs w:val="18"/>
              </w:rPr>
              <w:t>10</w:t>
            </w:r>
          </w:p>
        </w:tc>
      </w:tr>
      <w:tr w14:paraId="0F34A9A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0793EC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66A3D3A">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34BB80E2">
            <w:pPr>
              <w:jc w:val="center"/>
              <w:rPr>
                <w:rFonts w:hint="eastAsia" w:ascii="宋体" w:hAnsi="宋体" w:eastAsia="宋体" w:cs="宋体"/>
                <w:sz w:val="18"/>
                <w:szCs w:val="18"/>
              </w:rPr>
            </w:pPr>
            <w:r>
              <w:rPr>
                <w:rFonts w:hint="eastAsia" w:ascii="宋体" w:hAnsi="宋体" w:eastAsia="宋体" w:cs="宋体"/>
                <w:sz w:val="18"/>
                <w:szCs w:val="18"/>
              </w:rPr>
              <w:t>201.00</w:t>
            </w:r>
          </w:p>
        </w:tc>
        <w:tc>
          <w:tcPr>
            <w:tcW w:w="1276" w:type="dxa"/>
            <w:tcBorders>
              <w:top w:val="nil"/>
              <w:left w:val="nil"/>
              <w:bottom w:val="single" w:color="auto" w:sz="4" w:space="0"/>
              <w:right w:val="single" w:color="auto" w:sz="4" w:space="0"/>
            </w:tcBorders>
            <w:vAlign w:val="center"/>
          </w:tcPr>
          <w:p w14:paraId="184C3B64">
            <w:pPr>
              <w:jc w:val="center"/>
              <w:rPr>
                <w:rFonts w:hint="eastAsia" w:ascii="宋体" w:hAnsi="宋体" w:eastAsia="宋体" w:cs="宋体"/>
                <w:sz w:val="18"/>
                <w:szCs w:val="18"/>
              </w:rPr>
            </w:pPr>
            <w:r>
              <w:rPr>
                <w:rFonts w:hint="eastAsia" w:ascii="宋体" w:hAnsi="宋体" w:eastAsia="宋体" w:cs="宋体"/>
                <w:sz w:val="18"/>
                <w:szCs w:val="18"/>
              </w:rPr>
              <w:t>172.22</w:t>
            </w:r>
          </w:p>
        </w:tc>
        <w:tc>
          <w:tcPr>
            <w:tcW w:w="1842" w:type="dxa"/>
            <w:tcBorders>
              <w:top w:val="nil"/>
              <w:left w:val="nil"/>
              <w:bottom w:val="single" w:color="auto" w:sz="4" w:space="0"/>
              <w:right w:val="single" w:color="auto" w:sz="4" w:space="0"/>
            </w:tcBorders>
            <w:vAlign w:val="center"/>
          </w:tcPr>
          <w:p w14:paraId="3F8F2446">
            <w:pPr>
              <w:jc w:val="center"/>
              <w:rPr>
                <w:rFonts w:hint="eastAsia" w:ascii="宋体" w:hAnsi="宋体" w:eastAsia="宋体" w:cs="宋体"/>
                <w:sz w:val="18"/>
                <w:szCs w:val="18"/>
              </w:rPr>
            </w:pPr>
            <w:r>
              <w:rPr>
                <w:rFonts w:hint="eastAsia" w:ascii="宋体" w:hAnsi="宋体" w:eastAsia="宋体" w:cs="宋体"/>
                <w:sz w:val="18"/>
                <w:szCs w:val="18"/>
              </w:rPr>
              <w:t>172.22</w:t>
            </w:r>
          </w:p>
        </w:tc>
        <w:tc>
          <w:tcPr>
            <w:tcW w:w="993" w:type="dxa"/>
            <w:tcBorders>
              <w:top w:val="nil"/>
              <w:left w:val="nil"/>
              <w:bottom w:val="single" w:color="auto" w:sz="4" w:space="0"/>
              <w:right w:val="single" w:color="auto" w:sz="4" w:space="0"/>
            </w:tcBorders>
            <w:vAlign w:val="center"/>
          </w:tcPr>
          <w:p w14:paraId="716F6D10">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AB804A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096A493">
            <w:pPr>
              <w:jc w:val="center"/>
              <w:rPr>
                <w:rFonts w:hint="eastAsia" w:ascii="宋体" w:hAnsi="宋体" w:eastAsia="宋体" w:cs="宋体"/>
                <w:sz w:val="18"/>
                <w:szCs w:val="18"/>
              </w:rPr>
            </w:pPr>
            <w:r>
              <w:rPr>
                <w:rFonts w:hint="eastAsia" w:ascii="宋体" w:hAnsi="宋体" w:eastAsia="宋体"/>
                <w:sz w:val="18"/>
                <w:szCs w:val="18"/>
              </w:rPr>
              <w:t>-</w:t>
            </w:r>
          </w:p>
        </w:tc>
      </w:tr>
      <w:tr w14:paraId="754BE337">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25DD60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4E9446F">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53F3011B">
            <w:pPr>
              <w:jc w:val="center"/>
              <w:rPr>
                <w:rFonts w:hint="eastAsia" w:ascii="宋体" w:hAnsi="宋体" w:eastAsia="宋体" w:cs="宋体"/>
                <w:sz w:val="18"/>
                <w:szCs w:val="18"/>
              </w:rPr>
            </w:pPr>
            <w:r>
              <w:rPr>
                <w:rFonts w:hint="eastAsia" w:ascii="宋体" w:hAnsi="宋体" w:eastAsia="宋体" w:cs="宋体"/>
                <w:sz w:val="18"/>
                <w:szCs w:val="18"/>
              </w:rPr>
              <w:t>316.85</w:t>
            </w:r>
          </w:p>
        </w:tc>
        <w:tc>
          <w:tcPr>
            <w:tcW w:w="1276" w:type="dxa"/>
            <w:tcBorders>
              <w:top w:val="nil"/>
              <w:left w:val="nil"/>
              <w:bottom w:val="single" w:color="auto" w:sz="4" w:space="0"/>
              <w:right w:val="single" w:color="auto" w:sz="4" w:space="0"/>
            </w:tcBorders>
            <w:vAlign w:val="center"/>
          </w:tcPr>
          <w:p w14:paraId="2C7E5E2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06EE9C85">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0AF73D16">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49EF334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88E42A4">
            <w:pPr>
              <w:jc w:val="center"/>
              <w:rPr>
                <w:rFonts w:hint="eastAsia" w:ascii="宋体" w:hAnsi="宋体" w:eastAsia="宋体" w:cs="宋体"/>
                <w:sz w:val="18"/>
                <w:szCs w:val="18"/>
              </w:rPr>
            </w:pPr>
            <w:r>
              <w:rPr>
                <w:rFonts w:hint="eastAsia" w:ascii="宋体" w:hAnsi="宋体" w:eastAsia="宋体"/>
                <w:sz w:val="18"/>
                <w:szCs w:val="18"/>
              </w:rPr>
              <w:t>-</w:t>
            </w:r>
          </w:p>
        </w:tc>
      </w:tr>
      <w:tr w14:paraId="0A3DE2A9">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B58A5A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2D89885">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1A5FE27D">
            <w:pPr>
              <w:jc w:val="center"/>
              <w:rPr>
                <w:rFonts w:hint="eastAsia" w:ascii="宋体" w:hAnsi="宋体" w:eastAsia="宋体" w:cs="宋体"/>
                <w:sz w:val="18"/>
                <w:szCs w:val="18"/>
              </w:rPr>
            </w:pPr>
            <w:r>
              <w:rPr>
                <w:rFonts w:hint="eastAsia" w:ascii="宋体" w:hAnsi="宋体" w:eastAsia="宋体" w:cs="宋体"/>
                <w:sz w:val="18"/>
                <w:szCs w:val="18"/>
              </w:rPr>
              <w:t>517.85</w:t>
            </w:r>
          </w:p>
        </w:tc>
        <w:tc>
          <w:tcPr>
            <w:tcW w:w="1276" w:type="dxa"/>
            <w:tcBorders>
              <w:top w:val="nil"/>
              <w:left w:val="nil"/>
              <w:bottom w:val="single" w:color="auto" w:sz="4" w:space="0"/>
              <w:right w:val="single" w:color="auto" w:sz="4" w:space="0"/>
            </w:tcBorders>
            <w:vAlign w:val="center"/>
          </w:tcPr>
          <w:p w14:paraId="6B80836A">
            <w:pPr>
              <w:jc w:val="center"/>
              <w:rPr>
                <w:rFonts w:hint="eastAsia" w:ascii="宋体" w:hAnsi="宋体" w:eastAsia="宋体" w:cs="宋体"/>
                <w:sz w:val="18"/>
                <w:szCs w:val="18"/>
              </w:rPr>
            </w:pPr>
            <w:r>
              <w:rPr>
                <w:rFonts w:hint="eastAsia" w:ascii="宋体" w:hAnsi="宋体" w:eastAsia="宋体" w:cs="宋体"/>
                <w:sz w:val="18"/>
                <w:szCs w:val="18"/>
              </w:rPr>
              <w:t>172.22</w:t>
            </w:r>
          </w:p>
        </w:tc>
        <w:tc>
          <w:tcPr>
            <w:tcW w:w="1842" w:type="dxa"/>
            <w:tcBorders>
              <w:top w:val="nil"/>
              <w:left w:val="nil"/>
              <w:bottom w:val="single" w:color="auto" w:sz="4" w:space="0"/>
              <w:right w:val="single" w:color="auto" w:sz="4" w:space="0"/>
            </w:tcBorders>
            <w:vAlign w:val="center"/>
          </w:tcPr>
          <w:p w14:paraId="3C3E6794">
            <w:pPr>
              <w:jc w:val="center"/>
              <w:rPr>
                <w:rFonts w:hint="eastAsia" w:ascii="宋体" w:hAnsi="宋体" w:eastAsia="宋体" w:cs="宋体"/>
                <w:sz w:val="18"/>
                <w:szCs w:val="18"/>
              </w:rPr>
            </w:pPr>
            <w:r>
              <w:rPr>
                <w:rFonts w:hint="eastAsia" w:ascii="宋体" w:hAnsi="宋体" w:eastAsia="宋体" w:cs="宋体"/>
                <w:sz w:val="18"/>
                <w:szCs w:val="18"/>
              </w:rPr>
              <w:t>172.22</w:t>
            </w:r>
          </w:p>
        </w:tc>
        <w:tc>
          <w:tcPr>
            <w:tcW w:w="993" w:type="dxa"/>
            <w:tcBorders>
              <w:top w:val="nil"/>
              <w:left w:val="nil"/>
              <w:bottom w:val="single" w:color="auto" w:sz="4" w:space="0"/>
              <w:right w:val="single" w:color="auto" w:sz="4" w:space="0"/>
            </w:tcBorders>
            <w:vAlign w:val="center"/>
          </w:tcPr>
          <w:p w14:paraId="41186C29">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60FA411A">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BA064F9">
            <w:pPr>
              <w:jc w:val="center"/>
              <w:rPr>
                <w:rFonts w:hint="eastAsia" w:ascii="宋体" w:hAnsi="宋体" w:eastAsia="宋体" w:cs="宋体"/>
                <w:sz w:val="18"/>
                <w:szCs w:val="18"/>
              </w:rPr>
            </w:pPr>
            <w:r>
              <w:rPr>
                <w:rFonts w:hint="eastAsia" w:ascii="宋体" w:hAnsi="宋体" w:eastAsia="宋体" w:cs="宋体"/>
                <w:sz w:val="18"/>
                <w:szCs w:val="18"/>
              </w:rPr>
              <w:t>-</w:t>
            </w:r>
          </w:p>
        </w:tc>
      </w:tr>
      <w:tr w14:paraId="676E7F74">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32D284B">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66F6FE1">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2C23F225">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3EBC9AC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51C6DAB">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7EA7FB81">
            <w:pPr>
              <w:rPr>
                <w:rFonts w:hint="eastAsia" w:ascii="宋体" w:hAnsi="宋体" w:eastAsia="宋体" w:cs="宋体"/>
                <w:sz w:val="18"/>
                <w:szCs w:val="18"/>
              </w:rPr>
            </w:pPr>
            <w:r>
              <w:rPr>
                <w:rFonts w:hint="eastAsia" w:ascii="宋体" w:hAnsi="宋体" w:eastAsia="宋体" w:cs="宋体"/>
                <w:sz w:val="18"/>
                <w:szCs w:val="18"/>
                <w:lang w:eastAsia="zh-CN"/>
              </w:rPr>
              <w:t>（一）大力开展农村劳动力素质提升培训。充分利用今冬明春农闲季节，组织农村劳动力通过线上、线下相结合的方式，组合式或单独开展政策法规和实用技术等培训，进一步提升农村劳动力基本素质。（二）积极开展就业重点群体就业技能培训。结合经济社会发展需要和市场用工需求，对有就业意愿和培训需求的城镇登记失业人员、已脱贫家庭劳动力、就业困难人员、零就业家庭成员和高校毕业生等就业重点群体，大力开展就业技能培训、创业培训和专项职业能力培训，进一步提升就业重点群体就业创业能力。（三）大力开展企业职工培训。通过校企合作、企业自主或委托培训机构等方式，结合企业岗位需求，大力开展企业在岗职工岗前培训、职业技能培训。建立技能培训与岗位需求对接机制，一方面做好就业信息发布，同时聘请用工企业进行课堂招聘活动，推动技能培训与产业需求有效对接，增强技能培训的针对性和实效性。另一方面加强校企合作，提高培训效果。以企业和市场需求为导向，以订单式培训为主体，努力实现“培训一人、就业一人”的目标。</w:t>
            </w:r>
            <w:r>
              <w:rPr>
                <w:rFonts w:hint="eastAsia" w:ascii="宋体" w:hAnsi="宋体" w:eastAsia="宋体" w:cs="宋体"/>
                <w:sz w:val="18"/>
                <w:szCs w:val="18"/>
              </w:rPr>
              <w:t>"</w:t>
            </w:r>
          </w:p>
        </w:tc>
        <w:tc>
          <w:tcPr>
            <w:tcW w:w="4547" w:type="dxa"/>
            <w:gridSpan w:val="4"/>
            <w:tcBorders>
              <w:top w:val="single" w:color="auto" w:sz="4" w:space="0"/>
              <w:left w:val="nil"/>
              <w:bottom w:val="single" w:color="auto" w:sz="4" w:space="0"/>
              <w:right w:val="single" w:color="auto" w:sz="4" w:space="0"/>
            </w:tcBorders>
          </w:tcPr>
          <w:p w14:paraId="0D688185">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度，开展各类培训191期，培训总人数8376人次，完成州绩效任务的108.8%。其中补贴性职业技能培训64期1741人，完成州绩效任务的111.1%。（其中装载机驾驶员3期81人、挖掘机司机1期24人、叉车司机2期58人、动物疫病1期34人、育婴员3期113人、美容师6期150人、中式烹调师1期20人、养老护理员3期61人、家政服务员2期47人、保安7期168人。网络创业培训14期336人。焊工1期38人、电工1期25人，企业在岗职工培训7期318人，补贴性基本素质培训268人）。基本素质培训127期6635人，完成州绩效任务110.5%，企业新型学徒制培训38人，完成州绩效任务的126.6%，新增职业技能人才904人，完成州绩效任务的123.8%（其中高级工42人，技师10人），通过培训，就业率提高了。</w:t>
            </w:r>
          </w:p>
        </w:tc>
      </w:tr>
      <w:tr w14:paraId="4EB1ECE3">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48BDAE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45AAD3B">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5B4A94C">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7ECF7B8F">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78C40A91">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13D652F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203A868F">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048DCD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A4C0D06">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AD99366">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7F875F7">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1D24A45">
            <w:pPr>
              <w:jc w:val="center"/>
              <w:rPr>
                <w:rFonts w:hint="eastAsia" w:ascii="宋体" w:hAnsi="宋体" w:eastAsia="宋体" w:cs="宋体"/>
                <w:sz w:val="18"/>
                <w:szCs w:val="18"/>
              </w:rPr>
            </w:pPr>
            <w:r>
              <w:rPr>
                <w:rFonts w:hint="eastAsia" w:ascii="宋体" w:hAnsi="宋体" w:eastAsia="宋体" w:cs="宋体"/>
                <w:sz w:val="18"/>
                <w:szCs w:val="18"/>
              </w:rPr>
              <w:t>技能培训人数</w:t>
            </w:r>
          </w:p>
        </w:tc>
        <w:tc>
          <w:tcPr>
            <w:tcW w:w="1276" w:type="dxa"/>
            <w:tcBorders>
              <w:top w:val="nil"/>
              <w:left w:val="nil"/>
              <w:bottom w:val="single" w:color="auto" w:sz="4" w:space="0"/>
              <w:right w:val="single" w:color="auto" w:sz="4" w:space="0"/>
            </w:tcBorders>
            <w:noWrap/>
            <w:vAlign w:val="center"/>
          </w:tcPr>
          <w:p w14:paraId="7B77DBC1">
            <w:pPr>
              <w:jc w:val="center"/>
              <w:rPr>
                <w:rFonts w:hint="eastAsia" w:ascii="宋体" w:hAnsi="宋体" w:eastAsia="宋体" w:cs="宋体"/>
                <w:sz w:val="18"/>
                <w:szCs w:val="18"/>
              </w:rPr>
            </w:pPr>
            <w:r>
              <w:rPr>
                <w:rFonts w:hint="eastAsia" w:ascii="宋体" w:hAnsi="宋体" w:eastAsia="宋体" w:cs="宋体"/>
                <w:sz w:val="18"/>
                <w:szCs w:val="18"/>
              </w:rPr>
              <w:t>&gt;=1700人</w:t>
            </w:r>
          </w:p>
        </w:tc>
        <w:tc>
          <w:tcPr>
            <w:tcW w:w="1842" w:type="dxa"/>
            <w:tcBorders>
              <w:top w:val="nil"/>
              <w:left w:val="nil"/>
              <w:bottom w:val="single" w:color="auto" w:sz="4" w:space="0"/>
              <w:right w:val="single" w:color="auto" w:sz="4" w:space="0"/>
            </w:tcBorders>
            <w:noWrap/>
            <w:vAlign w:val="center"/>
          </w:tcPr>
          <w:p w14:paraId="40367F24">
            <w:pPr>
              <w:rPr>
                <w:rFonts w:hint="eastAsia" w:ascii="宋体" w:hAnsi="宋体" w:eastAsia="宋体" w:cs="宋体"/>
                <w:sz w:val="18"/>
                <w:szCs w:val="18"/>
                <w:lang w:eastAsia="zh-CN"/>
              </w:rPr>
            </w:pPr>
            <w:r>
              <w:rPr>
                <w:rFonts w:hint="eastAsia" w:ascii="宋体" w:hAnsi="宋体" w:eastAsia="宋体" w:cs="宋体"/>
                <w:sz w:val="18"/>
                <w:szCs w:val="18"/>
                <w:lang w:eastAsia="zh-CN"/>
              </w:rPr>
              <w:t>《关于做好2024年冬春职业技能培训工作的通知》</w:t>
            </w:r>
          </w:p>
        </w:tc>
        <w:tc>
          <w:tcPr>
            <w:tcW w:w="993" w:type="dxa"/>
            <w:tcBorders>
              <w:top w:val="nil"/>
              <w:left w:val="nil"/>
              <w:bottom w:val="single" w:color="auto" w:sz="4" w:space="0"/>
              <w:right w:val="single" w:color="auto" w:sz="4" w:space="0"/>
            </w:tcBorders>
            <w:noWrap/>
            <w:vAlign w:val="center"/>
          </w:tcPr>
          <w:p w14:paraId="05B8549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0B919D11">
            <w:pPr>
              <w:jc w:val="center"/>
              <w:rPr>
                <w:rFonts w:hint="eastAsia" w:ascii="宋体" w:hAnsi="宋体" w:eastAsia="宋体" w:cs="宋体"/>
                <w:sz w:val="18"/>
                <w:szCs w:val="18"/>
              </w:rPr>
            </w:pPr>
            <w:r>
              <w:rPr>
                <w:rFonts w:hint="eastAsia" w:ascii="宋体" w:hAnsi="宋体" w:eastAsia="宋体" w:cs="宋体"/>
                <w:sz w:val="18"/>
                <w:szCs w:val="18"/>
              </w:rPr>
              <w:t>=1741人</w:t>
            </w:r>
          </w:p>
        </w:tc>
        <w:tc>
          <w:tcPr>
            <w:tcW w:w="720" w:type="dxa"/>
            <w:tcBorders>
              <w:top w:val="nil"/>
              <w:left w:val="nil"/>
              <w:bottom w:val="single" w:color="auto" w:sz="4" w:space="0"/>
              <w:right w:val="single" w:color="auto" w:sz="4" w:space="0"/>
            </w:tcBorders>
            <w:noWrap/>
            <w:vAlign w:val="center"/>
          </w:tcPr>
          <w:p w14:paraId="6C434CD8">
            <w:pPr>
              <w:jc w:val="center"/>
              <w:rPr>
                <w:rFonts w:hint="eastAsia" w:ascii="宋体" w:hAnsi="宋体" w:eastAsia="宋体" w:cs="宋体"/>
                <w:sz w:val="18"/>
                <w:szCs w:val="18"/>
              </w:rPr>
            </w:pPr>
            <w:r>
              <w:rPr>
                <w:rFonts w:hint="eastAsia" w:ascii="宋体" w:hAnsi="宋体" w:eastAsia="宋体" w:cs="宋体"/>
                <w:sz w:val="18"/>
                <w:szCs w:val="18"/>
              </w:rPr>
              <w:t>30</w:t>
            </w:r>
          </w:p>
        </w:tc>
      </w:tr>
      <w:tr w14:paraId="31200F3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29C6A08">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59CA05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4C088D2">
            <w:pPr>
              <w:jc w:val="center"/>
              <w:rPr>
                <w:rFonts w:hint="eastAsia" w:ascii="宋体" w:hAnsi="宋体" w:eastAsia="宋体" w:cs="宋体"/>
                <w:sz w:val="18"/>
                <w:szCs w:val="18"/>
              </w:rPr>
            </w:pPr>
            <w:r>
              <w:rPr>
                <w:rFonts w:hint="eastAsia" w:ascii="宋体" w:hAnsi="宋体" w:eastAsia="宋体" w:cs="宋体"/>
                <w:sz w:val="18"/>
                <w:szCs w:val="18"/>
              </w:rPr>
              <w:t>基本素质培训人数</w:t>
            </w:r>
          </w:p>
        </w:tc>
        <w:tc>
          <w:tcPr>
            <w:tcW w:w="1276" w:type="dxa"/>
            <w:tcBorders>
              <w:top w:val="nil"/>
              <w:left w:val="nil"/>
              <w:bottom w:val="single" w:color="auto" w:sz="4" w:space="0"/>
              <w:right w:val="single" w:color="auto" w:sz="4" w:space="0"/>
            </w:tcBorders>
            <w:noWrap/>
            <w:vAlign w:val="center"/>
          </w:tcPr>
          <w:p w14:paraId="394D97F6">
            <w:pPr>
              <w:jc w:val="center"/>
              <w:rPr>
                <w:rFonts w:hint="eastAsia" w:ascii="宋体" w:hAnsi="宋体" w:eastAsia="宋体" w:cs="宋体"/>
                <w:sz w:val="18"/>
                <w:szCs w:val="18"/>
              </w:rPr>
            </w:pPr>
            <w:r>
              <w:rPr>
                <w:rFonts w:hint="eastAsia" w:ascii="宋体" w:hAnsi="宋体" w:eastAsia="宋体" w:cs="宋体"/>
                <w:sz w:val="18"/>
                <w:szCs w:val="18"/>
              </w:rPr>
              <w:t>&gt;=6000人</w:t>
            </w:r>
          </w:p>
        </w:tc>
        <w:tc>
          <w:tcPr>
            <w:tcW w:w="1842" w:type="dxa"/>
            <w:tcBorders>
              <w:top w:val="nil"/>
              <w:left w:val="nil"/>
              <w:bottom w:val="single" w:color="auto" w:sz="4" w:space="0"/>
              <w:right w:val="single" w:color="auto" w:sz="4" w:space="0"/>
            </w:tcBorders>
            <w:noWrap/>
            <w:vAlign w:val="center"/>
          </w:tcPr>
          <w:p w14:paraId="70CB90A1">
            <w:pPr>
              <w:rPr>
                <w:rFonts w:hint="eastAsia" w:ascii="宋体" w:hAnsi="宋体" w:eastAsia="宋体" w:cs="宋体"/>
                <w:sz w:val="18"/>
                <w:szCs w:val="18"/>
                <w:lang w:eastAsia="zh-CN"/>
              </w:rPr>
            </w:pPr>
            <w:r>
              <w:rPr>
                <w:rFonts w:hint="eastAsia" w:ascii="宋体" w:hAnsi="宋体" w:eastAsia="宋体" w:cs="宋体"/>
                <w:sz w:val="18"/>
                <w:szCs w:val="18"/>
                <w:lang w:eastAsia="zh-CN"/>
              </w:rPr>
              <w:t>《关于做好2024年冬春职业技能培训工作的通知》</w:t>
            </w:r>
          </w:p>
        </w:tc>
        <w:tc>
          <w:tcPr>
            <w:tcW w:w="993" w:type="dxa"/>
            <w:tcBorders>
              <w:top w:val="nil"/>
              <w:left w:val="nil"/>
              <w:bottom w:val="single" w:color="auto" w:sz="4" w:space="0"/>
              <w:right w:val="single" w:color="auto" w:sz="4" w:space="0"/>
            </w:tcBorders>
            <w:noWrap/>
            <w:vAlign w:val="center"/>
          </w:tcPr>
          <w:p w14:paraId="4C786FA4">
            <w:pPr>
              <w:jc w:val="center"/>
              <w:rPr>
                <w:rFonts w:hint="eastAsia" w:ascii="宋体" w:hAnsi="宋体" w:eastAsia="宋体" w:cs="宋体"/>
                <w:sz w:val="18"/>
                <w:szCs w:val="18"/>
              </w:rPr>
            </w:pPr>
            <w:r>
              <w:rPr>
                <w:rFonts w:hint="eastAsia" w:ascii="宋体" w:hAnsi="宋体" w:eastAsia="宋体" w:cs="宋体"/>
                <w:sz w:val="18"/>
                <w:szCs w:val="18"/>
              </w:rPr>
              <w:t>45</w:t>
            </w:r>
          </w:p>
        </w:tc>
        <w:tc>
          <w:tcPr>
            <w:tcW w:w="992" w:type="dxa"/>
            <w:tcBorders>
              <w:top w:val="nil"/>
              <w:left w:val="nil"/>
              <w:bottom w:val="single" w:color="auto" w:sz="4" w:space="0"/>
              <w:right w:val="single" w:color="auto" w:sz="4" w:space="0"/>
            </w:tcBorders>
            <w:noWrap/>
            <w:vAlign w:val="center"/>
          </w:tcPr>
          <w:p w14:paraId="435FC9DC">
            <w:pPr>
              <w:jc w:val="center"/>
              <w:rPr>
                <w:rFonts w:hint="eastAsia" w:ascii="宋体" w:hAnsi="宋体" w:eastAsia="宋体" w:cs="宋体"/>
                <w:sz w:val="18"/>
                <w:szCs w:val="18"/>
              </w:rPr>
            </w:pPr>
            <w:r>
              <w:rPr>
                <w:rFonts w:hint="eastAsia" w:ascii="宋体" w:hAnsi="宋体" w:eastAsia="宋体" w:cs="宋体"/>
                <w:sz w:val="18"/>
                <w:szCs w:val="18"/>
              </w:rPr>
              <w:t>=6635人</w:t>
            </w:r>
          </w:p>
        </w:tc>
        <w:tc>
          <w:tcPr>
            <w:tcW w:w="720" w:type="dxa"/>
            <w:tcBorders>
              <w:top w:val="nil"/>
              <w:left w:val="nil"/>
              <w:bottom w:val="single" w:color="auto" w:sz="4" w:space="0"/>
              <w:right w:val="single" w:color="auto" w:sz="4" w:space="0"/>
            </w:tcBorders>
            <w:noWrap/>
            <w:vAlign w:val="center"/>
          </w:tcPr>
          <w:p w14:paraId="4CCFCA3F">
            <w:pPr>
              <w:jc w:val="center"/>
              <w:rPr>
                <w:rFonts w:hint="eastAsia" w:ascii="宋体" w:hAnsi="宋体" w:eastAsia="宋体" w:cs="宋体"/>
                <w:sz w:val="18"/>
                <w:szCs w:val="18"/>
              </w:rPr>
            </w:pPr>
            <w:r>
              <w:rPr>
                <w:rFonts w:hint="eastAsia" w:ascii="宋体" w:hAnsi="宋体" w:eastAsia="宋体" w:cs="宋体"/>
                <w:sz w:val="18"/>
                <w:szCs w:val="18"/>
              </w:rPr>
              <w:t>45</w:t>
            </w:r>
          </w:p>
        </w:tc>
      </w:tr>
      <w:tr w14:paraId="0E8613E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5F5738C">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45E9A4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C515628">
            <w:pPr>
              <w:jc w:val="center"/>
              <w:rPr>
                <w:rFonts w:hint="eastAsia" w:ascii="宋体" w:hAnsi="宋体" w:eastAsia="宋体" w:cs="宋体"/>
                <w:sz w:val="18"/>
                <w:szCs w:val="18"/>
              </w:rPr>
            </w:pPr>
            <w:r>
              <w:rPr>
                <w:rFonts w:hint="eastAsia" w:ascii="宋体" w:hAnsi="宋体" w:eastAsia="宋体" w:cs="宋体"/>
                <w:sz w:val="18"/>
                <w:szCs w:val="18"/>
              </w:rPr>
              <w:t>技能培训班个数</w:t>
            </w:r>
          </w:p>
        </w:tc>
        <w:tc>
          <w:tcPr>
            <w:tcW w:w="1276" w:type="dxa"/>
            <w:tcBorders>
              <w:top w:val="nil"/>
              <w:left w:val="nil"/>
              <w:bottom w:val="single" w:color="auto" w:sz="4" w:space="0"/>
              <w:right w:val="single" w:color="auto" w:sz="4" w:space="0"/>
            </w:tcBorders>
            <w:noWrap/>
            <w:vAlign w:val="center"/>
          </w:tcPr>
          <w:p w14:paraId="3763177F">
            <w:pPr>
              <w:jc w:val="center"/>
              <w:rPr>
                <w:rFonts w:hint="eastAsia" w:ascii="宋体" w:hAnsi="宋体" w:eastAsia="宋体" w:cs="宋体"/>
                <w:sz w:val="18"/>
                <w:szCs w:val="18"/>
              </w:rPr>
            </w:pPr>
            <w:r>
              <w:rPr>
                <w:rFonts w:hint="eastAsia" w:ascii="宋体" w:hAnsi="宋体" w:eastAsia="宋体" w:cs="宋体"/>
                <w:sz w:val="18"/>
                <w:szCs w:val="18"/>
              </w:rPr>
              <w:t>&gt;=39个</w:t>
            </w:r>
          </w:p>
        </w:tc>
        <w:tc>
          <w:tcPr>
            <w:tcW w:w="1842" w:type="dxa"/>
            <w:tcBorders>
              <w:top w:val="nil"/>
              <w:left w:val="nil"/>
              <w:bottom w:val="single" w:color="auto" w:sz="4" w:space="0"/>
              <w:right w:val="single" w:color="auto" w:sz="4" w:space="0"/>
            </w:tcBorders>
            <w:noWrap/>
            <w:vAlign w:val="center"/>
          </w:tcPr>
          <w:p w14:paraId="6F892A3E">
            <w:pPr>
              <w:rPr>
                <w:rFonts w:hint="eastAsia" w:ascii="宋体" w:hAnsi="宋体" w:eastAsia="宋体" w:cs="宋体"/>
                <w:sz w:val="18"/>
                <w:szCs w:val="18"/>
                <w:lang w:eastAsia="zh-CN"/>
              </w:rPr>
            </w:pPr>
            <w:r>
              <w:rPr>
                <w:rFonts w:hint="eastAsia" w:ascii="宋体" w:hAnsi="宋体" w:eastAsia="宋体" w:cs="宋体"/>
                <w:sz w:val="18"/>
                <w:szCs w:val="18"/>
                <w:lang w:eastAsia="zh-CN"/>
              </w:rPr>
              <w:t>《关于做好2024年冬春职业技能培训工作的通知》</w:t>
            </w:r>
          </w:p>
        </w:tc>
        <w:tc>
          <w:tcPr>
            <w:tcW w:w="993" w:type="dxa"/>
            <w:tcBorders>
              <w:top w:val="nil"/>
              <w:left w:val="nil"/>
              <w:bottom w:val="single" w:color="auto" w:sz="4" w:space="0"/>
              <w:right w:val="single" w:color="auto" w:sz="4" w:space="0"/>
            </w:tcBorders>
            <w:noWrap/>
            <w:vAlign w:val="center"/>
          </w:tcPr>
          <w:p w14:paraId="7C2674D2">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6A5C967F">
            <w:pPr>
              <w:jc w:val="center"/>
              <w:rPr>
                <w:rFonts w:hint="eastAsia" w:ascii="宋体" w:hAnsi="宋体" w:eastAsia="宋体" w:cs="宋体"/>
                <w:sz w:val="18"/>
                <w:szCs w:val="18"/>
              </w:rPr>
            </w:pPr>
            <w:r>
              <w:rPr>
                <w:rFonts w:hint="eastAsia" w:ascii="宋体" w:hAnsi="宋体" w:eastAsia="宋体" w:cs="宋体"/>
                <w:sz w:val="18"/>
                <w:szCs w:val="18"/>
              </w:rPr>
              <w:t>=64个</w:t>
            </w:r>
          </w:p>
        </w:tc>
        <w:tc>
          <w:tcPr>
            <w:tcW w:w="720" w:type="dxa"/>
            <w:tcBorders>
              <w:top w:val="nil"/>
              <w:left w:val="nil"/>
              <w:bottom w:val="single" w:color="auto" w:sz="4" w:space="0"/>
              <w:right w:val="single" w:color="auto" w:sz="4" w:space="0"/>
            </w:tcBorders>
            <w:noWrap/>
            <w:vAlign w:val="center"/>
          </w:tcPr>
          <w:p w14:paraId="7D0669DD">
            <w:pPr>
              <w:jc w:val="center"/>
              <w:rPr>
                <w:rFonts w:hint="eastAsia" w:ascii="宋体" w:hAnsi="宋体" w:eastAsia="宋体" w:cs="宋体"/>
                <w:sz w:val="18"/>
                <w:szCs w:val="18"/>
              </w:rPr>
            </w:pPr>
            <w:r>
              <w:rPr>
                <w:rFonts w:hint="eastAsia" w:ascii="宋体" w:hAnsi="宋体" w:eastAsia="宋体" w:cs="宋体"/>
                <w:sz w:val="18"/>
                <w:szCs w:val="18"/>
              </w:rPr>
              <w:t>15</w:t>
            </w:r>
          </w:p>
        </w:tc>
      </w:tr>
      <w:bookmarkEnd w:id="7"/>
    </w:tbl>
    <w:p w14:paraId="71794AD6">
      <w:pPr>
        <w:rPr>
          <w:rFonts w:hint="eastAsia" w:ascii="宋体" w:hAnsi="宋体" w:eastAsia="宋体" w:cs="宋体"/>
          <w:b/>
          <w:bCs/>
          <w:sz w:val="18"/>
          <w:szCs w:val="18"/>
          <w:lang w:eastAsia="zh-CN"/>
        </w:rPr>
      </w:pPr>
    </w:p>
    <w:p w14:paraId="139672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0EF919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05533092">
      <w:pPr>
        <w:rPr>
          <w:rFonts w:hint="eastAsia"/>
          <w:lang w:eastAsia="zh-CN"/>
        </w:rPr>
      </w:pPr>
      <w:r>
        <w:rPr>
          <w:sz w:val="0"/>
          <w:szCs w:val="0"/>
          <w:lang w:eastAsia="zh-CN"/>
        </w:rPr>
        <w:br w:type="page"/>
      </w:r>
    </w:p>
    <w:p w14:paraId="637AFCF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046BAB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474C58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ECBCDB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B9F309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51794F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4BB145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808E99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8F5E3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126A1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97CCE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3FF25E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E5E3C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030BC9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C0D37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87D3C71">
      <w:pPr>
        <w:rPr>
          <w:rFonts w:hint="eastAsia"/>
          <w:lang w:eastAsia="zh-CN"/>
        </w:rPr>
      </w:pPr>
      <w:r>
        <w:rPr>
          <w:sz w:val="0"/>
          <w:szCs w:val="0"/>
          <w:lang w:eastAsia="zh-CN"/>
        </w:rPr>
        <w:br w:type="page"/>
      </w:r>
    </w:p>
    <w:p w14:paraId="2784AE7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824F46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CC0D49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CA9193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E3879A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7A05B2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DD6C74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A6F6C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554AC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E22166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3F768F"/>
    <w:rsid w:val="0039732F"/>
    <w:rsid w:val="003F768F"/>
    <w:rsid w:val="009E2D45"/>
    <w:rsid w:val="00CD04D1"/>
    <w:rsid w:val="3DBB5D85"/>
    <w:rsid w:val="5EF24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5962</Words>
  <Characters>6598</Characters>
  <Lines>458</Lines>
  <Paragraphs>426</Paragraphs>
  <TotalTime>16</TotalTime>
  <ScaleCrop>false</ScaleCrop>
  <LinksUpToDate>false</LinksUpToDate>
  <CharactersWithSpaces>6608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2025-09-19T03:53:00Z</dcterms:created>
  <dc:creator>ldan</dc:creator>
  <cp:lastModifiedBy>W.w</cp:lastModifiedBy>
  <dcterms:modified xsi:type="dcterms:W3CDTF">2025-09-22T08:54:26Z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25118E053A2743CA89E851B542DD565E_12</vt:lpwstr>
  </property>
</Properties>
</file>