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61F19">
      <w:pPr>
        <w:spacing w:after="0" w:line="240" w:lineRule="auto"/>
        <w:rPr>
          <w:rFonts w:hint="eastAsia" w:ascii="宋体" w:eastAsia="宋体"/>
          <w:sz w:val="32"/>
          <w:szCs w:val="32"/>
        </w:rPr>
      </w:pPr>
    </w:p>
    <w:p w14:paraId="3293C944">
      <w:pPr>
        <w:spacing w:after="0" w:line="240" w:lineRule="auto"/>
        <w:rPr>
          <w:rFonts w:hint="eastAsia" w:ascii="宋体" w:eastAsia="宋体"/>
          <w:sz w:val="44"/>
          <w:szCs w:val="44"/>
        </w:rPr>
      </w:pPr>
    </w:p>
    <w:p w14:paraId="6A9CFE9B">
      <w:pPr>
        <w:spacing w:after="0" w:line="240" w:lineRule="auto"/>
        <w:rPr>
          <w:rFonts w:hint="eastAsia" w:ascii="宋体" w:eastAsia="宋体"/>
          <w:sz w:val="44"/>
          <w:szCs w:val="44"/>
        </w:rPr>
      </w:pPr>
    </w:p>
    <w:p w14:paraId="23E07666">
      <w:pPr>
        <w:spacing w:after="0" w:line="240" w:lineRule="auto"/>
        <w:rPr>
          <w:rFonts w:hint="eastAsia" w:ascii="宋体" w:eastAsia="宋体"/>
          <w:sz w:val="44"/>
          <w:szCs w:val="44"/>
        </w:rPr>
      </w:pPr>
    </w:p>
    <w:p w14:paraId="752AE4B8">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奇台县工商业联合会（商会）</w:t>
      </w:r>
    </w:p>
    <w:p w14:paraId="0995537E">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0B0CAEF">
      <w:pPr>
        <w:rPr>
          <w:rFonts w:hint="eastAsia"/>
          <w:lang w:eastAsia="zh-CN"/>
        </w:rPr>
      </w:pPr>
      <w:r>
        <w:rPr>
          <w:sz w:val="0"/>
          <w:szCs w:val="0"/>
          <w:lang w:eastAsia="zh-CN"/>
        </w:rPr>
        <w:br w:type="page"/>
      </w:r>
    </w:p>
    <w:p w14:paraId="59661B93">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3D3CADB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5BE050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4780A3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2D0475E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F2C88C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0A87C3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156719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2F38CD1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12166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95E0AC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7D09C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8FFB98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57D2DD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E55253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38196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D677B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5E93A6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4F726B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739C283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8BEEDA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FAF809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AE452A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5442D26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228F03F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63975A2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06A01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3DBEDCD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E2B608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123D46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697F1F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E2B8C2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7AD20D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D2B6E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49C04025">
      <w:pPr>
        <w:rPr>
          <w:rFonts w:hint="eastAsia"/>
          <w:lang w:eastAsia="zh-CN"/>
        </w:rPr>
      </w:pPr>
      <w:r>
        <w:rPr>
          <w:sz w:val="0"/>
          <w:szCs w:val="0"/>
          <w:lang w:eastAsia="zh-CN"/>
        </w:rPr>
        <w:br w:type="page"/>
      </w:r>
    </w:p>
    <w:p w14:paraId="6F699F0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4207F79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6B1258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（1）依据《中国工商业联合会章程》，贯彻执行奇台县工商联执委会、常委会决议。</w:t>
      </w:r>
    </w:p>
    <w:p w14:paraId="379FF9F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（2）做好奇台县工商联履行政治协商、参政议政、民主监督职能的有关工作。</w:t>
      </w:r>
    </w:p>
    <w:p w14:paraId="0F50253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（3）宣传党和国家的方针政策，开展非公有制经济人士思想工作，做好非公有制经济代表人士的日常联系考察、培养工作，协助做好政治安排推荐的有关工作。</w:t>
      </w:r>
    </w:p>
    <w:p w14:paraId="14FA95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（4）负责奇台县商会具体工作，加强与政府部门及有关经济组织的联系，为会员企业开展经济活动提供服务。</w:t>
      </w:r>
    </w:p>
    <w:p w14:paraId="6C34CCB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（5）依照法律和《中国工商业联合会章程》，维护会员的合法权利；反映会员的意见、建议，为会员提供服务，帮助解决生产经营中的实际问题。</w:t>
      </w:r>
    </w:p>
    <w:p w14:paraId="409F77A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（6）加强对外联系，促进经济、技术、和贸易合作，协助引进资金、技术、人才。</w:t>
      </w:r>
    </w:p>
    <w:p w14:paraId="692002F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（7）开展工商专业培训，帮助会员改善经营管理，提高生产技术和产品质量。</w:t>
      </w:r>
    </w:p>
    <w:p w14:paraId="40BD36D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（8）对基层业务工作进行指导。</w:t>
      </w:r>
    </w:p>
    <w:p w14:paraId="35ED26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（9）承担县委、县人民政府授权和交办的其他工作。</w:t>
      </w:r>
    </w:p>
    <w:p w14:paraId="65EEB5A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11BB2A4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奇台县工商业联合会（商会）2024年度，实有人数8人，其中：在职人员4人，较上年无变化；离休人员0人，较上年无变化；退休人员4人，较上年无变化</w:t>
      </w:r>
      <w:r>
        <w:rPr>
          <w:rFonts w:hint="eastAsia" w:ascii="仿宋_GB2312" w:eastAsia="仿宋_GB2312"/>
          <w:sz w:val="32"/>
          <w:szCs w:val="32"/>
          <w:lang w:eastAsia="zh-CN"/>
        </w:rPr>
        <w:t>。</w:t>
      </w:r>
    </w:p>
    <w:p w14:paraId="545277A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奇台县工商业联合会（商会）无下属预算单位，下设1个</w:t>
      </w:r>
      <w:r>
        <w:rPr>
          <w:rFonts w:hint="eastAsia" w:ascii="仿宋_GB2312" w:eastAsia="仿宋_GB2312"/>
          <w:sz w:val="32"/>
          <w:szCs w:val="32"/>
          <w:lang w:eastAsia="zh-CN"/>
        </w:rPr>
        <w:t>科室</w:t>
      </w:r>
      <w:r>
        <w:rPr>
          <w:rFonts w:ascii="仿宋_GB2312" w:eastAsia="仿宋_GB2312"/>
          <w:sz w:val="32"/>
          <w:szCs w:val="32"/>
          <w:lang w:eastAsia="zh-CN"/>
        </w:rPr>
        <w:t>，分别是：办公室。</w:t>
      </w:r>
    </w:p>
    <w:p w14:paraId="7AC53DE5">
      <w:pPr>
        <w:rPr>
          <w:rFonts w:hint="eastAsia"/>
          <w:lang w:eastAsia="zh-CN"/>
        </w:rPr>
      </w:pPr>
      <w:r>
        <w:rPr>
          <w:sz w:val="0"/>
          <w:szCs w:val="0"/>
          <w:lang w:eastAsia="zh-CN"/>
        </w:rPr>
        <w:br w:type="page"/>
      </w:r>
    </w:p>
    <w:p w14:paraId="7BE4808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0823FBD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781022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2024年度收入总计77.26万元，其中：本年收入合计77.26万元，使用非财政拨款结余（含专用结余）0.00万元，年初结转和结余0.00万元。</w:t>
      </w:r>
    </w:p>
    <w:p w14:paraId="5B3C81F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2024年度支出总计77.26万元，其中：本年支出合计77.26万元，结余分配0.00万元，年末结转和结余0.00万元。</w:t>
      </w:r>
    </w:p>
    <w:p w14:paraId="3B52948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收入支出总体与上年相比，增加5.22万元，增长7.25%，主要原因是：</w:t>
      </w:r>
      <w:r>
        <w:rPr>
          <w:rFonts w:hint="eastAsia" w:ascii="仿宋_GB2312" w:eastAsia="仿宋_GB2312"/>
          <w:sz w:val="32"/>
          <w:szCs w:val="32"/>
          <w:lang w:eastAsia="zh-CN"/>
        </w:rPr>
        <w:t>单位本年在职人员工资调增，人员工资、津贴补贴、奖金、养老保险缴费、公积金缴费等经费增加；退休人员取暖费、交通补助费用增加</w:t>
      </w:r>
      <w:r>
        <w:rPr>
          <w:rFonts w:ascii="仿宋_GB2312" w:eastAsia="仿宋_GB2312"/>
          <w:sz w:val="32"/>
          <w:szCs w:val="32"/>
          <w:lang w:eastAsia="zh-CN"/>
        </w:rPr>
        <w:t>。</w:t>
      </w:r>
    </w:p>
    <w:p w14:paraId="6A18066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36BAB3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本年收入77.26万元，其中：财政拨款收入77.24万元,占99.97%；上级补助收入0.00万元,占0.00%；事业收入0.00万元，占0.00%；经营收入0.00万元,占0.00%；附属单位上缴收入0.00万元，占0.00%；其他收入0.02万元，占0.03%。</w:t>
      </w:r>
    </w:p>
    <w:p w14:paraId="3373C97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7C03FE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本年支出77.26万元，其中：基本支出77.26万元，占100.00%；项目支出0.00万元，占0.00%；上缴上级支出0.00万元，占0.00%；经营支出0.00万元，占0.00%；对附属单位补助支出0.00万元，占0.00%。</w:t>
      </w:r>
    </w:p>
    <w:p w14:paraId="404521B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372A92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2024年度财政拨款收入总计77.24万元，其中：年初财政拨款结转和结余0.00万元，本年财政拨款收入77.24万元。财政拨款支出总计77.24万元，其中：年末财政拨款结转和结余0.00万元，本年财政拨款支出77.24万元。</w:t>
      </w:r>
    </w:p>
    <w:p w14:paraId="773724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财政拨款收入支出总体与上年相比，增加5.26万元，增长7.31%，主要原因是：</w:t>
      </w:r>
      <w:r>
        <w:rPr>
          <w:rFonts w:hint="eastAsia" w:ascii="仿宋_GB2312" w:eastAsia="仿宋_GB2312"/>
          <w:sz w:val="32"/>
          <w:szCs w:val="32"/>
          <w:lang w:eastAsia="zh-CN"/>
        </w:rPr>
        <w:t>单位本年在职人员工资调增，人员工资、津贴补贴、奖金、养老保险缴费、公积金缴费等经费增加；退休人员取暖费、交通补助费用增加</w:t>
      </w:r>
      <w:r>
        <w:rPr>
          <w:rFonts w:ascii="仿宋_GB2312" w:eastAsia="仿宋_GB2312"/>
          <w:sz w:val="32"/>
          <w:szCs w:val="32"/>
          <w:lang w:eastAsia="zh-CN"/>
        </w:rPr>
        <w:t>。与年初预算相比，年初预算数79.06万元，决算数77.24万元，预决算差异率-2.30%，主要原因是：</w:t>
      </w:r>
      <w:r>
        <w:rPr>
          <w:rFonts w:hint="eastAsia" w:ascii="仿宋_GB2312" w:eastAsia="仿宋_GB2312"/>
          <w:sz w:val="32"/>
          <w:szCs w:val="32"/>
          <w:lang w:eastAsia="zh-CN"/>
        </w:rPr>
        <w:t>较预算减少人员医疗保险缴费、大病医疗保险缴费</w:t>
      </w:r>
      <w:r>
        <w:rPr>
          <w:rFonts w:ascii="仿宋_GB2312" w:eastAsia="仿宋_GB2312"/>
          <w:sz w:val="32"/>
          <w:szCs w:val="32"/>
          <w:lang w:eastAsia="zh-CN"/>
        </w:rPr>
        <w:t>。</w:t>
      </w:r>
    </w:p>
    <w:p w14:paraId="19741CB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167EFCF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20BA563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2024年度一般公共预算财政拨款支出77.24万元，占本年支出合计的99.97%。与上年相比，增加5.26万元，增长7.31%，主要原因是：</w:t>
      </w:r>
      <w:r>
        <w:rPr>
          <w:rFonts w:hint="eastAsia" w:ascii="仿宋_GB2312" w:eastAsia="仿宋_GB2312"/>
          <w:sz w:val="32"/>
          <w:szCs w:val="32"/>
          <w:lang w:eastAsia="zh-CN"/>
        </w:rPr>
        <w:t>单位本年在职人员工资调增，人员工资、津贴补贴、奖金、养老保险缴费、公积金缴费等经费增加；退休人员取暖费、交通补助费用增加</w:t>
      </w:r>
      <w:r>
        <w:rPr>
          <w:rFonts w:ascii="仿宋_GB2312" w:eastAsia="仿宋_GB2312"/>
          <w:sz w:val="32"/>
          <w:szCs w:val="32"/>
          <w:lang w:eastAsia="zh-CN"/>
        </w:rPr>
        <w:t>。与年初预算相比，年初预算数79.06万元，决算数77.24万元，预决算差异率-2.30%，主要原因是：</w:t>
      </w:r>
      <w:r>
        <w:rPr>
          <w:rFonts w:hint="eastAsia" w:ascii="仿宋_GB2312" w:eastAsia="仿宋_GB2312"/>
          <w:sz w:val="32"/>
          <w:szCs w:val="32"/>
          <w:lang w:eastAsia="zh-CN"/>
        </w:rPr>
        <w:t>较预算减少人员医疗保险缴费、大病医疗保险缴费</w:t>
      </w:r>
      <w:r>
        <w:rPr>
          <w:rFonts w:ascii="仿宋_GB2312" w:eastAsia="仿宋_GB2312"/>
          <w:sz w:val="32"/>
          <w:szCs w:val="32"/>
          <w:lang w:eastAsia="zh-CN"/>
        </w:rPr>
        <w:t>。</w:t>
      </w:r>
    </w:p>
    <w:p w14:paraId="278A12F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7071E5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一般公共服务支出（类）53.76万元，占69.60%。</w:t>
      </w:r>
    </w:p>
    <w:p w14:paraId="6723024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社会保障和就业支出（类）13.22万元，占17.12%。</w:t>
      </w:r>
    </w:p>
    <w:p w14:paraId="451B83E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卫生健康支出（类）4.54万元，占5.88%。</w:t>
      </w:r>
    </w:p>
    <w:p w14:paraId="4BA04FD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住房保障支出（类）5.72万元，占7.41%。</w:t>
      </w:r>
    </w:p>
    <w:p w14:paraId="6024E9C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0328D02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1、一般公共服务支出（类）民主党派及工商联事务（款）行政运行（项）：支出决算数为53.76万元，比上年决算增加0.37万元，增长0.69%，主要原因是：</w:t>
      </w:r>
      <w:r>
        <w:rPr>
          <w:rFonts w:hint="eastAsia" w:ascii="仿宋_GB2312" w:eastAsia="仿宋_GB2312"/>
          <w:sz w:val="32"/>
          <w:szCs w:val="32"/>
          <w:lang w:eastAsia="zh-CN"/>
        </w:rPr>
        <w:t>单位本年在职人员工资调增，人员工资、津贴补贴、奖金等经费增加</w:t>
      </w:r>
      <w:r>
        <w:rPr>
          <w:rFonts w:ascii="仿宋_GB2312" w:eastAsia="仿宋_GB2312"/>
          <w:sz w:val="32"/>
          <w:szCs w:val="32"/>
          <w:lang w:eastAsia="zh-CN"/>
        </w:rPr>
        <w:t>。</w:t>
      </w:r>
    </w:p>
    <w:p w14:paraId="4FC7559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2、社会保障和就业支出（类）行政事业单位养老支出（款）行政单位离退休（项）：支出决算数为2.59万元，比上年决算增加0.79万元，增长43.89%，主要原因是：</w:t>
      </w:r>
      <w:r>
        <w:rPr>
          <w:rFonts w:hint="eastAsia" w:ascii="仿宋_GB2312" w:eastAsia="仿宋_GB2312"/>
          <w:sz w:val="32"/>
          <w:szCs w:val="32"/>
          <w:lang w:eastAsia="zh-CN"/>
        </w:rPr>
        <w:t>单位本年退休人员取暖费、交通补助费用增加</w:t>
      </w:r>
      <w:r>
        <w:rPr>
          <w:rFonts w:ascii="仿宋_GB2312" w:eastAsia="仿宋_GB2312"/>
          <w:sz w:val="32"/>
          <w:szCs w:val="32"/>
          <w:lang w:eastAsia="zh-CN"/>
        </w:rPr>
        <w:t>。</w:t>
      </w:r>
    </w:p>
    <w:p w14:paraId="2D2B7CB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3、社会保障和就业支出（类）行政事业单位养老支出（款）机关事业单位基本养老保险缴费支出（项）：支出决算数为7.09万元，比上年决算增加0.24万元，增长3.50%，主要原因是：</w:t>
      </w:r>
      <w:r>
        <w:rPr>
          <w:rFonts w:hint="eastAsia" w:ascii="仿宋_GB2312" w:eastAsia="仿宋_GB2312"/>
          <w:sz w:val="32"/>
          <w:szCs w:val="32"/>
          <w:lang w:eastAsia="zh-CN"/>
        </w:rPr>
        <w:t>单位本年社保缴费基数调增，人员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p>
    <w:p w14:paraId="785D4B4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4、社会保障和就业支出（类）行政事业单位养老支出（款）机关事业单位职业年金缴费支出（项）：支出决算数为3.54万元，比上年决算增加3.54万元，增长100.00%，主要原因是：</w:t>
      </w:r>
      <w:r>
        <w:rPr>
          <w:rFonts w:hint="eastAsia" w:ascii="仿宋_GB2312" w:eastAsia="仿宋_GB2312"/>
          <w:sz w:val="32"/>
          <w:szCs w:val="32"/>
          <w:lang w:eastAsia="zh-CN"/>
        </w:rPr>
        <w:t>单位本年人员一次性职业年金缴费增加</w:t>
      </w:r>
      <w:r>
        <w:rPr>
          <w:rFonts w:ascii="仿宋_GB2312" w:eastAsia="仿宋_GB2312"/>
          <w:sz w:val="32"/>
          <w:szCs w:val="32"/>
          <w:lang w:eastAsia="zh-CN"/>
        </w:rPr>
        <w:t>。</w:t>
      </w:r>
    </w:p>
    <w:p w14:paraId="2E1ED7B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5、卫生健康支出（类）行政事业单位医疗（款）行政单位医疗（项）：支出决算数为3.54万元，比上年决算减少0.15万元，下降4.07%，主要原因是：</w:t>
      </w:r>
      <w:r>
        <w:rPr>
          <w:rFonts w:hint="eastAsia" w:ascii="仿宋_GB2312" w:eastAsia="仿宋_GB2312"/>
          <w:sz w:val="32"/>
          <w:szCs w:val="32"/>
          <w:lang w:eastAsia="zh-CN"/>
        </w:rPr>
        <w:t>新公招人员缴费基数低于调出人员，缴费基数总额减少，导致人员医疗保险缴费减少</w:t>
      </w:r>
      <w:r>
        <w:rPr>
          <w:rFonts w:ascii="仿宋_GB2312" w:eastAsia="仿宋_GB2312"/>
          <w:sz w:val="32"/>
          <w:szCs w:val="32"/>
          <w:lang w:eastAsia="zh-CN"/>
        </w:rPr>
        <w:t>。</w:t>
      </w:r>
    </w:p>
    <w:p w14:paraId="70463C0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6、卫生健康支出（类）行政事业单位医疗（款）公务员医疗补助（项）：支出决算数为0.97万元，比上年决算增加0.29万元，增长42.65%，主要原因是：</w:t>
      </w:r>
      <w:r>
        <w:rPr>
          <w:rFonts w:hint="eastAsia" w:ascii="仿宋_GB2312" w:eastAsia="仿宋_GB2312"/>
          <w:sz w:val="32"/>
          <w:szCs w:val="32"/>
          <w:lang w:eastAsia="zh-CN"/>
        </w:rPr>
        <w:t>单位本年社保缴费基数调增，人员医疗保险缴费增加</w:t>
      </w:r>
      <w:r>
        <w:rPr>
          <w:rFonts w:ascii="仿宋_GB2312" w:eastAsia="仿宋_GB2312"/>
          <w:sz w:val="32"/>
          <w:szCs w:val="32"/>
          <w:lang w:eastAsia="zh-CN"/>
        </w:rPr>
        <w:t>。</w:t>
      </w:r>
    </w:p>
    <w:p w14:paraId="5178D8D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7、卫生健康支出（类）行政事业单位医疗（款）其他行政事业单位医疗支出（项）：支出决算数为0.02万元，比上年决算减少0.03万元，下降60.00%，主要原因是：</w:t>
      </w:r>
      <w:r>
        <w:rPr>
          <w:rFonts w:hint="eastAsia" w:ascii="仿宋_GB2312" w:eastAsia="仿宋_GB2312"/>
          <w:sz w:val="32"/>
          <w:szCs w:val="32"/>
          <w:lang w:eastAsia="zh-CN"/>
        </w:rPr>
        <w:t>单位本年人员大病医疗保险缴费减少</w:t>
      </w:r>
      <w:r>
        <w:rPr>
          <w:rFonts w:ascii="仿宋_GB2312" w:eastAsia="仿宋_GB2312"/>
          <w:sz w:val="32"/>
          <w:szCs w:val="32"/>
          <w:lang w:eastAsia="zh-CN"/>
        </w:rPr>
        <w:t>。</w:t>
      </w:r>
    </w:p>
    <w:p w14:paraId="242482B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8、住房保障支出（类）住房改革支出（款）住房公积金（项）：支出决算数为5.72万元，比上年决算增加0.18万元，增长3.25%，主要原因是：</w:t>
      </w:r>
      <w:r>
        <w:rPr>
          <w:rFonts w:hint="eastAsia" w:ascii="仿宋_GB2312" w:eastAsia="仿宋_GB2312"/>
          <w:sz w:val="32"/>
          <w:szCs w:val="32"/>
          <w:lang w:eastAsia="zh-CN"/>
        </w:rPr>
        <w:t>单位本年公积金缴费基数调增，人员公积金缴费增加。</w:t>
      </w:r>
    </w:p>
    <w:p w14:paraId="27B72D3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394ECAE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77.24万元，其中：人员经费74.71万元，包括：基本工资、津贴补贴、奖金、机关事业单位基本养老保险缴费、职业年金缴费、职工基本医疗保险缴费、公务员医疗补助缴费、其他社会保障缴费、住房公积金、退休费和奖励金。</w:t>
      </w:r>
    </w:p>
    <w:p w14:paraId="1ECA1E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公用经费2.53万元，包括：办公费、邮电费、差旅费和工会经费。</w:t>
      </w:r>
    </w:p>
    <w:p w14:paraId="4B015C5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0E40136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B3621A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76B6C4F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CAEE66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3CCA2A4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14081"/>
      <w:bookmarkStart w:id="1" w:name="_Hlk207720892"/>
      <w:r>
        <w:rPr>
          <w:rFonts w:hint="eastAsia" w:ascii="仿宋_GB2312" w:eastAsia="仿宋_GB2312"/>
          <w:sz w:val="32"/>
          <w:szCs w:val="32"/>
          <w:lang w:eastAsia="zh-CN"/>
        </w:rPr>
        <w:t>我单位上年度与本年度均无</w:t>
      </w:r>
      <w:bookmarkEnd w:id="0"/>
      <w:r>
        <w:rPr>
          <w:rFonts w:hint="eastAsia" w:ascii="仿宋_GB2312" w:eastAsia="仿宋_GB2312"/>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32C4C15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413A98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7FFB208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Pr>
          <w:rFonts w:hint="eastAsia" w:ascii="仿宋_GB2312" w:eastAsia="仿宋_GB2312"/>
          <w:sz w:val="32"/>
          <w:szCs w:val="32"/>
          <w:lang w:eastAsia="zh-CN"/>
        </w:rPr>
        <w:t>本</w:t>
      </w:r>
      <w:r>
        <w:rPr>
          <w:rFonts w:ascii="仿宋_GB2312" w:eastAsia="仿宋_GB2312"/>
          <w:sz w:val="32"/>
          <w:szCs w:val="32"/>
          <w:lang w:eastAsia="zh-CN"/>
        </w:rPr>
        <w:t>单位本年度无</w:t>
      </w:r>
      <w:bookmarkEnd w:id="3"/>
      <w:bookmarkEnd w:id="4"/>
      <w:r>
        <w:rPr>
          <w:rFonts w:ascii="仿宋_GB2312" w:eastAsia="仿宋_GB2312"/>
          <w:sz w:val="32"/>
          <w:szCs w:val="32"/>
          <w:lang w:eastAsia="zh-CN"/>
        </w:rPr>
        <w:t>公务用车运行维护费。公务用车购置数0辆，公务用车保有量0辆。国有资产占用情况中固定资产车辆1辆，与公务用车保有量差异原因是：</w:t>
      </w:r>
      <w:bookmarkStart w:id="5" w:name="_Hlk207052989"/>
      <w:r>
        <w:rPr>
          <w:rFonts w:hint="eastAsia" w:ascii="仿宋_GB2312" w:eastAsia="仿宋_GB2312"/>
          <w:sz w:val="32"/>
          <w:szCs w:val="32"/>
          <w:lang w:eastAsia="zh-CN"/>
        </w:rPr>
        <w:t>差异车辆为一般业务用车1辆，预算未安排公务用车运行维护费</w:t>
      </w:r>
      <w:bookmarkEnd w:id="5"/>
      <w:r>
        <w:rPr>
          <w:rFonts w:ascii="仿宋_GB2312" w:eastAsia="仿宋_GB2312"/>
          <w:sz w:val="32"/>
          <w:szCs w:val="32"/>
          <w:lang w:eastAsia="zh-CN"/>
        </w:rPr>
        <w:t>。</w:t>
      </w:r>
    </w:p>
    <w:p w14:paraId="601CBE6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6" w:name="_Hlk207128367"/>
      <w:r>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49C2498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7" w:name="_Hlk207110149"/>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3D8B38B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210B0C8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3FEBBD2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2024年度奇台县工商业联合会（商会）单位（行政单位和参照公务员法管理事业单位）机关运行经费支出2.53万元，比上年增加1.33万元，增长110.83%，主要原因是：</w:t>
      </w:r>
      <w:r>
        <w:rPr>
          <w:rFonts w:hint="eastAsia" w:ascii="仿宋_GB2312" w:eastAsia="仿宋_GB2312"/>
          <w:sz w:val="32"/>
          <w:szCs w:val="32"/>
          <w:lang w:eastAsia="zh-CN"/>
        </w:rPr>
        <w:t>单位本年</w:t>
      </w:r>
      <w:r>
        <w:rPr>
          <w:rFonts w:ascii="仿宋_GB2312" w:eastAsia="仿宋_GB2312"/>
          <w:sz w:val="32"/>
          <w:szCs w:val="32"/>
          <w:lang w:eastAsia="zh-CN"/>
        </w:rPr>
        <w:t>办公费、邮电费、差旅费</w:t>
      </w:r>
      <w:r>
        <w:rPr>
          <w:rFonts w:hint="eastAsia" w:ascii="仿宋_GB2312" w:eastAsia="仿宋_GB2312"/>
          <w:sz w:val="32"/>
          <w:szCs w:val="32"/>
          <w:lang w:eastAsia="zh-CN"/>
        </w:rPr>
        <w:t>增加</w:t>
      </w:r>
      <w:r>
        <w:rPr>
          <w:rFonts w:ascii="仿宋_GB2312" w:eastAsia="仿宋_GB2312"/>
          <w:sz w:val="32"/>
          <w:szCs w:val="32"/>
          <w:lang w:eastAsia="zh-CN"/>
        </w:rPr>
        <w:t>。</w:t>
      </w:r>
    </w:p>
    <w:p w14:paraId="51C3760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5293B89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2024年度政府采购支出总额2.85万元，其中：政府采购货物支出1.08万元、政府采购工程支出0.00万元、政府采购服务支出1.76万元。</w:t>
      </w:r>
    </w:p>
    <w:p w14:paraId="081E699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授予中小企业合同金额2.67万元，占政府采购支出总额的93.68%，其中：授予小微企业合同金额2.67万元，占政府采购支出总额的93.68%。</w:t>
      </w:r>
    </w:p>
    <w:p w14:paraId="11C526F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537571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9.80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用车;单价100万元（含）以上设备（不含车辆）0台（套）。</w:t>
      </w:r>
    </w:p>
    <w:p w14:paraId="5B96FBC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1E19B08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根据预算绩效管理要求，本单位2024年度预算绩效管理形成整体支出绩效自评表1个，全年预算总额77.26万元，实际执行总额77.26万元；预算绩效评价项目0个，全年预算数0</w:t>
      </w:r>
      <w:r>
        <w:rPr>
          <w:rFonts w:hint="eastAsia" w:ascii="仿宋_GB2312" w:eastAsia="仿宋_GB2312"/>
          <w:sz w:val="32"/>
          <w:szCs w:val="32"/>
          <w:lang w:eastAsia="zh-CN"/>
        </w:rPr>
        <w:t>.00</w:t>
      </w:r>
      <w:r>
        <w:rPr>
          <w:rFonts w:ascii="仿宋_GB2312" w:eastAsia="仿宋_GB2312"/>
          <w:sz w:val="32"/>
          <w:szCs w:val="32"/>
          <w:lang w:eastAsia="zh-CN"/>
        </w:rPr>
        <w:t>万元，全年执行数0</w:t>
      </w:r>
      <w:r>
        <w:rPr>
          <w:rFonts w:hint="eastAsia" w:ascii="仿宋_GB2312" w:eastAsia="仿宋_GB2312"/>
          <w:sz w:val="32"/>
          <w:szCs w:val="32"/>
          <w:lang w:eastAsia="zh-CN"/>
        </w:rPr>
        <w:t>.00</w:t>
      </w:r>
      <w:r>
        <w:rPr>
          <w:rFonts w:ascii="仿宋_GB2312" w:eastAsia="仿宋_GB2312"/>
          <w:sz w:val="32"/>
          <w:szCs w:val="32"/>
          <w:lang w:eastAsia="zh-CN"/>
        </w:rPr>
        <w:t>万元。预算绩效管理取得的成效：一是管理制度更加健全。成立了预算绩效管理领导小组，制定了本单位的预算绩效管理制度和预算绩效指标评价体系，明确了责任分工和工作方向，为预算绩效管理工作提供了制度保障和工作指引</w:t>
      </w:r>
      <w:r>
        <w:rPr>
          <w:rFonts w:hint="eastAsia" w:ascii="仿宋_GB2312" w:eastAsia="仿宋_GB2312"/>
          <w:sz w:val="32"/>
          <w:szCs w:val="32"/>
          <w:lang w:eastAsia="zh-CN"/>
        </w:rPr>
        <w:t>；</w:t>
      </w:r>
      <w:r>
        <w:rPr>
          <w:rFonts w:ascii="仿宋_GB2312" w:eastAsia="仿宋_GB2312"/>
          <w:sz w:val="32"/>
          <w:szCs w:val="32"/>
          <w:lang w:eastAsia="zh-CN"/>
        </w:rPr>
        <w:t>二是绩效意识显著提升。预算绩效管理工作的开展，使单位更清楚地了解财政支出所要取得的社会和经济效益，明确了“用钱必问效、无效要问责”，强化了自我约束和责任意识。发现的问题及原因：一是在预算执行过程中，由于各种客观原因存在指标之间调剂使用的现象，预算编制、使用需要更加科学、及时。原因是由于业务人员绩效管理意识不强，未能全面深入认识理解绩效管理工作的意义。绩效管理经验不足，预算绩效管理工作有待进一步落实</w:t>
      </w:r>
      <w:r>
        <w:rPr>
          <w:rFonts w:hint="eastAsia" w:ascii="仿宋_GB2312" w:eastAsia="仿宋_GB2312"/>
          <w:sz w:val="32"/>
          <w:szCs w:val="32"/>
          <w:lang w:eastAsia="zh-CN"/>
        </w:rPr>
        <w:t>；</w:t>
      </w:r>
      <w:r>
        <w:rPr>
          <w:rFonts w:ascii="仿宋_GB2312" w:eastAsia="仿宋_GB2312"/>
          <w:sz w:val="32"/>
          <w:szCs w:val="32"/>
          <w:lang w:eastAsia="zh-CN"/>
        </w:rPr>
        <w:t>二是对预算绩效管理工作重视不够，工作重点仍侧重于争取资金，而非对资金使用效益的考量。很多时候绩效评价工作仅由财务人员负责，其他科室参与度低，导致对项目资金实际执行情况和产出的效益评估缺乏全面性和专业性。下一步改进措施：一是在日常预算执行过程中，合理合规的使用资金，进一步加强预算支出的审核、跟踪及预算执行情况分析</w:t>
      </w:r>
      <w:r>
        <w:rPr>
          <w:rFonts w:hint="eastAsia" w:ascii="仿宋_GB2312" w:eastAsia="仿宋_GB2312"/>
          <w:sz w:val="32"/>
          <w:szCs w:val="32"/>
          <w:lang w:eastAsia="zh-CN"/>
        </w:rPr>
        <w:t>；</w:t>
      </w:r>
      <w:r>
        <w:rPr>
          <w:rFonts w:ascii="仿宋_GB2312" w:eastAsia="仿宋_GB2312"/>
          <w:sz w:val="32"/>
          <w:szCs w:val="32"/>
          <w:lang w:eastAsia="zh-CN"/>
        </w:rPr>
        <w:t>二是健全完善内部控制制度，并强化绩效管理考核，围绕绩效考核目标任务，层层分解落实，明确责任领导和责任人，强化责任意识。具体附部门整体支出绩效自评表</w:t>
      </w:r>
      <w:bookmarkStart w:id="9" w:name="_GoBack"/>
      <w:bookmarkEnd w:id="9"/>
      <w:r>
        <w:rPr>
          <w:rFonts w:ascii="仿宋_GB2312" w:eastAsia="仿宋_GB2312"/>
          <w:sz w:val="32"/>
          <w:szCs w:val="32"/>
          <w:lang w:eastAsia="zh-CN"/>
        </w:rPr>
        <w:t>。</w:t>
      </w:r>
      <w:bookmarkStart w:id="8" w:name="_Hlk174962300"/>
    </w:p>
    <w:p w14:paraId="5A956AFA">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3135ED6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tblGrid>
      <w:tr w14:paraId="34F96038">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CE1A0E5">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6E66387">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奇台县工商业联合会（商会）</w:t>
            </w:r>
          </w:p>
        </w:tc>
      </w:tr>
      <w:tr w14:paraId="7CE70B54">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DED18C9">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6BDCCC0E">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08D2AA7">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12A9FBFF">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842" w:type="dxa"/>
            <w:tcBorders>
              <w:top w:val="nil"/>
              <w:left w:val="nil"/>
              <w:bottom w:val="single" w:color="auto" w:sz="4" w:space="0"/>
              <w:right w:val="single" w:color="auto" w:sz="4" w:space="0"/>
            </w:tcBorders>
            <w:vAlign w:val="center"/>
          </w:tcPr>
          <w:p w14:paraId="1E352960">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993" w:type="dxa"/>
            <w:tcBorders>
              <w:top w:val="nil"/>
              <w:left w:val="nil"/>
              <w:bottom w:val="single" w:color="auto" w:sz="4" w:space="0"/>
              <w:right w:val="single" w:color="auto" w:sz="4" w:space="0"/>
            </w:tcBorders>
            <w:vAlign w:val="center"/>
          </w:tcPr>
          <w:p w14:paraId="7881032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8626FEC">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36C5D51">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3BC76A8E">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6AA8E0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181672D7">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3040579B">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76" w:type="dxa"/>
            <w:tcBorders>
              <w:top w:val="nil"/>
              <w:left w:val="nil"/>
              <w:bottom w:val="single" w:color="auto" w:sz="4" w:space="0"/>
              <w:right w:val="single" w:color="auto" w:sz="4" w:space="0"/>
            </w:tcBorders>
            <w:vAlign w:val="center"/>
          </w:tcPr>
          <w:p w14:paraId="2F6DA34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842" w:type="dxa"/>
            <w:tcBorders>
              <w:top w:val="nil"/>
              <w:left w:val="nil"/>
              <w:bottom w:val="single" w:color="auto" w:sz="4" w:space="0"/>
              <w:right w:val="single" w:color="auto" w:sz="4" w:space="0"/>
            </w:tcBorders>
            <w:vAlign w:val="center"/>
          </w:tcPr>
          <w:p w14:paraId="1C1EEAE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993" w:type="dxa"/>
            <w:tcBorders>
              <w:top w:val="nil"/>
              <w:left w:val="nil"/>
              <w:bottom w:val="single" w:color="auto" w:sz="4" w:space="0"/>
              <w:right w:val="single" w:color="auto" w:sz="4" w:space="0"/>
            </w:tcBorders>
            <w:vAlign w:val="center"/>
          </w:tcPr>
          <w:p w14:paraId="6926C4FC">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F5FD74F">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6AD3AA6B">
            <w:pPr>
              <w:jc w:val="center"/>
              <w:rPr>
                <w:rFonts w:hint="eastAsia" w:ascii="宋体" w:hAnsi="宋体" w:eastAsia="宋体" w:cs="宋体"/>
                <w:sz w:val="18"/>
                <w:szCs w:val="18"/>
              </w:rPr>
            </w:pPr>
            <w:r>
              <w:rPr>
                <w:rFonts w:hint="eastAsia" w:ascii="宋体" w:hAnsi="宋体" w:eastAsia="宋体" w:cs="宋体"/>
                <w:sz w:val="18"/>
                <w:szCs w:val="18"/>
              </w:rPr>
              <w:t>10</w:t>
            </w:r>
          </w:p>
        </w:tc>
      </w:tr>
      <w:tr w14:paraId="1A5C531E">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C4F8BA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2AE2744">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2E253731">
            <w:pPr>
              <w:jc w:val="center"/>
              <w:rPr>
                <w:rFonts w:hint="eastAsia" w:ascii="宋体" w:hAnsi="宋体" w:eastAsia="宋体" w:cs="宋体"/>
                <w:sz w:val="18"/>
                <w:szCs w:val="18"/>
              </w:rPr>
            </w:pPr>
            <w:r>
              <w:rPr>
                <w:rFonts w:hint="eastAsia" w:ascii="宋体" w:hAnsi="宋体" w:eastAsia="宋体" w:cs="宋体"/>
                <w:sz w:val="18"/>
                <w:szCs w:val="18"/>
              </w:rPr>
              <w:t>79.06</w:t>
            </w:r>
          </w:p>
        </w:tc>
        <w:tc>
          <w:tcPr>
            <w:tcW w:w="1276" w:type="dxa"/>
            <w:tcBorders>
              <w:top w:val="nil"/>
              <w:left w:val="nil"/>
              <w:bottom w:val="single" w:color="auto" w:sz="4" w:space="0"/>
              <w:right w:val="single" w:color="auto" w:sz="4" w:space="0"/>
            </w:tcBorders>
            <w:vAlign w:val="center"/>
          </w:tcPr>
          <w:p w14:paraId="64C32452">
            <w:pPr>
              <w:jc w:val="center"/>
              <w:rPr>
                <w:rFonts w:hint="eastAsia" w:ascii="宋体" w:hAnsi="宋体" w:eastAsia="宋体" w:cs="宋体"/>
                <w:sz w:val="18"/>
                <w:szCs w:val="18"/>
              </w:rPr>
            </w:pPr>
            <w:r>
              <w:rPr>
                <w:rFonts w:hint="eastAsia" w:ascii="宋体" w:hAnsi="宋体" w:eastAsia="宋体" w:cs="宋体"/>
                <w:sz w:val="18"/>
                <w:szCs w:val="18"/>
              </w:rPr>
              <w:t>77.24</w:t>
            </w:r>
          </w:p>
        </w:tc>
        <w:tc>
          <w:tcPr>
            <w:tcW w:w="1842" w:type="dxa"/>
            <w:tcBorders>
              <w:top w:val="nil"/>
              <w:left w:val="nil"/>
              <w:bottom w:val="single" w:color="auto" w:sz="4" w:space="0"/>
              <w:right w:val="single" w:color="auto" w:sz="4" w:space="0"/>
            </w:tcBorders>
            <w:vAlign w:val="center"/>
          </w:tcPr>
          <w:p w14:paraId="2D554F9B">
            <w:pPr>
              <w:jc w:val="center"/>
              <w:rPr>
                <w:rFonts w:hint="eastAsia" w:ascii="宋体" w:hAnsi="宋体" w:eastAsia="宋体" w:cs="宋体"/>
                <w:sz w:val="18"/>
                <w:szCs w:val="18"/>
              </w:rPr>
            </w:pPr>
            <w:r>
              <w:rPr>
                <w:rFonts w:hint="eastAsia" w:ascii="宋体" w:hAnsi="宋体" w:eastAsia="宋体" w:cs="宋体"/>
                <w:sz w:val="18"/>
                <w:szCs w:val="18"/>
              </w:rPr>
              <w:t>77.24</w:t>
            </w:r>
          </w:p>
        </w:tc>
        <w:tc>
          <w:tcPr>
            <w:tcW w:w="993" w:type="dxa"/>
            <w:tcBorders>
              <w:top w:val="nil"/>
              <w:left w:val="nil"/>
              <w:bottom w:val="single" w:color="auto" w:sz="4" w:space="0"/>
              <w:right w:val="single" w:color="auto" w:sz="4" w:space="0"/>
            </w:tcBorders>
            <w:vAlign w:val="center"/>
          </w:tcPr>
          <w:p w14:paraId="3CDBC3C7">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55F2744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1645AA1">
            <w:pPr>
              <w:jc w:val="center"/>
              <w:rPr>
                <w:rFonts w:hint="eastAsia" w:ascii="宋体" w:hAnsi="宋体" w:eastAsia="宋体" w:cs="宋体"/>
                <w:sz w:val="18"/>
                <w:szCs w:val="18"/>
              </w:rPr>
            </w:pPr>
            <w:r>
              <w:rPr>
                <w:rFonts w:hint="eastAsia" w:ascii="宋体" w:hAnsi="宋体" w:eastAsia="宋体"/>
                <w:sz w:val="18"/>
                <w:szCs w:val="18"/>
              </w:rPr>
              <w:t>-</w:t>
            </w:r>
          </w:p>
        </w:tc>
      </w:tr>
      <w:tr w14:paraId="13EF0F44">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2ED786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B309401">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21AAD7FC">
            <w:pPr>
              <w:jc w:val="center"/>
              <w:rPr>
                <w:rFonts w:hint="eastAsia" w:ascii="宋体" w:hAnsi="宋体" w:eastAsia="宋体" w:cs="宋体"/>
                <w:sz w:val="18"/>
                <w:szCs w:val="18"/>
              </w:rPr>
            </w:pPr>
            <w:r>
              <w:rPr>
                <w:rFonts w:hint="eastAsia" w:ascii="宋体" w:hAnsi="宋体" w:eastAsia="宋体" w:cs="宋体"/>
                <w:sz w:val="18"/>
                <w:szCs w:val="18"/>
              </w:rPr>
              <w:t>24.96</w:t>
            </w:r>
          </w:p>
        </w:tc>
        <w:tc>
          <w:tcPr>
            <w:tcW w:w="1276" w:type="dxa"/>
            <w:tcBorders>
              <w:top w:val="nil"/>
              <w:left w:val="nil"/>
              <w:bottom w:val="single" w:color="auto" w:sz="4" w:space="0"/>
              <w:right w:val="single" w:color="auto" w:sz="4" w:space="0"/>
            </w:tcBorders>
            <w:vAlign w:val="center"/>
          </w:tcPr>
          <w:p w14:paraId="322CAE6C">
            <w:pPr>
              <w:jc w:val="center"/>
              <w:rPr>
                <w:rFonts w:hint="eastAsia" w:ascii="宋体" w:hAnsi="宋体" w:eastAsia="宋体" w:cs="宋体"/>
                <w:sz w:val="18"/>
                <w:szCs w:val="18"/>
              </w:rPr>
            </w:pPr>
            <w:r>
              <w:rPr>
                <w:rFonts w:hint="eastAsia" w:ascii="宋体" w:hAnsi="宋体" w:eastAsia="宋体" w:cs="宋体"/>
                <w:sz w:val="18"/>
                <w:szCs w:val="18"/>
              </w:rPr>
              <w:t>0.02</w:t>
            </w:r>
          </w:p>
        </w:tc>
        <w:tc>
          <w:tcPr>
            <w:tcW w:w="1842" w:type="dxa"/>
            <w:tcBorders>
              <w:top w:val="nil"/>
              <w:left w:val="nil"/>
              <w:bottom w:val="single" w:color="auto" w:sz="4" w:space="0"/>
              <w:right w:val="single" w:color="auto" w:sz="4" w:space="0"/>
            </w:tcBorders>
            <w:vAlign w:val="center"/>
          </w:tcPr>
          <w:p w14:paraId="772C30D5">
            <w:pPr>
              <w:jc w:val="center"/>
              <w:rPr>
                <w:rFonts w:hint="eastAsia" w:ascii="宋体" w:hAnsi="宋体" w:eastAsia="宋体" w:cs="宋体"/>
                <w:sz w:val="18"/>
                <w:szCs w:val="18"/>
              </w:rPr>
            </w:pPr>
            <w:r>
              <w:rPr>
                <w:rFonts w:hint="eastAsia" w:ascii="宋体" w:hAnsi="宋体" w:eastAsia="宋体" w:cs="宋体"/>
                <w:sz w:val="18"/>
                <w:szCs w:val="18"/>
              </w:rPr>
              <w:t>0.02</w:t>
            </w:r>
          </w:p>
        </w:tc>
        <w:tc>
          <w:tcPr>
            <w:tcW w:w="993" w:type="dxa"/>
            <w:tcBorders>
              <w:top w:val="nil"/>
              <w:left w:val="nil"/>
              <w:bottom w:val="single" w:color="auto" w:sz="4" w:space="0"/>
              <w:right w:val="single" w:color="auto" w:sz="4" w:space="0"/>
            </w:tcBorders>
            <w:vAlign w:val="center"/>
          </w:tcPr>
          <w:p w14:paraId="755A6625">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280D829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956C886">
            <w:pPr>
              <w:jc w:val="center"/>
              <w:rPr>
                <w:rFonts w:hint="eastAsia" w:ascii="宋体" w:hAnsi="宋体" w:eastAsia="宋体" w:cs="宋体"/>
                <w:sz w:val="18"/>
                <w:szCs w:val="18"/>
              </w:rPr>
            </w:pPr>
            <w:r>
              <w:rPr>
                <w:rFonts w:hint="eastAsia" w:ascii="宋体" w:hAnsi="宋体" w:eastAsia="宋体"/>
                <w:sz w:val="18"/>
                <w:szCs w:val="18"/>
              </w:rPr>
              <w:t>-</w:t>
            </w:r>
          </w:p>
        </w:tc>
      </w:tr>
      <w:tr w14:paraId="29DB7E20">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52953F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D86C272">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25DE68E1">
            <w:pPr>
              <w:jc w:val="center"/>
              <w:rPr>
                <w:rFonts w:hint="eastAsia" w:ascii="宋体" w:hAnsi="宋体" w:eastAsia="宋体" w:cs="宋体"/>
                <w:sz w:val="18"/>
                <w:szCs w:val="18"/>
              </w:rPr>
            </w:pPr>
            <w:r>
              <w:rPr>
                <w:rFonts w:hint="eastAsia" w:ascii="宋体" w:hAnsi="宋体" w:eastAsia="宋体" w:cs="宋体"/>
                <w:sz w:val="18"/>
                <w:szCs w:val="18"/>
              </w:rPr>
              <w:t>104.02</w:t>
            </w:r>
          </w:p>
        </w:tc>
        <w:tc>
          <w:tcPr>
            <w:tcW w:w="1276" w:type="dxa"/>
            <w:tcBorders>
              <w:top w:val="nil"/>
              <w:left w:val="nil"/>
              <w:bottom w:val="single" w:color="auto" w:sz="4" w:space="0"/>
              <w:right w:val="single" w:color="auto" w:sz="4" w:space="0"/>
            </w:tcBorders>
            <w:vAlign w:val="center"/>
          </w:tcPr>
          <w:p w14:paraId="606A54EE">
            <w:pPr>
              <w:jc w:val="center"/>
              <w:rPr>
                <w:rFonts w:hint="eastAsia" w:ascii="宋体" w:hAnsi="宋体" w:eastAsia="宋体" w:cs="宋体"/>
                <w:sz w:val="18"/>
                <w:szCs w:val="18"/>
              </w:rPr>
            </w:pPr>
            <w:r>
              <w:rPr>
                <w:rFonts w:hint="eastAsia" w:ascii="宋体" w:hAnsi="宋体" w:eastAsia="宋体" w:cs="宋体"/>
                <w:sz w:val="18"/>
                <w:szCs w:val="18"/>
              </w:rPr>
              <w:t>77.26</w:t>
            </w:r>
          </w:p>
        </w:tc>
        <w:tc>
          <w:tcPr>
            <w:tcW w:w="1842" w:type="dxa"/>
            <w:tcBorders>
              <w:top w:val="nil"/>
              <w:left w:val="nil"/>
              <w:bottom w:val="single" w:color="auto" w:sz="4" w:space="0"/>
              <w:right w:val="single" w:color="auto" w:sz="4" w:space="0"/>
            </w:tcBorders>
            <w:vAlign w:val="center"/>
          </w:tcPr>
          <w:p w14:paraId="6A491C74">
            <w:pPr>
              <w:jc w:val="center"/>
              <w:rPr>
                <w:rFonts w:hint="eastAsia" w:ascii="宋体" w:hAnsi="宋体" w:eastAsia="宋体" w:cs="宋体"/>
                <w:sz w:val="18"/>
                <w:szCs w:val="18"/>
              </w:rPr>
            </w:pPr>
            <w:r>
              <w:rPr>
                <w:rFonts w:hint="eastAsia" w:ascii="宋体" w:hAnsi="宋体" w:eastAsia="宋体" w:cs="宋体"/>
                <w:sz w:val="18"/>
                <w:szCs w:val="18"/>
              </w:rPr>
              <w:t>77.26</w:t>
            </w:r>
          </w:p>
        </w:tc>
        <w:tc>
          <w:tcPr>
            <w:tcW w:w="993" w:type="dxa"/>
            <w:tcBorders>
              <w:top w:val="nil"/>
              <w:left w:val="nil"/>
              <w:bottom w:val="single" w:color="auto" w:sz="4" w:space="0"/>
              <w:right w:val="single" w:color="auto" w:sz="4" w:space="0"/>
            </w:tcBorders>
            <w:vAlign w:val="center"/>
          </w:tcPr>
          <w:p w14:paraId="11D580DC">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46BD2EEB">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62BDD3A5">
            <w:pPr>
              <w:jc w:val="center"/>
              <w:rPr>
                <w:rFonts w:hint="eastAsia" w:ascii="宋体" w:hAnsi="宋体" w:eastAsia="宋体" w:cs="宋体"/>
                <w:sz w:val="18"/>
                <w:szCs w:val="18"/>
              </w:rPr>
            </w:pPr>
            <w:r>
              <w:rPr>
                <w:rFonts w:hint="eastAsia" w:ascii="宋体" w:hAnsi="宋体" w:eastAsia="宋体" w:cs="宋体"/>
                <w:sz w:val="18"/>
                <w:szCs w:val="18"/>
              </w:rPr>
              <w:t>-</w:t>
            </w:r>
          </w:p>
        </w:tc>
      </w:tr>
      <w:tr w14:paraId="71255011">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4825150">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6765309">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345C6C78">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089F0412">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F7D9FD3">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51694109">
            <w:pPr>
              <w:rPr>
                <w:rFonts w:hint="eastAsia" w:ascii="宋体" w:hAnsi="宋体" w:eastAsia="宋体" w:cs="宋体"/>
                <w:sz w:val="18"/>
                <w:szCs w:val="18"/>
                <w:lang w:eastAsia="zh-CN"/>
              </w:rPr>
            </w:pPr>
            <w:r>
              <w:rPr>
                <w:rFonts w:hint="eastAsia" w:ascii="宋体" w:hAnsi="宋体" w:eastAsia="宋体" w:cs="宋体"/>
                <w:sz w:val="18"/>
                <w:szCs w:val="18"/>
                <w:lang w:eastAsia="zh-CN"/>
              </w:rPr>
              <w:t>持续强化民营经济人士思想教育引导，组织开展民营经济人士理想信念教育培训;深入企业走访调研,收集整理促进高质量发展的意见建议，及时反映民营经济人士所思所虑所盼，努力为民营企业排忧解难;组织引导商会和民营企业家积极扶贫、帮困、助学等公益活动，传播社会正能量。</w:t>
            </w:r>
          </w:p>
        </w:tc>
        <w:tc>
          <w:tcPr>
            <w:tcW w:w="4547" w:type="dxa"/>
            <w:gridSpan w:val="4"/>
            <w:tcBorders>
              <w:top w:val="single" w:color="auto" w:sz="4" w:space="0"/>
              <w:left w:val="nil"/>
              <w:bottom w:val="single" w:color="auto" w:sz="4" w:space="0"/>
              <w:right w:val="single" w:color="auto" w:sz="4" w:space="0"/>
            </w:tcBorders>
          </w:tcPr>
          <w:p w14:paraId="4DF0D8E0">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77.24万元，全年执行数为77.24万元，总预算执行率为100%。2024年我单位完成以下工作内容：1.全年开展非公人士理想信念教育培训4场次；2.开展光彩公益事业活动4场次；3.协调帮助会员企业解决实际困难问题4次。通过以上工作的实施，充分发挥了工商联的桥梁纽带作用，促进了政府与企业间的双向沟通。不仅提高了非公经济人士的政治站位，增强了非公经济人士社会责任感和使命感，同时通过公益活动提升了企业的社会形象和品牌价值，进而促进企业的可持续发展。</w:t>
            </w:r>
          </w:p>
        </w:tc>
      </w:tr>
      <w:tr w14:paraId="337121F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76BD3DF">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EABE7BA">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03E5C2FC">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2075ED0E">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842" w:type="dxa"/>
            <w:tcBorders>
              <w:top w:val="nil"/>
              <w:left w:val="nil"/>
              <w:bottom w:val="single" w:color="auto" w:sz="4" w:space="0"/>
              <w:right w:val="single" w:color="auto" w:sz="4" w:space="0"/>
            </w:tcBorders>
            <w:vAlign w:val="center"/>
          </w:tcPr>
          <w:p w14:paraId="6713EBB4">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993" w:type="dxa"/>
            <w:tcBorders>
              <w:top w:val="nil"/>
              <w:left w:val="nil"/>
              <w:bottom w:val="single" w:color="auto" w:sz="4" w:space="0"/>
              <w:right w:val="single" w:color="auto" w:sz="4" w:space="0"/>
            </w:tcBorders>
            <w:vAlign w:val="center"/>
          </w:tcPr>
          <w:p w14:paraId="02464C62">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5DED05F8">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690AE80A">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C1AD094">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62FFC69">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9F30429">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AF385B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开展非公人士理想信念教育培训次数</w:t>
            </w:r>
          </w:p>
        </w:tc>
        <w:tc>
          <w:tcPr>
            <w:tcW w:w="1276" w:type="dxa"/>
            <w:tcBorders>
              <w:top w:val="nil"/>
              <w:left w:val="nil"/>
              <w:bottom w:val="single" w:color="auto" w:sz="4" w:space="0"/>
              <w:right w:val="single" w:color="auto" w:sz="4" w:space="0"/>
            </w:tcBorders>
            <w:noWrap/>
            <w:vAlign w:val="center"/>
          </w:tcPr>
          <w:p w14:paraId="3B5CA740">
            <w:pPr>
              <w:jc w:val="center"/>
              <w:rPr>
                <w:rFonts w:hint="eastAsia" w:ascii="宋体" w:hAnsi="宋体" w:eastAsia="宋体" w:cs="宋体"/>
                <w:sz w:val="18"/>
                <w:szCs w:val="18"/>
              </w:rPr>
            </w:pPr>
            <w:r>
              <w:rPr>
                <w:rFonts w:hint="eastAsia" w:ascii="宋体" w:hAnsi="宋体" w:eastAsia="宋体" w:cs="宋体"/>
                <w:sz w:val="18"/>
                <w:szCs w:val="18"/>
              </w:rPr>
              <w:t>&gt;=4次</w:t>
            </w:r>
          </w:p>
        </w:tc>
        <w:tc>
          <w:tcPr>
            <w:tcW w:w="1842" w:type="dxa"/>
            <w:tcBorders>
              <w:top w:val="nil"/>
              <w:left w:val="nil"/>
              <w:bottom w:val="single" w:color="auto" w:sz="4" w:space="0"/>
              <w:right w:val="single" w:color="auto" w:sz="4" w:space="0"/>
            </w:tcBorders>
            <w:noWrap/>
            <w:vAlign w:val="center"/>
          </w:tcPr>
          <w:p w14:paraId="6C8914D2">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奇台县工商联2024年工作要点</w:t>
            </w:r>
          </w:p>
        </w:tc>
        <w:tc>
          <w:tcPr>
            <w:tcW w:w="993" w:type="dxa"/>
            <w:tcBorders>
              <w:top w:val="nil"/>
              <w:left w:val="nil"/>
              <w:bottom w:val="single" w:color="auto" w:sz="4" w:space="0"/>
              <w:right w:val="single" w:color="auto" w:sz="4" w:space="0"/>
            </w:tcBorders>
            <w:noWrap/>
            <w:vAlign w:val="center"/>
          </w:tcPr>
          <w:p w14:paraId="61F09C92">
            <w:pPr>
              <w:jc w:val="center"/>
              <w:rPr>
                <w:rFonts w:hint="eastAsia" w:ascii="宋体" w:hAnsi="宋体" w:eastAsia="宋体" w:cs="宋体"/>
                <w:sz w:val="18"/>
                <w:szCs w:val="18"/>
              </w:rPr>
            </w:pPr>
            <w:r>
              <w:rPr>
                <w:rFonts w:hint="eastAsia" w:ascii="宋体" w:hAnsi="宋体" w:eastAsia="宋体" w:cs="宋体"/>
                <w:sz w:val="18"/>
                <w:szCs w:val="18"/>
              </w:rPr>
              <w:t>30</w:t>
            </w:r>
          </w:p>
        </w:tc>
        <w:tc>
          <w:tcPr>
            <w:tcW w:w="992" w:type="dxa"/>
            <w:tcBorders>
              <w:top w:val="nil"/>
              <w:left w:val="nil"/>
              <w:bottom w:val="single" w:color="auto" w:sz="4" w:space="0"/>
              <w:right w:val="single" w:color="auto" w:sz="4" w:space="0"/>
            </w:tcBorders>
            <w:noWrap/>
            <w:vAlign w:val="center"/>
          </w:tcPr>
          <w:p w14:paraId="66B3769C">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0DDA3C41">
            <w:pPr>
              <w:jc w:val="center"/>
              <w:rPr>
                <w:rFonts w:hint="eastAsia" w:ascii="宋体" w:hAnsi="宋体" w:eastAsia="宋体" w:cs="宋体"/>
                <w:sz w:val="18"/>
                <w:szCs w:val="18"/>
              </w:rPr>
            </w:pPr>
            <w:r>
              <w:rPr>
                <w:rFonts w:hint="eastAsia" w:ascii="宋体" w:hAnsi="宋体" w:eastAsia="宋体" w:cs="宋体"/>
                <w:sz w:val="18"/>
                <w:szCs w:val="18"/>
              </w:rPr>
              <w:t>30</w:t>
            </w:r>
          </w:p>
        </w:tc>
      </w:tr>
      <w:tr w14:paraId="6506385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BC07EE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2D051A9">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CD984A8">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开展光彩事业活动次数</w:t>
            </w:r>
          </w:p>
        </w:tc>
        <w:tc>
          <w:tcPr>
            <w:tcW w:w="1276" w:type="dxa"/>
            <w:tcBorders>
              <w:top w:val="nil"/>
              <w:left w:val="nil"/>
              <w:bottom w:val="single" w:color="auto" w:sz="4" w:space="0"/>
              <w:right w:val="single" w:color="auto" w:sz="4" w:space="0"/>
            </w:tcBorders>
            <w:noWrap/>
            <w:vAlign w:val="center"/>
          </w:tcPr>
          <w:p w14:paraId="2FC2E6B7">
            <w:pPr>
              <w:jc w:val="center"/>
              <w:rPr>
                <w:rFonts w:hint="eastAsia" w:ascii="宋体" w:hAnsi="宋体" w:eastAsia="宋体" w:cs="宋体"/>
                <w:sz w:val="18"/>
                <w:szCs w:val="18"/>
              </w:rPr>
            </w:pPr>
            <w:r>
              <w:rPr>
                <w:rFonts w:hint="eastAsia" w:ascii="宋体" w:hAnsi="宋体" w:eastAsia="宋体" w:cs="宋体"/>
                <w:sz w:val="18"/>
                <w:szCs w:val="18"/>
              </w:rPr>
              <w:t>&gt;=4次</w:t>
            </w:r>
          </w:p>
        </w:tc>
        <w:tc>
          <w:tcPr>
            <w:tcW w:w="1842" w:type="dxa"/>
            <w:tcBorders>
              <w:top w:val="nil"/>
              <w:left w:val="nil"/>
              <w:bottom w:val="single" w:color="auto" w:sz="4" w:space="0"/>
              <w:right w:val="single" w:color="auto" w:sz="4" w:space="0"/>
            </w:tcBorders>
            <w:noWrap/>
            <w:vAlign w:val="center"/>
          </w:tcPr>
          <w:p w14:paraId="6319D178">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奇台县工商联2024年工作要点</w:t>
            </w:r>
          </w:p>
        </w:tc>
        <w:tc>
          <w:tcPr>
            <w:tcW w:w="993" w:type="dxa"/>
            <w:tcBorders>
              <w:top w:val="nil"/>
              <w:left w:val="nil"/>
              <w:bottom w:val="single" w:color="auto" w:sz="4" w:space="0"/>
              <w:right w:val="single" w:color="auto" w:sz="4" w:space="0"/>
            </w:tcBorders>
            <w:noWrap/>
            <w:vAlign w:val="center"/>
          </w:tcPr>
          <w:p w14:paraId="7085E45F">
            <w:pPr>
              <w:jc w:val="center"/>
              <w:rPr>
                <w:rFonts w:hint="eastAsia" w:ascii="宋体" w:hAnsi="宋体" w:eastAsia="宋体" w:cs="宋体"/>
                <w:sz w:val="18"/>
                <w:szCs w:val="18"/>
              </w:rPr>
            </w:pPr>
            <w:r>
              <w:rPr>
                <w:rFonts w:hint="eastAsia" w:ascii="宋体" w:hAnsi="宋体" w:eastAsia="宋体" w:cs="宋体"/>
                <w:sz w:val="18"/>
                <w:szCs w:val="18"/>
              </w:rPr>
              <w:t>30</w:t>
            </w:r>
          </w:p>
        </w:tc>
        <w:tc>
          <w:tcPr>
            <w:tcW w:w="992" w:type="dxa"/>
            <w:tcBorders>
              <w:top w:val="nil"/>
              <w:left w:val="nil"/>
              <w:bottom w:val="single" w:color="auto" w:sz="4" w:space="0"/>
              <w:right w:val="single" w:color="auto" w:sz="4" w:space="0"/>
            </w:tcBorders>
            <w:noWrap/>
            <w:vAlign w:val="center"/>
          </w:tcPr>
          <w:p w14:paraId="5B971369">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4DD08992">
            <w:pPr>
              <w:jc w:val="center"/>
              <w:rPr>
                <w:rFonts w:hint="eastAsia" w:ascii="宋体" w:hAnsi="宋体" w:eastAsia="宋体" w:cs="宋体"/>
                <w:sz w:val="18"/>
                <w:szCs w:val="18"/>
              </w:rPr>
            </w:pPr>
            <w:r>
              <w:rPr>
                <w:rFonts w:hint="eastAsia" w:ascii="宋体" w:hAnsi="宋体" w:eastAsia="宋体" w:cs="宋体"/>
                <w:sz w:val="18"/>
                <w:szCs w:val="18"/>
              </w:rPr>
              <w:t>30</w:t>
            </w:r>
          </w:p>
        </w:tc>
      </w:tr>
      <w:tr w14:paraId="6E6E30F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3AAD2E96">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0E1126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58CA295">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协助帮助会员企业解决实际困难次数</w:t>
            </w:r>
          </w:p>
        </w:tc>
        <w:tc>
          <w:tcPr>
            <w:tcW w:w="1276" w:type="dxa"/>
            <w:tcBorders>
              <w:top w:val="nil"/>
              <w:left w:val="nil"/>
              <w:bottom w:val="single" w:color="auto" w:sz="4" w:space="0"/>
              <w:right w:val="single" w:color="auto" w:sz="4" w:space="0"/>
            </w:tcBorders>
            <w:noWrap/>
            <w:vAlign w:val="center"/>
          </w:tcPr>
          <w:p w14:paraId="2F4616CE">
            <w:pPr>
              <w:jc w:val="center"/>
              <w:rPr>
                <w:rFonts w:hint="eastAsia" w:ascii="宋体" w:hAnsi="宋体" w:eastAsia="宋体" w:cs="宋体"/>
                <w:sz w:val="18"/>
                <w:szCs w:val="18"/>
              </w:rPr>
            </w:pPr>
            <w:r>
              <w:rPr>
                <w:rFonts w:hint="eastAsia" w:ascii="宋体" w:hAnsi="宋体" w:eastAsia="宋体" w:cs="宋体"/>
                <w:sz w:val="18"/>
                <w:szCs w:val="18"/>
              </w:rPr>
              <w:t>&gt;=4次</w:t>
            </w:r>
          </w:p>
        </w:tc>
        <w:tc>
          <w:tcPr>
            <w:tcW w:w="1842" w:type="dxa"/>
            <w:tcBorders>
              <w:top w:val="nil"/>
              <w:left w:val="nil"/>
              <w:bottom w:val="single" w:color="auto" w:sz="4" w:space="0"/>
              <w:right w:val="single" w:color="auto" w:sz="4" w:space="0"/>
            </w:tcBorders>
            <w:noWrap/>
            <w:vAlign w:val="center"/>
          </w:tcPr>
          <w:p w14:paraId="2EE5AD3C">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奇台县工商联2024年工作要点</w:t>
            </w:r>
          </w:p>
        </w:tc>
        <w:tc>
          <w:tcPr>
            <w:tcW w:w="993" w:type="dxa"/>
            <w:tcBorders>
              <w:top w:val="nil"/>
              <w:left w:val="nil"/>
              <w:bottom w:val="single" w:color="auto" w:sz="4" w:space="0"/>
              <w:right w:val="single" w:color="auto" w:sz="4" w:space="0"/>
            </w:tcBorders>
            <w:noWrap/>
            <w:vAlign w:val="center"/>
          </w:tcPr>
          <w:p w14:paraId="3C33ACD1">
            <w:pPr>
              <w:jc w:val="center"/>
              <w:rPr>
                <w:rFonts w:hint="eastAsia" w:ascii="宋体" w:hAnsi="宋体" w:eastAsia="宋体" w:cs="宋体"/>
                <w:sz w:val="18"/>
                <w:szCs w:val="18"/>
              </w:rPr>
            </w:pPr>
            <w:r>
              <w:rPr>
                <w:rFonts w:hint="eastAsia" w:ascii="宋体" w:hAnsi="宋体" w:eastAsia="宋体" w:cs="宋体"/>
                <w:sz w:val="18"/>
                <w:szCs w:val="18"/>
              </w:rPr>
              <w:t>30</w:t>
            </w:r>
          </w:p>
        </w:tc>
        <w:tc>
          <w:tcPr>
            <w:tcW w:w="992" w:type="dxa"/>
            <w:tcBorders>
              <w:top w:val="nil"/>
              <w:left w:val="nil"/>
              <w:bottom w:val="single" w:color="auto" w:sz="4" w:space="0"/>
              <w:right w:val="single" w:color="auto" w:sz="4" w:space="0"/>
            </w:tcBorders>
            <w:noWrap/>
            <w:vAlign w:val="center"/>
          </w:tcPr>
          <w:p w14:paraId="2579957C">
            <w:pPr>
              <w:jc w:val="center"/>
              <w:rPr>
                <w:rFonts w:hint="eastAsia" w:ascii="宋体" w:hAnsi="宋体" w:eastAsia="宋体" w:cs="宋体"/>
                <w:sz w:val="18"/>
                <w:szCs w:val="18"/>
              </w:rPr>
            </w:pPr>
            <w:r>
              <w:rPr>
                <w:rFonts w:hint="eastAsia" w:ascii="宋体" w:hAnsi="宋体" w:eastAsia="宋体" w:cs="宋体"/>
                <w:sz w:val="18"/>
                <w:szCs w:val="18"/>
              </w:rPr>
              <w:t>4次</w:t>
            </w:r>
          </w:p>
        </w:tc>
        <w:tc>
          <w:tcPr>
            <w:tcW w:w="720" w:type="dxa"/>
            <w:tcBorders>
              <w:top w:val="nil"/>
              <w:left w:val="nil"/>
              <w:bottom w:val="single" w:color="auto" w:sz="4" w:space="0"/>
              <w:right w:val="single" w:color="auto" w:sz="4" w:space="0"/>
            </w:tcBorders>
            <w:noWrap/>
            <w:vAlign w:val="center"/>
          </w:tcPr>
          <w:p w14:paraId="44687B6E">
            <w:pPr>
              <w:jc w:val="center"/>
              <w:rPr>
                <w:rFonts w:hint="eastAsia" w:ascii="宋体" w:hAnsi="宋体" w:eastAsia="宋体" w:cs="宋体"/>
                <w:sz w:val="18"/>
                <w:szCs w:val="18"/>
              </w:rPr>
            </w:pPr>
            <w:r>
              <w:rPr>
                <w:rFonts w:hint="eastAsia" w:ascii="宋体" w:hAnsi="宋体" w:eastAsia="宋体" w:cs="宋体"/>
                <w:sz w:val="18"/>
                <w:szCs w:val="18"/>
              </w:rPr>
              <w:t>30</w:t>
            </w:r>
          </w:p>
        </w:tc>
      </w:tr>
      <w:bookmarkEnd w:id="8"/>
    </w:tbl>
    <w:p w14:paraId="747DEDD3">
      <w:pPr>
        <w:rPr>
          <w:rFonts w:hint="eastAsia" w:ascii="宋体" w:hAnsi="宋体" w:eastAsia="宋体" w:cs="宋体"/>
          <w:b/>
          <w:bCs/>
          <w:sz w:val="18"/>
          <w:szCs w:val="18"/>
          <w:lang w:eastAsia="zh-CN"/>
        </w:rPr>
      </w:pPr>
    </w:p>
    <w:p w14:paraId="6F00FD9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DC507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4ACBE1C2">
      <w:pPr>
        <w:rPr>
          <w:rFonts w:hint="eastAsia"/>
          <w:lang w:eastAsia="zh-CN"/>
        </w:rPr>
      </w:pPr>
      <w:r>
        <w:rPr>
          <w:sz w:val="0"/>
          <w:szCs w:val="0"/>
          <w:lang w:eastAsia="zh-CN"/>
        </w:rPr>
        <w:br w:type="page"/>
      </w:r>
    </w:p>
    <w:p w14:paraId="0AA0B0F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51B18CE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3777B5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9C2C6D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053F07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F3CD97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C6EF0E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71D049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F460EE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B6FCB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00A3D9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3EAAC4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3CDF8C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725099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ECBA0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EAA24F2">
      <w:pPr>
        <w:rPr>
          <w:rFonts w:hint="eastAsia"/>
          <w:lang w:eastAsia="zh-CN"/>
        </w:rPr>
      </w:pPr>
      <w:r>
        <w:rPr>
          <w:sz w:val="0"/>
          <w:szCs w:val="0"/>
          <w:lang w:eastAsia="zh-CN"/>
        </w:rPr>
        <w:br w:type="page"/>
      </w:r>
    </w:p>
    <w:p w14:paraId="00580F7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D55060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1D4A87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66508DE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B602C6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395788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83E144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09CF96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117D54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A5EEDB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6443FB"/>
    <w:rsid w:val="000F2B2F"/>
    <w:rsid w:val="001F50C1"/>
    <w:rsid w:val="002C26B3"/>
    <w:rsid w:val="00545DCE"/>
    <w:rsid w:val="005502D7"/>
    <w:rsid w:val="005B2C81"/>
    <w:rsid w:val="006443FB"/>
    <w:rsid w:val="00681520"/>
    <w:rsid w:val="00912F0A"/>
    <w:rsid w:val="00BD1C81"/>
    <w:rsid w:val="00EA4FCA"/>
    <w:rsid w:val="6F457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6567</Words>
  <Characters>7181</Characters>
  <Lines>228</Lines>
  <Paragraphs>206</Paragraphs>
  <TotalTime>25</TotalTime>
  <ScaleCrop>false</ScaleCrop>
  <LinksUpToDate>false</LinksUpToDate>
  <CharactersWithSpaces>7191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2025-09-17T08:02:00Z</dcterms:created>
  <dc:creator>雍虹虹</dc:creator>
  <cp:lastModifiedBy>OMG</cp:lastModifiedBy>
  <dcterms:modified xsi:type="dcterms:W3CDTF">2025-09-23T04:23:00Z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D44D57F9ACC64FDEB047DCB9FE776F25_12</vt:lpwstr>
  </property>
</Properties>
</file>