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A34F5">
      <w:pPr>
        <w:spacing w:after="0" w:line="240" w:lineRule="auto"/>
        <w:rPr>
          <w:rFonts w:ascii="宋体" w:eastAsia="宋体"/>
          <w:sz w:val="32"/>
          <w:szCs w:val="32"/>
        </w:rPr>
      </w:pPr>
    </w:p>
    <w:p w14:paraId="01BC3137">
      <w:pPr>
        <w:spacing w:after="0" w:line="240" w:lineRule="auto"/>
        <w:rPr>
          <w:rFonts w:ascii="宋体" w:eastAsia="宋体"/>
          <w:sz w:val="44"/>
          <w:szCs w:val="44"/>
        </w:rPr>
      </w:pPr>
    </w:p>
    <w:p w14:paraId="3C7847F6">
      <w:pPr>
        <w:spacing w:after="0" w:line="240" w:lineRule="auto"/>
        <w:rPr>
          <w:rFonts w:ascii="宋体" w:eastAsia="宋体"/>
          <w:sz w:val="44"/>
          <w:szCs w:val="44"/>
        </w:rPr>
      </w:pPr>
    </w:p>
    <w:p w14:paraId="27C5A4F5">
      <w:pPr>
        <w:spacing w:after="0" w:line="240" w:lineRule="auto"/>
        <w:rPr>
          <w:rFonts w:ascii="宋体" w:eastAsia="宋体"/>
          <w:sz w:val="44"/>
          <w:szCs w:val="44"/>
        </w:rPr>
      </w:pPr>
    </w:p>
    <w:p w14:paraId="24E5BDE8">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奇台县委党史和文献研究室</w:t>
      </w:r>
    </w:p>
    <w:p w14:paraId="48024CEC">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72FF9AE9">
      <w:pPr>
        <w:rPr>
          <w:lang w:eastAsia="zh-CN"/>
        </w:rPr>
      </w:pPr>
      <w:r>
        <w:rPr>
          <w:sz w:val="0"/>
          <w:szCs w:val="0"/>
          <w:lang w:eastAsia="zh-CN"/>
        </w:rPr>
        <w:br w:type="page"/>
      </w:r>
    </w:p>
    <w:p w14:paraId="75AA9FE6">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271B4D73">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61D626BF">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A1B33EE">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519161B2">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7BB4848">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0127542">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9F68939">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390956F6">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C7818F3">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221F134">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CDB9663">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32E36D1">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DF7B94A">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7B65C14F">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97228A4">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EC9D504">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AB4367E">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0F898113">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E356C8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86089E2">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BE11CF9">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3ECA6C82">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0021FF5F">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248158E9">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832DFD1">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41B18F98">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C0277C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8CC0256">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A3998A8">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ECF6523">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B6D66BB">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AF38DC5">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74C7FE6">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6E4C02B4">
      <w:pPr>
        <w:rPr>
          <w:lang w:eastAsia="zh-CN"/>
        </w:rPr>
      </w:pPr>
      <w:r>
        <w:rPr>
          <w:sz w:val="0"/>
          <w:szCs w:val="0"/>
          <w:lang w:eastAsia="zh-CN"/>
        </w:rPr>
        <w:br w:type="page"/>
      </w:r>
    </w:p>
    <w:p w14:paraId="646322AD">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14:paraId="55FEE75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 一、主要职能</w:t>
      </w:r>
    </w:p>
    <w:p w14:paraId="533F059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1.承担全县党史工作，拟订奇台县党史工作总体规划。</w:t>
      </w:r>
    </w:p>
    <w:p w14:paraId="7365EDB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2.开展党史研究，征集、整理、撰写奇台县地方党史资或查找文料、党史大事记、组织编写《中共奇台县委简史》，编辑出版重要党史书刊。</w:t>
      </w:r>
    </w:p>
    <w:p w14:paraId="61DCFCF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3.开展党史教育、党史宣传工作，运用党史资料和研究成果，为奇台县改革开放和现代化建设服务。</w:t>
      </w:r>
    </w:p>
    <w:p w14:paraId="173514F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4.承担全县地方志工作，拟定奇台县地方志工作的总体规划，负责组织、检查、指导专业志书的编修、续修工作。</w:t>
      </w:r>
    </w:p>
    <w:p w14:paraId="603FB1B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5.负责征集、研究奇台县地方志资料，编修、续修《奇台县志》和有关地情资料，为《新疆年鉴》、《昌吉年鉴》提供奇台县地情资料，编辑出版《奇台年鉴》。</w:t>
      </w:r>
    </w:p>
    <w:p w14:paraId="590F286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6.根据国家和区、州地方志工作的法律、法规、规章，拟定奇台县修志工作的实施办法。</w:t>
      </w:r>
    </w:p>
    <w:p w14:paraId="2A2B8A0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7.承担专业志的审定、检查、指导、验收、出版工作，指导社会用志，收集、整理旧志。</w:t>
      </w:r>
    </w:p>
    <w:p w14:paraId="60A27A7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8.承办县党委、县人民政府交办的其他任务。</w:t>
      </w:r>
    </w:p>
    <w:p w14:paraId="113E803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19941DB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奇台县委党史和文献研究室2024年度，实有人数8人，其中：在职人员4人，减少1人；离休人员0人，较上年无变化；退休人员4人，较上年无变化。</w:t>
      </w:r>
    </w:p>
    <w:p w14:paraId="7C16A6C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奇台县委党史和文献研究室无下属预算单位，下设1个科室，分别是：综合办公室。</w:t>
      </w:r>
    </w:p>
    <w:p w14:paraId="01DC74E3">
      <w:pPr>
        <w:rPr>
          <w:lang w:eastAsia="zh-CN"/>
        </w:rPr>
      </w:pPr>
      <w:r>
        <w:rPr>
          <w:sz w:val="0"/>
          <w:szCs w:val="0"/>
          <w:lang w:eastAsia="zh-CN"/>
        </w:rPr>
        <w:br w:type="page"/>
      </w:r>
    </w:p>
    <w:p w14:paraId="21E31B92">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75C16B3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0E8D04F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2024年度收入总计78.08万元，其中：本年收入合计78.08万元，使用非财政拨款结余（含专用结余）0.00万元，年初结转和结余0.00万元。</w:t>
      </w:r>
    </w:p>
    <w:p w14:paraId="5435C63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2024年度支出总计78.08万元，其中：本年支出合计78.08万元，结余分配0.00万元，年末结转和结余0.00万元。</w:t>
      </w:r>
    </w:p>
    <w:p w14:paraId="03499E1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收入支出总体与上年相比，减少17.77万元，下降18.54%，主要原因是：</w:t>
      </w:r>
      <w:r>
        <w:rPr>
          <w:rFonts w:hint="eastAsia" w:ascii="仿宋_GB2312" w:eastAsia="仿宋_GB2312"/>
          <w:sz w:val="32"/>
          <w:szCs w:val="32"/>
          <w:lang w:eastAsia="zh-CN"/>
        </w:rPr>
        <w:t>单位本年人员减少，相应人员工资、津贴补贴、奖金等经费减少</w:t>
      </w:r>
      <w:r>
        <w:rPr>
          <w:rFonts w:ascii="仿宋_GB2312" w:eastAsia="仿宋_GB2312"/>
          <w:sz w:val="32"/>
          <w:szCs w:val="32"/>
          <w:lang w:eastAsia="zh-CN"/>
        </w:rPr>
        <w:t>。</w:t>
      </w:r>
    </w:p>
    <w:p w14:paraId="6EB56EE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2CAF592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本年收入78.08万元，其中：财政拨款收入78.07万元,占99.99%；上级补助收入0.00万元,占0.00%；事业收入0.00万元，占0.00%；经营收入0.00万元,占0.00%；附属单位上缴收入0.00万元，占0.00%；其他收入0.00万元，占0.00%。</w:t>
      </w:r>
    </w:p>
    <w:p w14:paraId="5999894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596EB1A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本年支出78.08万元，其中：基本支出78.08万元，占100.00%；项目支出0.00万元，占0.00%；上缴上级支出0.00万元，占0.00%；经营支出0.00万元，占0.00%；对附属单位补助支出0.00万元，占0.00%。</w:t>
      </w:r>
    </w:p>
    <w:p w14:paraId="1BA9C13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C727BC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2024年度财政拨款收入总计78.07万元，其中：年初财政拨款结转和结余0.00万元，本年财政拨款收入78.07万元。财政拨款支出总计78.07万元，其中：年末财政拨款结转和结余0.00万元，本年财政拨款支出78.07万元。</w:t>
      </w:r>
    </w:p>
    <w:p w14:paraId="0CAE5E3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财政拨款收入支出总体与上年相比，减少17.78万元，下降18.55%，主要原因是：</w:t>
      </w:r>
      <w:r>
        <w:rPr>
          <w:rFonts w:hint="eastAsia" w:ascii="仿宋_GB2312" w:eastAsia="仿宋_GB2312"/>
          <w:sz w:val="32"/>
          <w:szCs w:val="32"/>
          <w:lang w:eastAsia="zh-CN"/>
        </w:rPr>
        <w:t>单位本年人员减少，相应人员工资、津贴补贴、奖金等经费减少</w:t>
      </w:r>
      <w:r>
        <w:rPr>
          <w:rFonts w:ascii="仿宋_GB2312" w:eastAsia="仿宋_GB2312"/>
          <w:sz w:val="32"/>
          <w:szCs w:val="32"/>
          <w:lang w:eastAsia="zh-CN"/>
        </w:rPr>
        <w:t>。与年初预算相比，年初预算数91.74万元，决算数78.07万元，预决算差异率-14.90%，主要原因是：</w:t>
      </w:r>
      <w:r>
        <w:rPr>
          <w:rFonts w:hint="eastAsia" w:ascii="仿宋_GB2312" w:eastAsia="仿宋_GB2312"/>
          <w:sz w:val="32"/>
          <w:szCs w:val="32"/>
          <w:lang w:eastAsia="zh-CN"/>
        </w:rPr>
        <w:t>单位本年人员减少，本年实际发放的人员工资、津补贴等人员经费小于年初预算安排金额</w:t>
      </w:r>
      <w:r>
        <w:rPr>
          <w:rFonts w:ascii="仿宋_GB2312" w:eastAsia="仿宋_GB2312"/>
          <w:sz w:val="32"/>
          <w:szCs w:val="32"/>
          <w:lang w:eastAsia="zh-CN"/>
        </w:rPr>
        <w:t>。</w:t>
      </w:r>
    </w:p>
    <w:p w14:paraId="42027A3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9668F9C">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6851C3A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2024年度一般公共预算财政拨款支出78.07万元，占本年支出合计的99.99%。与上年相比，减少17.78万元，下降18.55%，主要原因是：</w:t>
      </w:r>
      <w:r>
        <w:rPr>
          <w:rFonts w:hint="eastAsia" w:ascii="仿宋_GB2312" w:eastAsia="仿宋_GB2312"/>
          <w:sz w:val="32"/>
          <w:szCs w:val="32"/>
          <w:lang w:eastAsia="zh-CN"/>
        </w:rPr>
        <w:t>单位本年人员减少，相应人员工资、津贴补贴、奖金等经费减少</w:t>
      </w:r>
      <w:r>
        <w:rPr>
          <w:rFonts w:ascii="仿宋_GB2312" w:eastAsia="仿宋_GB2312"/>
          <w:sz w:val="32"/>
          <w:szCs w:val="32"/>
          <w:lang w:eastAsia="zh-CN"/>
        </w:rPr>
        <w:t>。与年初预算相比，年初预算数91.74万元，决算数78.07万元，预决算差异率-14.90%，主要原因是：</w:t>
      </w:r>
      <w:r>
        <w:rPr>
          <w:rFonts w:hint="eastAsia" w:ascii="仿宋_GB2312" w:eastAsia="仿宋_GB2312"/>
          <w:sz w:val="32"/>
          <w:szCs w:val="32"/>
          <w:lang w:eastAsia="zh-CN"/>
        </w:rPr>
        <w:t>单位本年人员减少，本年实际发放的人员工资、津补贴等人员经费小于年初预算安排金额</w:t>
      </w:r>
      <w:r>
        <w:rPr>
          <w:rFonts w:ascii="仿宋_GB2312" w:eastAsia="仿宋_GB2312"/>
          <w:sz w:val="32"/>
          <w:szCs w:val="32"/>
          <w:lang w:eastAsia="zh-CN"/>
        </w:rPr>
        <w:t>。</w:t>
      </w:r>
    </w:p>
    <w:p w14:paraId="48F70EE3">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235A5D9E">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.一般公共服务支出（类）54.79万元，占70.18%。</w:t>
      </w:r>
    </w:p>
    <w:p w14:paraId="5D518C2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.社会保障和就业支出（类）13.21万元，占16.92%。</w:t>
      </w:r>
    </w:p>
    <w:p w14:paraId="0D74ECCE">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.卫生健康支出（类）4.41万元，占5.65%。</w:t>
      </w:r>
    </w:p>
    <w:p w14:paraId="7D5BEC75">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.住房保障支出（类）5.66万元，占7.25%。</w:t>
      </w:r>
    </w:p>
    <w:p w14:paraId="4D6EBCF4">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54571E9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1、一般公共服务支出（类）政府办公厅（室）及相关机构事务（款）行政运行（项）：支出决算数为0.00万元，比上年决算减少0.72万元，下降100.00%，主要原因是：</w:t>
      </w:r>
      <w:r>
        <w:rPr>
          <w:rFonts w:hint="eastAsia" w:ascii="仿宋_GB2312" w:eastAsia="仿宋_GB2312"/>
          <w:sz w:val="32"/>
          <w:szCs w:val="32"/>
          <w:lang w:eastAsia="zh-CN"/>
        </w:rPr>
        <w:t>单位本年人员减少，相应人员工资、津贴补贴、奖金等经费减少</w:t>
      </w:r>
      <w:r>
        <w:rPr>
          <w:rFonts w:ascii="仿宋_GB2312" w:eastAsia="仿宋_GB2312"/>
          <w:sz w:val="32"/>
          <w:szCs w:val="32"/>
          <w:lang w:eastAsia="zh-CN"/>
        </w:rPr>
        <w:t>。</w:t>
      </w:r>
    </w:p>
    <w:p w14:paraId="5ECA4C1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2、一般公共服务支出（类）党委办公厅（室）及相关机构事务（款）行政运行（项）：支出决算数为54.79万元，比上年决算减少4.65万元，下降7.82%，主要原因是：</w:t>
      </w:r>
      <w:r>
        <w:rPr>
          <w:rFonts w:hint="eastAsia" w:ascii="仿宋_GB2312" w:eastAsia="仿宋_GB2312"/>
          <w:sz w:val="32"/>
          <w:szCs w:val="32"/>
          <w:lang w:eastAsia="zh-CN"/>
        </w:rPr>
        <w:t>单位本年人员减少，相应人员工资、津贴补贴、奖金等经费减少</w:t>
      </w:r>
      <w:r>
        <w:rPr>
          <w:rFonts w:ascii="仿宋_GB2312" w:eastAsia="仿宋_GB2312"/>
          <w:sz w:val="32"/>
          <w:szCs w:val="32"/>
          <w:lang w:eastAsia="zh-CN"/>
        </w:rPr>
        <w:t>。</w:t>
      </w:r>
    </w:p>
    <w:p w14:paraId="1985B03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3、一般公共服务支出（类）党委办公厅（室）及相关机构事务（款）其他党委办公厅（室）及相关机构事务支出（项）：支出决算数为0.00万元，比上年决算减少15.00万元，下降100.00%，主要原因是：</w:t>
      </w:r>
      <w:r>
        <w:rPr>
          <w:rFonts w:hint="eastAsia" w:ascii="仿宋_GB2312" w:eastAsia="仿宋_GB2312"/>
          <w:sz w:val="32"/>
          <w:szCs w:val="32"/>
          <w:lang w:eastAsia="zh-CN"/>
        </w:rPr>
        <w:t>本年单位《奇台县志（1986-2014年）》出版审校费和出版印刷费减少</w:t>
      </w:r>
      <w:r>
        <w:rPr>
          <w:rFonts w:ascii="仿宋_GB2312" w:eastAsia="仿宋_GB2312"/>
          <w:sz w:val="32"/>
          <w:szCs w:val="32"/>
          <w:lang w:eastAsia="zh-CN"/>
        </w:rPr>
        <w:t>。</w:t>
      </w:r>
    </w:p>
    <w:p w14:paraId="138F39F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4、社会保障和就业支出（类）行政事业单位养老支出（款）行政单位离退休（项）：支出决算数为2.88万元，比上年决算增加0.84万元，增长41.18%，主要原因是：</w:t>
      </w:r>
      <w:r>
        <w:rPr>
          <w:rFonts w:hint="eastAsia" w:ascii="仿宋_GB2312" w:eastAsia="仿宋_GB2312"/>
          <w:sz w:val="32"/>
          <w:szCs w:val="32"/>
          <w:lang w:eastAsia="zh-CN"/>
        </w:rPr>
        <w:t>本年退休人员取暖费、交通补助经费增加</w:t>
      </w:r>
      <w:r>
        <w:rPr>
          <w:rFonts w:ascii="仿宋_GB2312" w:eastAsia="仿宋_GB2312"/>
          <w:sz w:val="32"/>
          <w:szCs w:val="32"/>
          <w:lang w:eastAsia="zh-CN"/>
        </w:rPr>
        <w:t>。</w:t>
      </w:r>
    </w:p>
    <w:p w14:paraId="6FDC4EA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5、社会保障和就业支出（类）行政事业单位养老支出（款）机关事业单位基本养老保险缴费支出（项）：支出决算数为6.88万元，比上年决算减少0.76万元，下降9.95%，主要原因是：</w:t>
      </w:r>
      <w:r>
        <w:rPr>
          <w:rFonts w:hint="eastAsia" w:ascii="仿宋_GB2312" w:eastAsia="仿宋_GB2312"/>
          <w:sz w:val="32"/>
          <w:szCs w:val="32"/>
          <w:lang w:eastAsia="zh-CN"/>
        </w:rPr>
        <w:t>单位本年人员减少，养老保险缴费减少</w:t>
      </w:r>
      <w:r>
        <w:rPr>
          <w:rFonts w:ascii="仿宋_GB2312" w:eastAsia="仿宋_GB2312"/>
          <w:sz w:val="32"/>
          <w:szCs w:val="32"/>
          <w:lang w:eastAsia="zh-CN"/>
        </w:rPr>
        <w:t>。</w:t>
      </w:r>
    </w:p>
    <w:p w14:paraId="026D3E8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6、社会保障和就业支出（类）行政事业单位养老支出（款）机关事业单位职业年金缴费支出（项）：支出决算数为3.44万元，比上年决算增加3.44万元，增长100.00%，主要原因是：</w:t>
      </w:r>
      <w:r>
        <w:rPr>
          <w:rFonts w:hint="eastAsia" w:ascii="仿宋_GB2312" w:eastAsia="仿宋_GB2312"/>
          <w:sz w:val="32"/>
          <w:szCs w:val="32"/>
          <w:lang w:eastAsia="zh-CN"/>
        </w:rPr>
        <w:t>单位本年人员一次性职业年金缴费增加</w:t>
      </w:r>
      <w:r>
        <w:rPr>
          <w:rFonts w:ascii="仿宋_GB2312" w:eastAsia="仿宋_GB2312"/>
          <w:sz w:val="32"/>
          <w:szCs w:val="32"/>
          <w:lang w:eastAsia="zh-CN"/>
        </w:rPr>
        <w:t>。</w:t>
      </w:r>
    </w:p>
    <w:p w14:paraId="044EF92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7、卫生健康支出（类）行政事业单位医疗（款）行政单位医疗（项）：支出决算数为3.44万元，比上年决算减少0.81万元，下降19.06%，主要原因是：</w:t>
      </w:r>
      <w:r>
        <w:rPr>
          <w:rFonts w:hint="eastAsia" w:ascii="仿宋_GB2312" w:eastAsia="仿宋_GB2312"/>
          <w:sz w:val="32"/>
          <w:szCs w:val="32"/>
          <w:lang w:eastAsia="zh-CN"/>
        </w:rPr>
        <w:t>单位本年人员减少，职工医疗保险缴费减少</w:t>
      </w:r>
      <w:r>
        <w:rPr>
          <w:rFonts w:ascii="仿宋_GB2312" w:eastAsia="仿宋_GB2312"/>
          <w:sz w:val="32"/>
          <w:szCs w:val="32"/>
          <w:lang w:eastAsia="zh-CN"/>
        </w:rPr>
        <w:t>。</w:t>
      </w:r>
    </w:p>
    <w:p w14:paraId="2C1BF3C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8、卫生健康支出（类）行政事业单位医疗（款）公务员医疗补助（项）：支出决算数为0.95万元，比上年决算增加0.33万元，增长53.23%，主要原因是：</w:t>
      </w:r>
      <w:r>
        <w:rPr>
          <w:rFonts w:hint="eastAsia" w:ascii="仿宋_GB2312" w:eastAsia="仿宋_GB2312"/>
          <w:sz w:val="32"/>
          <w:szCs w:val="32"/>
          <w:lang w:eastAsia="zh-CN"/>
        </w:rPr>
        <w:t>单位本年社保基数调增，相应公务员医疗补助缴费增加。</w:t>
      </w:r>
    </w:p>
    <w:p w14:paraId="5AC7437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9、卫生健康支出（类）行政事业单位医疗（款）其他行政事业单位医疗支出（项）：支出决算数为0.02万元，比上年决算减少0.03万元，下降60.00%，主要原因是：</w:t>
      </w:r>
      <w:r>
        <w:rPr>
          <w:rFonts w:hint="eastAsia" w:ascii="仿宋_GB2312" w:eastAsia="仿宋_GB2312"/>
          <w:sz w:val="32"/>
          <w:szCs w:val="32"/>
          <w:lang w:eastAsia="zh-CN"/>
        </w:rPr>
        <w:t>单位本年度大病医疗保险缴费减少</w:t>
      </w:r>
      <w:r>
        <w:rPr>
          <w:rFonts w:ascii="仿宋_GB2312" w:eastAsia="仿宋_GB2312"/>
          <w:sz w:val="32"/>
          <w:szCs w:val="32"/>
          <w:lang w:eastAsia="zh-CN"/>
        </w:rPr>
        <w:t>。</w:t>
      </w:r>
    </w:p>
    <w:p w14:paraId="00209AE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10、住房保障支出（类）住房改革支出（款）住房公积金（项）：支出决算数为5.66万元，比上年决算减少0.43万元，下降7.06%，主要原因是：</w:t>
      </w:r>
      <w:r>
        <w:rPr>
          <w:rFonts w:hint="eastAsia" w:ascii="仿宋_GB2312" w:eastAsia="仿宋_GB2312"/>
          <w:sz w:val="32"/>
          <w:szCs w:val="32"/>
          <w:lang w:eastAsia="zh-CN"/>
        </w:rPr>
        <w:t>单位本年人员减少，人员公积金缴费减少</w:t>
      </w:r>
      <w:r>
        <w:rPr>
          <w:rFonts w:ascii="仿宋_GB2312" w:eastAsia="仿宋_GB2312"/>
          <w:sz w:val="32"/>
          <w:szCs w:val="32"/>
          <w:lang w:eastAsia="zh-CN"/>
        </w:rPr>
        <w:t>。</w:t>
      </w:r>
    </w:p>
    <w:p w14:paraId="1B87F96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357B64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78.07万元，其中：人员经费74.32万元，包括：基本工资、津贴补贴、奖金、机关事业单位基本养老保险缴费、职业年金缴费、职工基本医疗保险缴费、公务员医疗补助缴费、其他社会保障缴费、住房公积金、退休费和奖励金。</w:t>
      </w:r>
    </w:p>
    <w:p w14:paraId="0F7E73A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公用经费3.76万元，包括：办公费、邮电费、差旅费、劳务费和工会经费。</w:t>
      </w:r>
    </w:p>
    <w:p w14:paraId="112526F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0B5EDB2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A5242C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9652A7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76E068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67CC5AC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09D81E1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7B5122B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3B4BD3F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单位本年无公务用车运行维护费</w:t>
      </w:r>
      <w:r>
        <w:rPr>
          <w:rFonts w:ascii="仿宋_GB2312" w:eastAsia="仿宋_GB2312"/>
          <w:sz w:val="32"/>
          <w:szCs w:val="32"/>
          <w:lang w:eastAsia="zh-CN"/>
        </w:rPr>
        <w:t>。公务用车购置数0辆，公务用车保有量0辆。国有资产占用情况中固定资产车辆1辆，与公务用车保有量差异原因是：</w:t>
      </w:r>
      <w:r>
        <w:rPr>
          <w:rFonts w:hint="eastAsia" w:ascii="仿宋_GB2312" w:eastAsia="仿宋_GB2312"/>
          <w:sz w:val="32"/>
          <w:szCs w:val="32"/>
          <w:lang w:eastAsia="zh-CN"/>
        </w:rPr>
        <w:t>差异车辆为一般业务用车1辆，车辆费用未使用财政拨款公务用车运行维护费支付</w:t>
      </w:r>
      <w:r>
        <w:rPr>
          <w:rFonts w:ascii="仿宋_GB2312" w:eastAsia="仿宋_GB2312"/>
          <w:sz w:val="32"/>
          <w:szCs w:val="32"/>
          <w:lang w:eastAsia="zh-CN"/>
        </w:rPr>
        <w:t>。</w:t>
      </w:r>
    </w:p>
    <w:p w14:paraId="1A24CEB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本单位无公务接待费支出</w:t>
      </w:r>
      <w:r>
        <w:rPr>
          <w:rFonts w:ascii="仿宋_GB2312" w:eastAsia="仿宋_GB2312"/>
          <w:sz w:val="32"/>
          <w:szCs w:val="32"/>
          <w:lang w:eastAsia="zh-CN"/>
        </w:rPr>
        <w:t>。单位全年安排的国内公务接待0批次，0人次。</w:t>
      </w:r>
    </w:p>
    <w:p w14:paraId="1D6E0C0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0773EE0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0B206247">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76B20FA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2024年度奇台县委党史和文献研究室单位（行政单位和参照公务员法管理事业单位）机关运行经费支出3.76万元，比上年增加1.76万元，增长88.00%，主要原因是：单位本年</w:t>
      </w:r>
      <w:r>
        <w:rPr>
          <w:rFonts w:hint="eastAsia" w:ascii="仿宋_GB2312" w:eastAsia="仿宋_GB2312"/>
          <w:sz w:val="32"/>
          <w:szCs w:val="32"/>
          <w:lang w:eastAsia="zh-CN"/>
        </w:rPr>
        <w:t>办公费、邮电费、差旅费</w:t>
      </w:r>
      <w:r>
        <w:rPr>
          <w:rFonts w:hint="eastAsia" w:ascii="仿宋_GB2312" w:eastAsia="仿宋_GB2312"/>
          <w:sz w:val="32"/>
          <w:szCs w:val="32"/>
          <w:lang w:val="en-US" w:eastAsia="zh-CN"/>
        </w:rPr>
        <w:t>较上年</w:t>
      </w:r>
      <w:r>
        <w:rPr>
          <w:rFonts w:hint="eastAsia" w:ascii="仿宋_GB2312" w:eastAsia="仿宋_GB2312"/>
          <w:sz w:val="32"/>
          <w:szCs w:val="32"/>
          <w:lang w:eastAsia="zh-CN"/>
        </w:rPr>
        <w:t>增加</w:t>
      </w:r>
      <w:r>
        <w:rPr>
          <w:rFonts w:ascii="仿宋_GB2312" w:eastAsia="仿宋_GB2312"/>
          <w:sz w:val="32"/>
          <w:szCs w:val="32"/>
          <w:lang w:eastAsia="zh-CN"/>
        </w:rPr>
        <w:t>。</w:t>
      </w:r>
    </w:p>
    <w:p w14:paraId="698E55EE">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11DA682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2024年度政府采购支出总额0.80万元，其中：政府采购货物支出0.80万元、政府采购工程支出0.00万元、政府采购服务支出0.00万元。</w:t>
      </w:r>
    </w:p>
    <w:p w14:paraId="0149D9C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授予中小企业合同金额0.80万元，占政府采购支出总额的100.00%，其中：授予小微企业合同金额0.80万元，占政府采购支出总额的100.00%。</w:t>
      </w:r>
      <w:bookmarkStart w:id="0" w:name="_GoBack"/>
      <w:bookmarkEnd w:id="0"/>
    </w:p>
    <w:p w14:paraId="1FE01B8A">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1C20FAF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24.80万元，其中：副部（省）级及以上领导用车0辆、主要负责人用车0辆、机要通信用车0辆、应急保障用车0辆、执法执勤用车0辆、特种专业技术用车0辆、离退休干部服务用车0辆、其他用车1辆，其他用车主要是：业务用车;单价100万元（含）以上设备（不含车辆）0台（套）。</w:t>
      </w:r>
    </w:p>
    <w:p w14:paraId="33C0571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36FD95A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78.07万元，实际执行总额78.07万元；预算绩效评价项目0个，全年预算数0.00万元，全年执行数0.00万元。预算绩效管理取得的成效：一是开展党史研究，征集、整理、收集整理全县各行各业2024年年鉴稿件110份，编纂出版奇台县2023年综合年鉴至少1本；二是负责全县的地方志工作，征集、整理奇台县地方史资料；三是奇台综合年鉴（2023年）编纂完成率达到100%。发现的问题及原因：一是机构设置和队伍建设需要进一步推进。我单位没有设置专门的预算绩效管理部门，只是由财务科负责，人员数量较少，专业能力较弱，现有工作人员的业务水平还不能满足绩效管理工作要求，业务素质急需提高；二是预算绩效监控管理基础工作有待进一步加强。绩效监控体系还不完善，预算绩效监控管理信息系统还没有建立，预算监控管理的基础数据、基础信息的搜集、整理、分析工作需要进一步加强；三是绩效监控质量有待提高。监控数据采集是否准确、日常报送资料是否完善、对比结果是否真实体现偏差，都直接导致了绩效监控往往流于形式，难以真正反映出绩效监控的实质性意义。下一步改进措施：一是加强绩效监控业务培训。积极与财政部门的沟通联系，请专业老师培训绩效监控业务，不断提高业务水平；二是完善机构设置。按照绩效目标监控工作要求，不断完善机构设置，有专人参加培训学习，才能将绩效监控工作扎实的落实；三是加大对资金的监控力度。每笔资金的走向都要清楚，合理使用每笔资金，细化资金的收支。具体附部门整体支出绩效自评表。</w:t>
      </w:r>
    </w:p>
    <w:p w14:paraId="56CD3ECD">
      <w:pPr>
        <w:jc w:val="center"/>
        <w:rPr>
          <w:rFonts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4A4B4B0E">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601" w:type="dxa"/>
        <w:tblLayout w:type="fixed"/>
        <w:tblCellMar>
          <w:top w:w="0" w:type="dxa"/>
          <w:left w:w="108" w:type="dxa"/>
          <w:bottom w:w="0" w:type="dxa"/>
          <w:right w:w="108" w:type="dxa"/>
        </w:tblCellMar>
      </w:tblPr>
      <w:tblGrid>
        <w:gridCol w:w="993"/>
        <w:gridCol w:w="1417"/>
        <w:gridCol w:w="1418"/>
        <w:gridCol w:w="1276"/>
        <w:gridCol w:w="1842"/>
        <w:gridCol w:w="993"/>
        <w:gridCol w:w="992"/>
        <w:gridCol w:w="720"/>
      </w:tblGrid>
      <w:tr w14:paraId="4957C48A">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09141108">
            <w:pPr>
              <w:jc w:val="center"/>
              <w:rPr>
                <w:rFonts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1D6F6782">
            <w:pPr>
              <w:jc w:val="center"/>
              <w:rPr>
                <w:rFonts w:ascii="宋体" w:hAnsi="宋体" w:eastAsia="宋体" w:cs="宋体"/>
                <w:b/>
                <w:bCs/>
                <w:sz w:val="18"/>
                <w:szCs w:val="18"/>
                <w:lang w:eastAsia="zh-CN"/>
              </w:rPr>
            </w:pPr>
            <w:r>
              <w:rPr>
                <w:rFonts w:hint="eastAsia" w:ascii="宋体" w:hAnsi="宋体" w:eastAsia="宋体" w:cs="宋体"/>
                <w:b/>
                <w:bCs/>
                <w:sz w:val="18"/>
                <w:szCs w:val="18"/>
                <w:lang w:eastAsia="zh-CN"/>
              </w:rPr>
              <w:t>奇台县委党史和文献研究室</w:t>
            </w:r>
          </w:p>
        </w:tc>
      </w:tr>
      <w:tr w14:paraId="7AE9C7EB">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819412A">
            <w:pPr>
              <w:jc w:val="center"/>
              <w:rPr>
                <w:rFonts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1675C399">
            <w:pPr>
              <w:jc w:val="center"/>
              <w:rPr>
                <w:rFonts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59CF6853">
            <w:pPr>
              <w:jc w:val="center"/>
              <w:rPr>
                <w:rFonts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49A652B5">
            <w:pPr>
              <w:jc w:val="center"/>
              <w:rPr>
                <w:rFonts w:ascii="宋体" w:hAnsi="宋体" w:eastAsia="宋体" w:cs="宋体"/>
                <w:b/>
                <w:bCs/>
                <w:sz w:val="18"/>
                <w:szCs w:val="18"/>
              </w:rPr>
            </w:pPr>
            <w:r>
              <w:rPr>
                <w:rFonts w:hint="eastAsia" w:ascii="宋体" w:hAnsi="宋体" w:eastAsia="宋体" w:cs="宋体"/>
                <w:b/>
                <w:bCs/>
                <w:sz w:val="18"/>
                <w:szCs w:val="18"/>
              </w:rPr>
              <w:t>全年预算数</w:t>
            </w:r>
          </w:p>
        </w:tc>
        <w:tc>
          <w:tcPr>
            <w:tcW w:w="1842" w:type="dxa"/>
            <w:tcBorders>
              <w:top w:val="nil"/>
              <w:left w:val="nil"/>
              <w:bottom w:val="single" w:color="auto" w:sz="4" w:space="0"/>
              <w:right w:val="single" w:color="auto" w:sz="4" w:space="0"/>
            </w:tcBorders>
            <w:vAlign w:val="center"/>
          </w:tcPr>
          <w:p w14:paraId="360D6542">
            <w:pPr>
              <w:jc w:val="center"/>
              <w:rPr>
                <w:rFonts w:ascii="宋体" w:hAnsi="宋体" w:eastAsia="宋体" w:cs="宋体"/>
                <w:b/>
                <w:bCs/>
                <w:sz w:val="18"/>
                <w:szCs w:val="18"/>
              </w:rPr>
            </w:pPr>
            <w:r>
              <w:rPr>
                <w:rFonts w:hint="eastAsia" w:ascii="宋体" w:hAnsi="宋体" w:eastAsia="宋体" w:cs="宋体"/>
                <w:b/>
                <w:bCs/>
                <w:sz w:val="18"/>
                <w:szCs w:val="18"/>
              </w:rPr>
              <w:t>全年执行数</w:t>
            </w:r>
          </w:p>
        </w:tc>
        <w:tc>
          <w:tcPr>
            <w:tcW w:w="993" w:type="dxa"/>
            <w:tcBorders>
              <w:top w:val="nil"/>
              <w:left w:val="nil"/>
              <w:bottom w:val="single" w:color="auto" w:sz="4" w:space="0"/>
              <w:right w:val="single" w:color="auto" w:sz="4" w:space="0"/>
            </w:tcBorders>
            <w:vAlign w:val="center"/>
          </w:tcPr>
          <w:p w14:paraId="400E3028">
            <w:pPr>
              <w:jc w:val="center"/>
              <w:rPr>
                <w:rFonts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7E26E0D0">
            <w:pPr>
              <w:jc w:val="center"/>
              <w:rPr>
                <w:rFonts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55DB3F34">
            <w:pPr>
              <w:jc w:val="center"/>
              <w:rPr>
                <w:rFonts w:ascii="宋体" w:hAnsi="宋体" w:eastAsia="宋体" w:cs="宋体"/>
                <w:b/>
                <w:bCs/>
                <w:sz w:val="18"/>
                <w:szCs w:val="18"/>
              </w:rPr>
            </w:pPr>
            <w:r>
              <w:rPr>
                <w:rFonts w:hint="eastAsia" w:ascii="宋体" w:hAnsi="宋体" w:eastAsia="宋体" w:cs="宋体"/>
                <w:b/>
                <w:bCs/>
                <w:sz w:val="18"/>
                <w:szCs w:val="18"/>
              </w:rPr>
              <w:t>得分</w:t>
            </w:r>
          </w:p>
        </w:tc>
      </w:tr>
      <w:tr w14:paraId="139D10AC">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AC09B0B">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183A4132">
            <w:pPr>
              <w:jc w:val="center"/>
              <w:rPr>
                <w:rFonts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12103D5F">
            <w:pPr>
              <w:jc w:val="center"/>
              <w:rPr>
                <w:rFonts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7B160E1F">
            <w:pPr>
              <w:jc w:val="center"/>
              <w:rPr>
                <w:rFonts w:ascii="宋体" w:hAnsi="宋体" w:eastAsia="宋体" w:cs="宋体"/>
                <w:sz w:val="18"/>
                <w:szCs w:val="18"/>
              </w:rPr>
            </w:pPr>
            <w:r>
              <w:rPr>
                <w:rFonts w:hint="eastAsia" w:ascii="宋体" w:hAnsi="宋体" w:eastAsia="宋体" w:cs="宋体"/>
                <w:sz w:val="18"/>
                <w:szCs w:val="18"/>
              </w:rPr>
              <w:t>0.00</w:t>
            </w:r>
          </w:p>
        </w:tc>
        <w:tc>
          <w:tcPr>
            <w:tcW w:w="1842" w:type="dxa"/>
            <w:tcBorders>
              <w:top w:val="nil"/>
              <w:left w:val="nil"/>
              <w:bottom w:val="single" w:color="auto" w:sz="4" w:space="0"/>
              <w:right w:val="single" w:color="auto" w:sz="4" w:space="0"/>
            </w:tcBorders>
            <w:vAlign w:val="center"/>
          </w:tcPr>
          <w:p w14:paraId="5394AC8A">
            <w:pPr>
              <w:jc w:val="center"/>
              <w:rPr>
                <w:rFonts w:ascii="宋体" w:hAnsi="宋体" w:eastAsia="宋体" w:cs="宋体"/>
                <w:sz w:val="18"/>
                <w:szCs w:val="18"/>
              </w:rPr>
            </w:pPr>
            <w:r>
              <w:rPr>
                <w:rFonts w:hint="eastAsia" w:ascii="宋体" w:hAnsi="宋体" w:eastAsia="宋体" w:cs="宋体"/>
                <w:sz w:val="18"/>
                <w:szCs w:val="18"/>
              </w:rPr>
              <w:t>0.00</w:t>
            </w:r>
          </w:p>
        </w:tc>
        <w:tc>
          <w:tcPr>
            <w:tcW w:w="993" w:type="dxa"/>
            <w:tcBorders>
              <w:top w:val="nil"/>
              <w:left w:val="nil"/>
              <w:bottom w:val="single" w:color="auto" w:sz="4" w:space="0"/>
              <w:right w:val="single" w:color="auto" w:sz="4" w:space="0"/>
            </w:tcBorders>
            <w:vAlign w:val="center"/>
          </w:tcPr>
          <w:p w14:paraId="70E544AF">
            <w:pPr>
              <w:jc w:val="center"/>
              <w:rPr>
                <w:rFonts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5A267212">
            <w:pPr>
              <w:jc w:val="center"/>
              <w:rPr>
                <w:rFonts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225BC419">
            <w:pPr>
              <w:jc w:val="center"/>
              <w:rPr>
                <w:rFonts w:ascii="宋体" w:hAnsi="宋体" w:eastAsia="宋体" w:cs="宋体"/>
                <w:sz w:val="18"/>
                <w:szCs w:val="18"/>
              </w:rPr>
            </w:pPr>
            <w:r>
              <w:rPr>
                <w:rFonts w:hint="eastAsia" w:ascii="宋体" w:hAnsi="宋体" w:eastAsia="宋体" w:cs="宋体"/>
                <w:sz w:val="18"/>
                <w:szCs w:val="18"/>
              </w:rPr>
              <w:t>10</w:t>
            </w:r>
          </w:p>
        </w:tc>
      </w:tr>
      <w:tr w14:paraId="0FCE1163">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FDB7D16">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09A12C8">
            <w:pPr>
              <w:jc w:val="center"/>
              <w:rPr>
                <w:rFonts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04228FC5">
            <w:pPr>
              <w:jc w:val="center"/>
              <w:rPr>
                <w:rFonts w:ascii="宋体" w:hAnsi="宋体" w:eastAsia="宋体" w:cs="宋体"/>
                <w:sz w:val="18"/>
                <w:szCs w:val="18"/>
              </w:rPr>
            </w:pPr>
            <w:r>
              <w:rPr>
                <w:rFonts w:hint="eastAsia" w:ascii="宋体" w:hAnsi="宋体" w:eastAsia="宋体" w:cs="宋体"/>
                <w:sz w:val="18"/>
                <w:szCs w:val="18"/>
              </w:rPr>
              <w:t>91.74</w:t>
            </w:r>
          </w:p>
        </w:tc>
        <w:tc>
          <w:tcPr>
            <w:tcW w:w="1276" w:type="dxa"/>
            <w:tcBorders>
              <w:top w:val="nil"/>
              <w:left w:val="nil"/>
              <w:bottom w:val="single" w:color="auto" w:sz="4" w:space="0"/>
              <w:right w:val="single" w:color="auto" w:sz="4" w:space="0"/>
            </w:tcBorders>
            <w:vAlign w:val="center"/>
          </w:tcPr>
          <w:p w14:paraId="5AAD0739">
            <w:pPr>
              <w:jc w:val="center"/>
              <w:rPr>
                <w:rFonts w:ascii="宋体" w:hAnsi="宋体" w:eastAsia="宋体" w:cs="宋体"/>
                <w:sz w:val="18"/>
                <w:szCs w:val="18"/>
              </w:rPr>
            </w:pPr>
            <w:r>
              <w:rPr>
                <w:rFonts w:hint="eastAsia" w:ascii="宋体" w:hAnsi="宋体" w:eastAsia="宋体" w:cs="宋体"/>
                <w:sz w:val="18"/>
                <w:szCs w:val="18"/>
              </w:rPr>
              <w:t>78.07</w:t>
            </w:r>
          </w:p>
        </w:tc>
        <w:tc>
          <w:tcPr>
            <w:tcW w:w="1842" w:type="dxa"/>
            <w:tcBorders>
              <w:top w:val="nil"/>
              <w:left w:val="nil"/>
              <w:bottom w:val="single" w:color="auto" w:sz="4" w:space="0"/>
              <w:right w:val="single" w:color="auto" w:sz="4" w:space="0"/>
            </w:tcBorders>
            <w:vAlign w:val="center"/>
          </w:tcPr>
          <w:p w14:paraId="3390CFE3">
            <w:pPr>
              <w:jc w:val="center"/>
              <w:rPr>
                <w:rFonts w:ascii="宋体" w:hAnsi="宋体" w:eastAsia="宋体" w:cs="宋体"/>
                <w:sz w:val="18"/>
                <w:szCs w:val="18"/>
              </w:rPr>
            </w:pPr>
            <w:r>
              <w:rPr>
                <w:rFonts w:hint="eastAsia" w:ascii="宋体" w:hAnsi="宋体" w:eastAsia="宋体" w:cs="宋体"/>
                <w:sz w:val="18"/>
                <w:szCs w:val="18"/>
              </w:rPr>
              <w:t>78.07</w:t>
            </w:r>
          </w:p>
        </w:tc>
        <w:tc>
          <w:tcPr>
            <w:tcW w:w="993" w:type="dxa"/>
            <w:tcBorders>
              <w:top w:val="nil"/>
              <w:left w:val="nil"/>
              <w:bottom w:val="single" w:color="auto" w:sz="4" w:space="0"/>
              <w:right w:val="single" w:color="auto" w:sz="4" w:space="0"/>
            </w:tcBorders>
            <w:vAlign w:val="center"/>
          </w:tcPr>
          <w:p w14:paraId="51CA70E4">
            <w:pPr>
              <w:jc w:val="center"/>
              <w:rPr>
                <w:rFonts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281D8056">
            <w:pPr>
              <w:jc w:val="center"/>
              <w:rPr>
                <w:rFonts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3169BCD">
            <w:pPr>
              <w:jc w:val="center"/>
              <w:rPr>
                <w:rFonts w:ascii="宋体" w:hAnsi="宋体" w:eastAsia="宋体" w:cs="宋体"/>
                <w:sz w:val="18"/>
                <w:szCs w:val="18"/>
              </w:rPr>
            </w:pPr>
            <w:r>
              <w:rPr>
                <w:rFonts w:hint="eastAsia" w:ascii="宋体" w:hAnsi="宋体" w:eastAsia="宋体"/>
                <w:sz w:val="18"/>
                <w:szCs w:val="18"/>
              </w:rPr>
              <w:t>-</w:t>
            </w:r>
          </w:p>
        </w:tc>
      </w:tr>
      <w:tr w14:paraId="1A56E9B8">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B965568">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D0DA5EC">
            <w:pPr>
              <w:jc w:val="center"/>
              <w:rPr>
                <w:rFonts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6267E9B6">
            <w:pPr>
              <w:jc w:val="center"/>
              <w:rPr>
                <w:rFonts w:ascii="宋体" w:hAnsi="宋体" w:eastAsia="宋体" w:cs="宋体"/>
                <w:sz w:val="18"/>
                <w:szCs w:val="18"/>
              </w:rPr>
            </w:pPr>
            <w:r>
              <w:rPr>
                <w:rFonts w:hint="eastAsia" w:ascii="宋体" w:hAnsi="宋体" w:eastAsia="宋体" w:cs="宋体"/>
                <w:sz w:val="18"/>
                <w:szCs w:val="18"/>
              </w:rPr>
              <w:t>1.06</w:t>
            </w:r>
          </w:p>
        </w:tc>
        <w:tc>
          <w:tcPr>
            <w:tcW w:w="1276" w:type="dxa"/>
            <w:tcBorders>
              <w:top w:val="nil"/>
              <w:left w:val="nil"/>
              <w:bottom w:val="single" w:color="auto" w:sz="4" w:space="0"/>
              <w:right w:val="single" w:color="auto" w:sz="4" w:space="0"/>
            </w:tcBorders>
            <w:vAlign w:val="center"/>
          </w:tcPr>
          <w:p w14:paraId="5CFC9E68">
            <w:pPr>
              <w:jc w:val="center"/>
              <w:rPr>
                <w:rFonts w:ascii="宋体" w:hAnsi="宋体" w:eastAsia="宋体" w:cs="宋体"/>
                <w:sz w:val="18"/>
                <w:szCs w:val="18"/>
              </w:rPr>
            </w:pPr>
            <w:r>
              <w:rPr>
                <w:rFonts w:hint="eastAsia" w:ascii="宋体" w:hAnsi="宋体" w:eastAsia="宋体" w:cs="宋体"/>
                <w:sz w:val="18"/>
                <w:szCs w:val="18"/>
              </w:rPr>
              <w:t>0.00</w:t>
            </w:r>
          </w:p>
        </w:tc>
        <w:tc>
          <w:tcPr>
            <w:tcW w:w="1842" w:type="dxa"/>
            <w:tcBorders>
              <w:top w:val="nil"/>
              <w:left w:val="nil"/>
              <w:bottom w:val="single" w:color="auto" w:sz="4" w:space="0"/>
              <w:right w:val="single" w:color="auto" w:sz="4" w:space="0"/>
            </w:tcBorders>
            <w:vAlign w:val="center"/>
          </w:tcPr>
          <w:p w14:paraId="6B09D663">
            <w:pPr>
              <w:jc w:val="center"/>
              <w:rPr>
                <w:rFonts w:ascii="宋体" w:hAnsi="宋体" w:eastAsia="宋体" w:cs="宋体"/>
                <w:sz w:val="18"/>
                <w:szCs w:val="18"/>
              </w:rPr>
            </w:pPr>
            <w:r>
              <w:rPr>
                <w:rFonts w:hint="eastAsia" w:ascii="宋体" w:hAnsi="宋体" w:eastAsia="宋体" w:cs="宋体"/>
                <w:sz w:val="18"/>
                <w:szCs w:val="18"/>
              </w:rPr>
              <w:t>0.00</w:t>
            </w:r>
          </w:p>
        </w:tc>
        <w:tc>
          <w:tcPr>
            <w:tcW w:w="993" w:type="dxa"/>
            <w:tcBorders>
              <w:top w:val="nil"/>
              <w:left w:val="nil"/>
              <w:bottom w:val="single" w:color="auto" w:sz="4" w:space="0"/>
              <w:right w:val="single" w:color="auto" w:sz="4" w:space="0"/>
            </w:tcBorders>
            <w:vAlign w:val="center"/>
          </w:tcPr>
          <w:p w14:paraId="719DF481">
            <w:pPr>
              <w:jc w:val="center"/>
              <w:rPr>
                <w:rFonts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1A28C5D0">
            <w:pPr>
              <w:jc w:val="center"/>
              <w:rPr>
                <w:rFonts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6BB20018">
            <w:pPr>
              <w:jc w:val="center"/>
              <w:rPr>
                <w:rFonts w:ascii="宋体" w:hAnsi="宋体" w:eastAsia="宋体" w:cs="宋体"/>
                <w:sz w:val="18"/>
                <w:szCs w:val="18"/>
              </w:rPr>
            </w:pPr>
            <w:r>
              <w:rPr>
                <w:rFonts w:hint="eastAsia" w:ascii="宋体" w:hAnsi="宋体" w:eastAsia="宋体"/>
                <w:sz w:val="18"/>
                <w:szCs w:val="18"/>
              </w:rPr>
              <w:t>-</w:t>
            </w:r>
          </w:p>
        </w:tc>
      </w:tr>
      <w:tr w14:paraId="7DC354B8">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ED4FACB">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BE2253B">
            <w:pPr>
              <w:jc w:val="center"/>
              <w:rPr>
                <w:rFonts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3F4FFAC4">
            <w:pPr>
              <w:jc w:val="center"/>
              <w:rPr>
                <w:rFonts w:ascii="宋体" w:hAnsi="宋体" w:eastAsia="宋体" w:cs="宋体"/>
                <w:sz w:val="18"/>
                <w:szCs w:val="18"/>
              </w:rPr>
            </w:pPr>
            <w:r>
              <w:rPr>
                <w:rFonts w:hint="eastAsia" w:ascii="宋体" w:hAnsi="宋体" w:eastAsia="宋体" w:cs="宋体"/>
                <w:sz w:val="18"/>
                <w:szCs w:val="18"/>
              </w:rPr>
              <w:t>92.80</w:t>
            </w:r>
          </w:p>
        </w:tc>
        <w:tc>
          <w:tcPr>
            <w:tcW w:w="1276" w:type="dxa"/>
            <w:tcBorders>
              <w:top w:val="nil"/>
              <w:left w:val="nil"/>
              <w:bottom w:val="single" w:color="auto" w:sz="4" w:space="0"/>
              <w:right w:val="single" w:color="auto" w:sz="4" w:space="0"/>
            </w:tcBorders>
            <w:vAlign w:val="center"/>
          </w:tcPr>
          <w:p w14:paraId="7EAAE737">
            <w:pPr>
              <w:jc w:val="center"/>
              <w:rPr>
                <w:rFonts w:ascii="宋体" w:hAnsi="宋体" w:eastAsia="宋体" w:cs="宋体"/>
                <w:sz w:val="18"/>
                <w:szCs w:val="18"/>
              </w:rPr>
            </w:pPr>
            <w:r>
              <w:rPr>
                <w:rFonts w:hint="eastAsia" w:ascii="宋体" w:hAnsi="宋体" w:eastAsia="宋体" w:cs="宋体"/>
                <w:sz w:val="18"/>
                <w:szCs w:val="18"/>
              </w:rPr>
              <w:t>78.07</w:t>
            </w:r>
          </w:p>
        </w:tc>
        <w:tc>
          <w:tcPr>
            <w:tcW w:w="1842" w:type="dxa"/>
            <w:tcBorders>
              <w:top w:val="nil"/>
              <w:left w:val="nil"/>
              <w:bottom w:val="single" w:color="auto" w:sz="4" w:space="0"/>
              <w:right w:val="single" w:color="auto" w:sz="4" w:space="0"/>
            </w:tcBorders>
            <w:vAlign w:val="center"/>
          </w:tcPr>
          <w:p w14:paraId="4CBCC49A">
            <w:pPr>
              <w:jc w:val="center"/>
              <w:rPr>
                <w:rFonts w:ascii="宋体" w:hAnsi="宋体" w:eastAsia="宋体" w:cs="宋体"/>
                <w:sz w:val="18"/>
                <w:szCs w:val="18"/>
              </w:rPr>
            </w:pPr>
            <w:r>
              <w:rPr>
                <w:rFonts w:hint="eastAsia" w:ascii="宋体" w:hAnsi="宋体" w:eastAsia="宋体" w:cs="宋体"/>
                <w:sz w:val="18"/>
                <w:szCs w:val="18"/>
              </w:rPr>
              <w:t>78.07</w:t>
            </w:r>
          </w:p>
        </w:tc>
        <w:tc>
          <w:tcPr>
            <w:tcW w:w="993" w:type="dxa"/>
            <w:tcBorders>
              <w:top w:val="nil"/>
              <w:left w:val="nil"/>
              <w:bottom w:val="single" w:color="auto" w:sz="4" w:space="0"/>
              <w:right w:val="single" w:color="auto" w:sz="4" w:space="0"/>
            </w:tcBorders>
            <w:vAlign w:val="center"/>
          </w:tcPr>
          <w:p w14:paraId="779AE482">
            <w:pPr>
              <w:jc w:val="center"/>
              <w:rPr>
                <w:rFonts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76FC4FEE">
            <w:pPr>
              <w:jc w:val="center"/>
              <w:rPr>
                <w:rFonts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0FDA71E0">
            <w:pPr>
              <w:jc w:val="center"/>
              <w:rPr>
                <w:rFonts w:ascii="宋体" w:hAnsi="宋体" w:eastAsia="宋体" w:cs="宋体"/>
                <w:sz w:val="18"/>
                <w:szCs w:val="18"/>
              </w:rPr>
            </w:pPr>
            <w:r>
              <w:rPr>
                <w:rFonts w:hint="eastAsia" w:ascii="宋体" w:hAnsi="宋体" w:eastAsia="宋体" w:cs="宋体"/>
                <w:sz w:val="18"/>
                <w:szCs w:val="18"/>
              </w:rPr>
              <w:t>-</w:t>
            </w:r>
          </w:p>
        </w:tc>
      </w:tr>
      <w:tr w14:paraId="05C69458">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1DEA591">
            <w:pPr>
              <w:jc w:val="center"/>
              <w:rPr>
                <w:rFonts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2207CA94">
            <w:pPr>
              <w:jc w:val="center"/>
              <w:rPr>
                <w:rFonts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3E74FD7B">
            <w:pPr>
              <w:jc w:val="center"/>
              <w:rPr>
                <w:rFonts w:ascii="宋体" w:hAnsi="宋体" w:eastAsia="宋体" w:cs="宋体"/>
                <w:b/>
                <w:bCs/>
                <w:sz w:val="18"/>
                <w:szCs w:val="18"/>
              </w:rPr>
            </w:pPr>
            <w:r>
              <w:rPr>
                <w:rFonts w:hint="eastAsia" w:ascii="宋体" w:hAnsi="宋体" w:eastAsia="宋体" w:cs="宋体"/>
                <w:b/>
                <w:bCs/>
                <w:sz w:val="18"/>
                <w:szCs w:val="18"/>
              </w:rPr>
              <w:t>实际完成情况</w:t>
            </w:r>
          </w:p>
        </w:tc>
      </w:tr>
      <w:tr w14:paraId="1D061DD3">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D032591">
            <w:pPr>
              <w:rPr>
                <w:rFonts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5EA83C8B">
            <w:pPr>
              <w:rPr>
                <w:rFonts w:ascii="宋体" w:hAnsi="宋体" w:eastAsia="宋体" w:cs="宋体"/>
                <w:sz w:val="18"/>
                <w:szCs w:val="18"/>
                <w:lang w:eastAsia="zh-CN"/>
              </w:rPr>
            </w:pPr>
            <w:r>
              <w:rPr>
                <w:rFonts w:hint="eastAsia" w:ascii="宋体" w:hAnsi="宋体" w:eastAsia="宋体" w:cs="宋体"/>
                <w:sz w:val="18"/>
                <w:szCs w:val="18"/>
                <w:lang w:eastAsia="zh-CN"/>
              </w:rPr>
              <w:t>开展党史研究，征集、整理、编篡奇台县地方党史资料、党史大事记、组织编写《中共奇台县委简史》，编辑出版重要党史书刊；负责全县的地方志工作，征集、整理奇台县地方史资料，收集整理全县各行各业2024年年鉴稿件110份；奇台综合年鉴（2023年）编纂完成率达到100%；编纂出版奇台县2023年综合年鉴至少1本。</w:t>
            </w:r>
          </w:p>
        </w:tc>
        <w:tc>
          <w:tcPr>
            <w:tcW w:w="4547" w:type="dxa"/>
            <w:gridSpan w:val="4"/>
            <w:tcBorders>
              <w:top w:val="single" w:color="auto" w:sz="4" w:space="0"/>
              <w:left w:val="nil"/>
              <w:bottom w:val="single" w:color="auto" w:sz="4" w:space="0"/>
              <w:right w:val="single" w:color="auto" w:sz="4" w:space="0"/>
            </w:tcBorders>
          </w:tcPr>
          <w:p w14:paraId="239093A3">
            <w:pPr>
              <w:rPr>
                <w:rFonts w:ascii="宋体" w:hAnsi="宋体" w:eastAsia="宋体" w:cs="宋体"/>
                <w:sz w:val="18"/>
                <w:szCs w:val="18"/>
                <w:lang w:eastAsia="zh-CN"/>
              </w:rPr>
            </w:pPr>
            <w:r>
              <w:rPr>
                <w:rFonts w:hint="eastAsia" w:ascii="宋体" w:hAnsi="宋体" w:eastAsia="宋体" w:cs="宋体"/>
                <w:sz w:val="18"/>
                <w:szCs w:val="18"/>
                <w:lang w:eastAsia="zh-CN"/>
              </w:rPr>
              <w:t>2024年我单位全年预算数为78.08万元，全年执行数78.08万元，总预算执行率为100%。2024年我单位完成以下工作内容：1.开展党史研究，征集、整理、收集整理全县各行各业2024年年鉴稿件110份，编纂出版奇台县2023年综合年鉴至少1本；2.负责全县的地方志工作，征集、整理奇台县地方史资料；3.奇台综合年鉴（2023年）编纂完成率达到100%。通过以上工作的实施，我单位开展编篡奇台县地方党史资料、党史大事记、组织编写《中共奇台县委简史》，编辑出版重要党史书刊等，在提质中突破，为奇台县经济发展贡献了党史史志力量。</w:t>
            </w:r>
          </w:p>
        </w:tc>
      </w:tr>
      <w:tr w14:paraId="4859B264">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68466E05">
            <w:pPr>
              <w:jc w:val="center"/>
              <w:rPr>
                <w:rFonts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1D5774C3">
            <w:pPr>
              <w:jc w:val="center"/>
              <w:rPr>
                <w:rFonts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5847954F">
            <w:pPr>
              <w:jc w:val="center"/>
              <w:rPr>
                <w:rFonts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06964000">
            <w:pPr>
              <w:jc w:val="center"/>
              <w:rPr>
                <w:rFonts w:ascii="宋体" w:hAnsi="宋体" w:eastAsia="宋体" w:cs="宋体"/>
                <w:b/>
                <w:bCs/>
                <w:sz w:val="18"/>
                <w:szCs w:val="18"/>
              </w:rPr>
            </w:pPr>
            <w:r>
              <w:rPr>
                <w:rFonts w:hint="eastAsia" w:ascii="宋体" w:hAnsi="宋体" w:eastAsia="宋体" w:cs="宋体"/>
                <w:b/>
                <w:bCs/>
                <w:sz w:val="18"/>
                <w:szCs w:val="18"/>
              </w:rPr>
              <w:t>预期指标值</w:t>
            </w:r>
          </w:p>
        </w:tc>
        <w:tc>
          <w:tcPr>
            <w:tcW w:w="1842" w:type="dxa"/>
            <w:tcBorders>
              <w:top w:val="nil"/>
              <w:left w:val="nil"/>
              <w:bottom w:val="single" w:color="auto" w:sz="4" w:space="0"/>
              <w:right w:val="single" w:color="auto" w:sz="4" w:space="0"/>
            </w:tcBorders>
            <w:vAlign w:val="center"/>
          </w:tcPr>
          <w:p w14:paraId="3FEF7F74">
            <w:pPr>
              <w:jc w:val="center"/>
              <w:rPr>
                <w:rFonts w:ascii="宋体" w:hAnsi="宋体" w:eastAsia="宋体" w:cs="宋体"/>
                <w:b/>
                <w:bCs/>
                <w:sz w:val="18"/>
                <w:szCs w:val="18"/>
              </w:rPr>
            </w:pPr>
            <w:r>
              <w:rPr>
                <w:rFonts w:hint="eastAsia" w:ascii="宋体" w:hAnsi="宋体" w:eastAsia="宋体" w:cs="宋体"/>
                <w:b/>
                <w:bCs/>
                <w:sz w:val="18"/>
                <w:szCs w:val="18"/>
              </w:rPr>
              <w:t>指标值设定依据</w:t>
            </w:r>
          </w:p>
        </w:tc>
        <w:tc>
          <w:tcPr>
            <w:tcW w:w="993" w:type="dxa"/>
            <w:tcBorders>
              <w:top w:val="nil"/>
              <w:left w:val="nil"/>
              <w:bottom w:val="single" w:color="auto" w:sz="4" w:space="0"/>
              <w:right w:val="single" w:color="auto" w:sz="4" w:space="0"/>
            </w:tcBorders>
            <w:vAlign w:val="center"/>
          </w:tcPr>
          <w:p w14:paraId="5221A014">
            <w:pPr>
              <w:jc w:val="center"/>
              <w:rPr>
                <w:rFonts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0CC47653">
            <w:pPr>
              <w:jc w:val="center"/>
              <w:rPr>
                <w:rFonts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21488D35">
            <w:pPr>
              <w:jc w:val="center"/>
              <w:rPr>
                <w:rFonts w:ascii="宋体" w:hAnsi="宋体" w:eastAsia="宋体" w:cs="宋体"/>
                <w:b/>
                <w:bCs/>
                <w:sz w:val="18"/>
                <w:szCs w:val="18"/>
              </w:rPr>
            </w:pPr>
            <w:r>
              <w:rPr>
                <w:rFonts w:hint="eastAsia" w:ascii="宋体" w:hAnsi="宋体" w:eastAsia="宋体" w:cs="宋体"/>
                <w:b/>
                <w:bCs/>
                <w:sz w:val="18"/>
                <w:szCs w:val="18"/>
              </w:rPr>
              <w:t>得分</w:t>
            </w:r>
          </w:p>
        </w:tc>
      </w:tr>
      <w:tr w14:paraId="19CF7487">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90785AC">
            <w:pPr>
              <w:jc w:val="center"/>
              <w:rPr>
                <w:rFonts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355353CD">
            <w:pPr>
              <w:jc w:val="center"/>
              <w:rPr>
                <w:rFonts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6C189060">
            <w:pPr>
              <w:jc w:val="center"/>
              <w:rPr>
                <w:rFonts w:ascii="宋体" w:hAnsi="宋体" w:eastAsia="宋体" w:cs="宋体"/>
                <w:sz w:val="18"/>
                <w:szCs w:val="18"/>
                <w:lang w:eastAsia="zh-CN"/>
              </w:rPr>
            </w:pPr>
            <w:r>
              <w:rPr>
                <w:rFonts w:hint="eastAsia" w:ascii="宋体" w:hAnsi="宋体" w:eastAsia="宋体" w:cs="宋体"/>
                <w:sz w:val="18"/>
                <w:szCs w:val="18"/>
                <w:lang w:eastAsia="zh-CN"/>
              </w:rPr>
              <w:t>编纂出版奇台县2023年综合年鉴册数</w:t>
            </w:r>
          </w:p>
        </w:tc>
        <w:tc>
          <w:tcPr>
            <w:tcW w:w="1276" w:type="dxa"/>
            <w:tcBorders>
              <w:top w:val="nil"/>
              <w:left w:val="nil"/>
              <w:bottom w:val="single" w:color="auto" w:sz="4" w:space="0"/>
              <w:right w:val="single" w:color="auto" w:sz="4" w:space="0"/>
            </w:tcBorders>
            <w:noWrap/>
            <w:vAlign w:val="center"/>
          </w:tcPr>
          <w:p w14:paraId="4F852D9E">
            <w:pPr>
              <w:jc w:val="center"/>
              <w:rPr>
                <w:rFonts w:ascii="宋体" w:hAnsi="宋体" w:eastAsia="宋体" w:cs="宋体"/>
                <w:sz w:val="18"/>
                <w:szCs w:val="18"/>
              </w:rPr>
            </w:pPr>
            <w:r>
              <w:rPr>
                <w:rFonts w:hint="eastAsia" w:ascii="宋体" w:hAnsi="宋体" w:eastAsia="宋体" w:cs="宋体"/>
                <w:sz w:val="18"/>
                <w:szCs w:val="18"/>
              </w:rPr>
              <w:t>&gt;=1本</w:t>
            </w:r>
          </w:p>
        </w:tc>
        <w:tc>
          <w:tcPr>
            <w:tcW w:w="1842" w:type="dxa"/>
            <w:tcBorders>
              <w:top w:val="nil"/>
              <w:left w:val="nil"/>
              <w:bottom w:val="single" w:color="auto" w:sz="4" w:space="0"/>
              <w:right w:val="single" w:color="auto" w:sz="4" w:space="0"/>
            </w:tcBorders>
            <w:noWrap/>
            <w:vAlign w:val="center"/>
          </w:tcPr>
          <w:p w14:paraId="3849F611">
            <w:pPr>
              <w:rPr>
                <w:rFonts w:ascii="宋体" w:hAnsi="宋体" w:eastAsia="宋体" w:cs="宋体"/>
                <w:sz w:val="18"/>
                <w:szCs w:val="18"/>
                <w:lang w:eastAsia="zh-CN"/>
              </w:rPr>
            </w:pPr>
            <w:r>
              <w:rPr>
                <w:rFonts w:hint="eastAsia" w:ascii="宋体" w:hAnsi="宋体" w:eastAsia="宋体" w:cs="宋体"/>
                <w:sz w:val="18"/>
                <w:szCs w:val="18"/>
                <w:lang w:eastAsia="zh-CN"/>
              </w:rPr>
              <w:t>奇台县委党史和文献研究室2024年工作计划</w:t>
            </w:r>
          </w:p>
        </w:tc>
        <w:tc>
          <w:tcPr>
            <w:tcW w:w="993" w:type="dxa"/>
            <w:tcBorders>
              <w:top w:val="nil"/>
              <w:left w:val="nil"/>
              <w:bottom w:val="single" w:color="auto" w:sz="4" w:space="0"/>
              <w:right w:val="single" w:color="auto" w:sz="4" w:space="0"/>
            </w:tcBorders>
            <w:noWrap/>
            <w:vAlign w:val="center"/>
          </w:tcPr>
          <w:p w14:paraId="3DBC2049">
            <w:pPr>
              <w:jc w:val="center"/>
              <w:rPr>
                <w:rFonts w:ascii="宋体" w:hAnsi="宋体" w:eastAsia="宋体" w:cs="宋体"/>
                <w:sz w:val="18"/>
                <w:szCs w:val="18"/>
              </w:rPr>
            </w:pPr>
            <w:r>
              <w:rPr>
                <w:rFonts w:hint="eastAsia" w:ascii="宋体" w:hAnsi="宋体" w:eastAsia="宋体" w:cs="宋体"/>
                <w:sz w:val="18"/>
                <w:szCs w:val="18"/>
              </w:rPr>
              <w:t>30</w:t>
            </w:r>
          </w:p>
        </w:tc>
        <w:tc>
          <w:tcPr>
            <w:tcW w:w="992" w:type="dxa"/>
            <w:tcBorders>
              <w:top w:val="nil"/>
              <w:left w:val="nil"/>
              <w:bottom w:val="single" w:color="auto" w:sz="4" w:space="0"/>
              <w:right w:val="single" w:color="auto" w:sz="4" w:space="0"/>
            </w:tcBorders>
            <w:noWrap/>
            <w:vAlign w:val="center"/>
          </w:tcPr>
          <w:p w14:paraId="44BC9367">
            <w:pPr>
              <w:jc w:val="center"/>
              <w:rPr>
                <w:rFonts w:ascii="宋体" w:hAnsi="宋体" w:eastAsia="宋体" w:cs="宋体"/>
                <w:sz w:val="18"/>
                <w:szCs w:val="18"/>
              </w:rPr>
            </w:pPr>
            <w:r>
              <w:rPr>
                <w:rFonts w:hint="eastAsia" w:ascii="宋体" w:hAnsi="宋体" w:eastAsia="宋体" w:cs="宋体"/>
                <w:sz w:val="18"/>
                <w:szCs w:val="18"/>
              </w:rPr>
              <w:t>=1本</w:t>
            </w:r>
          </w:p>
        </w:tc>
        <w:tc>
          <w:tcPr>
            <w:tcW w:w="720" w:type="dxa"/>
            <w:tcBorders>
              <w:top w:val="nil"/>
              <w:left w:val="nil"/>
              <w:bottom w:val="single" w:color="auto" w:sz="4" w:space="0"/>
              <w:right w:val="single" w:color="auto" w:sz="4" w:space="0"/>
            </w:tcBorders>
            <w:noWrap/>
            <w:vAlign w:val="center"/>
          </w:tcPr>
          <w:p w14:paraId="60A77BFC">
            <w:pPr>
              <w:jc w:val="center"/>
              <w:rPr>
                <w:rFonts w:ascii="宋体" w:hAnsi="宋体" w:eastAsia="宋体" w:cs="宋体"/>
                <w:sz w:val="18"/>
                <w:szCs w:val="18"/>
              </w:rPr>
            </w:pPr>
            <w:r>
              <w:rPr>
                <w:rFonts w:hint="eastAsia" w:ascii="宋体" w:hAnsi="宋体" w:eastAsia="宋体" w:cs="宋体"/>
                <w:sz w:val="18"/>
                <w:szCs w:val="18"/>
              </w:rPr>
              <w:t>30</w:t>
            </w:r>
          </w:p>
        </w:tc>
      </w:tr>
      <w:tr w14:paraId="4CD4AC2A">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B74E872">
            <w:pPr>
              <w:jc w:val="center"/>
              <w:rPr>
                <w:rFonts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7A0F0673">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B4280A3">
            <w:pPr>
              <w:jc w:val="center"/>
              <w:rPr>
                <w:rFonts w:ascii="宋体" w:hAnsi="宋体" w:eastAsia="宋体" w:cs="宋体"/>
                <w:sz w:val="18"/>
                <w:szCs w:val="18"/>
                <w:lang w:eastAsia="zh-CN"/>
              </w:rPr>
            </w:pPr>
            <w:r>
              <w:rPr>
                <w:rFonts w:hint="eastAsia" w:ascii="宋体" w:hAnsi="宋体" w:eastAsia="宋体" w:cs="宋体"/>
                <w:sz w:val="18"/>
                <w:szCs w:val="18"/>
                <w:lang w:eastAsia="zh-CN"/>
              </w:rPr>
              <w:t>收集整理全县各行各业2024年年鉴稿件</w:t>
            </w:r>
          </w:p>
        </w:tc>
        <w:tc>
          <w:tcPr>
            <w:tcW w:w="1276" w:type="dxa"/>
            <w:tcBorders>
              <w:top w:val="nil"/>
              <w:left w:val="nil"/>
              <w:bottom w:val="single" w:color="auto" w:sz="4" w:space="0"/>
              <w:right w:val="single" w:color="auto" w:sz="4" w:space="0"/>
            </w:tcBorders>
            <w:noWrap/>
            <w:vAlign w:val="center"/>
          </w:tcPr>
          <w:p w14:paraId="246A4149">
            <w:pPr>
              <w:jc w:val="center"/>
              <w:rPr>
                <w:rFonts w:ascii="宋体" w:hAnsi="宋体" w:eastAsia="宋体" w:cs="宋体"/>
                <w:sz w:val="18"/>
                <w:szCs w:val="18"/>
              </w:rPr>
            </w:pPr>
            <w:r>
              <w:rPr>
                <w:rFonts w:hint="eastAsia" w:ascii="宋体" w:hAnsi="宋体" w:eastAsia="宋体" w:cs="宋体"/>
                <w:sz w:val="18"/>
                <w:szCs w:val="18"/>
              </w:rPr>
              <w:t>=110份</w:t>
            </w:r>
          </w:p>
        </w:tc>
        <w:tc>
          <w:tcPr>
            <w:tcW w:w="1842" w:type="dxa"/>
            <w:tcBorders>
              <w:top w:val="nil"/>
              <w:left w:val="nil"/>
              <w:bottom w:val="single" w:color="auto" w:sz="4" w:space="0"/>
              <w:right w:val="single" w:color="auto" w:sz="4" w:space="0"/>
            </w:tcBorders>
            <w:noWrap/>
            <w:vAlign w:val="center"/>
          </w:tcPr>
          <w:p w14:paraId="229C5E5A">
            <w:pPr>
              <w:rPr>
                <w:rFonts w:ascii="宋体" w:hAnsi="宋体" w:eastAsia="宋体" w:cs="宋体"/>
                <w:sz w:val="18"/>
                <w:szCs w:val="18"/>
                <w:lang w:eastAsia="zh-CN"/>
              </w:rPr>
            </w:pPr>
            <w:r>
              <w:rPr>
                <w:rFonts w:hint="eastAsia" w:ascii="宋体" w:hAnsi="宋体" w:eastAsia="宋体" w:cs="宋体"/>
                <w:sz w:val="18"/>
                <w:szCs w:val="18"/>
                <w:lang w:eastAsia="zh-CN"/>
              </w:rPr>
              <w:t>奇台县委党史和文献研究室2024年工作计划</w:t>
            </w:r>
          </w:p>
        </w:tc>
        <w:tc>
          <w:tcPr>
            <w:tcW w:w="993" w:type="dxa"/>
            <w:tcBorders>
              <w:top w:val="nil"/>
              <w:left w:val="nil"/>
              <w:bottom w:val="single" w:color="auto" w:sz="4" w:space="0"/>
              <w:right w:val="single" w:color="auto" w:sz="4" w:space="0"/>
            </w:tcBorders>
            <w:noWrap/>
            <w:vAlign w:val="center"/>
          </w:tcPr>
          <w:p w14:paraId="1551AD8C">
            <w:pPr>
              <w:jc w:val="center"/>
              <w:rPr>
                <w:rFonts w:ascii="宋体" w:hAnsi="宋体" w:eastAsia="宋体" w:cs="宋体"/>
                <w:sz w:val="18"/>
                <w:szCs w:val="18"/>
              </w:rPr>
            </w:pPr>
            <w:r>
              <w:rPr>
                <w:rFonts w:hint="eastAsia" w:ascii="宋体" w:hAnsi="宋体" w:eastAsia="宋体" w:cs="宋体"/>
                <w:sz w:val="18"/>
                <w:szCs w:val="18"/>
              </w:rPr>
              <w:t>30</w:t>
            </w:r>
          </w:p>
        </w:tc>
        <w:tc>
          <w:tcPr>
            <w:tcW w:w="992" w:type="dxa"/>
            <w:tcBorders>
              <w:top w:val="nil"/>
              <w:left w:val="nil"/>
              <w:bottom w:val="single" w:color="auto" w:sz="4" w:space="0"/>
              <w:right w:val="single" w:color="auto" w:sz="4" w:space="0"/>
            </w:tcBorders>
            <w:noWrap/>
            <w:vAlign w:val="center"/>
          </w:tcPr>
          <w:p w14:paraId="158B7135">
            <w:pPr>
              <w:jc w:val="center"/>
              <w:rPr>
                <w:rFonts w:ascii="宋体" w:hAnsi="宋体" w:eastAsia="宋体" w:cs="宋体"/>
                <w:sz w:val="18"/>
                <w:szCs w:val="18"/>
              </w:rPr>
            </w:pPr>
            <w:r>
              <w:rPr>
                <w:rFonts w:hint="eastAsia" w:ascii="宋体" w:hAnsi="宋体" w:eastAsia="宋体" w:cs="宋体"/>
                <w:sz w:val="18"/>
                <w:szCs w:val="18"/>
              </w:rPr>
              <w:t>=110份</w:t>
            </w:r>
          </w:p>
        </w:tc>
        <w:tc>
          <w:tcPr>
            <w:tcW w:w="720" w:type="dxa"/>
            <w:tcBorders>
              <w:top w:val="nil"/>
              <w:left w:val="nil"/>
              <w:bottom w:val="single" w:color="auto" w:sz="4" w:space="0"/>
              <w:right w:val="single" w:color="auto" w:sz="4" w:space="0"/>
            </w:tcBorders>
            <w:noWrap/>
            <w:vAlign w:val="center"/>
          </w:tcPr>
          <w:p w14:paraId="5F6CA0E3">
            <w:pPr>
              <w:jc w:val="center"/>
              <w:rPr>
                <w:rFonts w:ascii="宋体" w:hAnsi="宋体" w:eastAsia="宋体" w:cs="宋体"/>
                <w:sz w:val="18"/>
                <w:szCs w:val="18"/>
              </w:rPr>
            </w:pPr>
            <w:r>
              <w:rPr>
                <w:rFonts w:hint="eastAsia" w:ascii="宋体" w:hAnsi="宋体" w:eastAsia="宋体" w:cs="宋体"/>
                <w:sz w:val="18"/>
                <w:szCs w:val="18"/>
              </w:rPr>
              <w:t>30</w:t>
            </w:r>
          </w:p>
        </w:tc>
      </w:tr>
      <w:tr w14:paraId="56EBAC1F">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7E21FAA2">
            <w:pPr>
              <w:jc w:val="center"/>
              <w:rPr>
                <w:rFonts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30CBD6AD">
            <w:pPr>
              <w:jc w:val="center"/>
              <w:rPr>
                <w:rFonts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0668AD6B">
            <w:pPr>
              <w:jc w:val="center"/>
              <w:rPr>
                <w:rFonts w:ascii="宋体" w:hAnsi="宋体" w:eastAsia="宋体" w:cs="宋体"/>
                <w:sz w:val="18"/>
                <w:szCs w:val="18"/>
                <w:lang w:eastAsia="zh-CN"/>
              </w:rPr>
            </w:pPr>
            <w:r>
              <w:rPr>
                <w:rFonts w:hint="eastAsia" w:ascii="宋体" w:hAnsi="宋体" w:eastAsia="宋体" w:cs="宋体"/>
                <w:sz w:val="18"/>
                <w:szCs w:val="18"/>
                <w:lang w:eastAsia="zh-CN"/>
              </w:rPr>
              <w:t>奇台综合年鉴（2023年）编纂完成率</w:t>
            </w:r>
          </w:p>
        </w:tc>
        <w:tc>
          <w:tcPr>
            <w:tcW w:w="1276" w:type="dxa"/>
            <w:tcBorders>
              <w:top w:val="nil"/>
              <w:left w:val="nil"/>
              <w:bottom w:val="single" w:color="auto" w:sz="4" w:space="0"/>
              <w:right w:val="single" w:color="auto" w:sz="4" w:space="0"/>
            </w:tcBorders>
            <w:noWrap/>
            <w:vAlign w:val="center"/>
          </w:tcPr>
          <w:p w14:paraId="07409B10">
            <w:pPr>
              <w:jc w:val="center"/>
              <w:rPr>
                <w:rFonts w:ascii="宋体" w:hAnsi="宋体" w:eastAsia="宋体" w:cs="宋体"/>
                <w:sz w:val="18"/>
                <w:szCs w:val="18"/>
              </w:rPr>
            </w:pPr>
            <w:r>
              <w:rPr>
                <w:rFonts w:hint="eastAsia" w:ascii="宋体" w:hAnsi="宋体" w:eastAsia="宋体" w:cs="宋体"/>
                <w:sz w:val="18"/>
                <w:szCs w:val="18"/>
              </w:rPr>
              <w:t>=100%</w:t>
            </w:r>
          </w:p>
        </w:tc>
        <w:tc>
          <w:tcPr>
            <w:tcW w:w="1842" w:type="dxa"/>
            <w:tcBorders>
              <w:top w:val="nil"/>
              <w:left w:val="nil"/>
              <w:bottom w:val="single" w:color="auto" w:sz="4" w:space="0"/>
              <w:right w:val="single" w:color="auto" w:sz="4" w:space="0"/>
            </w:tcBorders>
            <w:noWrap/>
            <w:vAlign w:val="center"/>
          </w:tcPr>
          <w:p w14:paraId="73C7DA65">
            <w:pPr>
              <w:rPr>
                <w:rFonts w:ascii="宋体" w:hAnsi="宋体" w:eastAsia="宋体" w:cs="宋体"/>
                <w:sz w:val="18"/>
                <w:szCs w:val="18"/>
                <w:lang w:eastAsia="zh-CN"/>
              </w:rPr>
            </w:pPr>
            <w:r>
              <w:rPr>
                <w:rFonts w:hint="eastAsia" w:ascii="宋体" w:hAnsi="宋体" w:eastAsia="宋体" w:cs="宋体"/>
                <w:sz w:val="18"/>
                <w:szCs w:val="18"/>
                <w:lang w:eastAsia="zh-CN"/>
              </w:rPr>
              <w:t>奇台县委党史和文献研究室2024年工作计划</w:t>
            </w:r>
          </w:p>
        </w:tc>
        <w:tc>
          <w:tcPr>
            <w:tcW w:w="993" w:type="dxa"/>
            <w:tcBorders>
              <w:top w:val="nil"/>
              <w:left w:val="nil"/>
              <w:bottom w:val="single" w:color="auto" w:sz="4" w:space="0"/>
              <w:right w:val="single" w:color="auto" w:sz="4" w:space="0"/>
            </w:tcBorders>
            <w:noWrap/>
            <w:vAlign w:val="center"/>
          </w:tcPr>
          <w:p w14:paraId="3B86BF9C">
            <w:pPr>
              <w:jc w:val="center"/>
              <w:rPr>
                <w:rFonts w:ascii="宋体" w:hAnsi="宋体" w:eastAsia="宋体" w:cs="宋体"/>
                <w:sz w:val="18"/>
                <w:szCs w:val="18"/>
              </w:rPr>
            </w:pPr>
            <w:r>
              <w:rPr>
                <w:rFonts w:hint="eastAsia" w:ascii="宋体" w:hAnsi="宋体" w:eastAsia="宋体" w:cs="宋体"/>
                <w:sz w:val="18"/>
                <w:szCs w:val="18"/>
              </w:rPr>
              <w:t>30</w:t>
            </w:r>
          </w:p>
        </w:tc>
        <w:tc>
          <w:tcPr>
            <w:tcW w:w="992" w:type="dxa"/>
            <w:tcBorders>
              <w:top w:val="nil"/>
              <w:left w:val="nil"/>
              <w:bottom w:val="single" w:color="auto" w:sz="4" w:space="0"/>
              <w:right w:val="single" w:color="auto" w:sz="4" w:space="0"/>
            </w:tcBorders>
            <w:noWrap/>
            <w:vAlign w:val="center"/>
          </w:tcPr>
          <w:p w14:paraId="6BBDF7E2">
            <w:pPr>
              <w:jc w:val="center"/>
              <w:rPr>
                <w:rFonts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5A9E9EB1">
            <w:pPr>
              <w:jc w:val="center"/>
              <w:rPr>
                <w:rFonts w:ascii="宋体" w:hAnsi="宋体" w:eastAsia="宋体" w:cs="宋体"/>
                <w:sz w:val="18"/>
                <w:szCs w:val="18"/>
              </w:rPr>
            </w:pPr>
            <w:r>
              <w:rPr>
                <w:rFonts w:hint="eastAsia" w:ascii="宋体" w:hAnsi="宋体" w:eastAsia="宋体" w:cs="宋体"/>
                <w:sz w:val="18"/>
                <w:szCs w:val="18"/>
              </w:rPr>
              <w:t>30</w:t>
            </w:r>
          </w:p>
        </w:tc>
      </w:tr>
    </w:tbl>
    <w:p w14:paraId="10437EDF">
      <w:pPr>
        <w:spacing w:after="0" w:line="240" w:lineRule="auto"/>
        <w:jc w:val="both"/>
        <w:rPr>
          <w:rFonts w:ascii="仿宋_GB2312" w:eastAsia="仿宋_GB2312"/>
          <w:sz w:val="32"/>
          <w:szCs w:val="32"/>
          <w:lang w:eastAsia="zh-CN"/>
        </w:rPr>
      </w:pPr>
    </w:p>
    <w:p w14:paraId="4CD489B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3A30DAA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1C8CC894">
      <w:pPr>
        <w:spacing w:after="0" w:line="240" w:lineRule="auto"/>
        <w:ind w:firstLine="640" w:firstLineChars="200"/>
        <w:rPr>
          <w:rFonts w:ascii="仿宋_GB2312" w:eastAsia="仿宋_GB2312"/>
          <w:sz w:val="32"/>
          <w:szCs w:val="32"/>
          <w:lang w:eastAsia="zh-CN"/>
        </w:rPr>
      </w:pPr>
    </w:p>
    <w:p w14:paraId="06E41F54">
      <w:pPr>
        <w:rPr>
          <w:lang w:eastAsia="zh-CN"/>
        </w:rPr>
      </w:pPr>
      <w:r>
        <w:rPr>
          <w:sz w:val="0"/>
          <w:szCs w:val="0"/>
          <w:lang w:eastAsia="zh-CN"/>
        </w:rPr>
        <w:br w:type="page"/>
      </w:r>
    </w:p>
    <w:p w14:paraId="40C8E0AE">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2202BBA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6C5DF7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808450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594F07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5BEEBB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07978A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72D5F67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FD50B6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02441C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CC9C60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9725D7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B5EB15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9F8F84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0DDC57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BBE7A20">
      <w:pPr>
        <w:rPr>
          <w:lang w:eastAsia="zh-CN"/>
        </w:rPr>
      </w:pPr>
      <w:r>
        <w:rPr>
          <w:sz w:val="0"/>
          <w:szCs w:val="0"/>
          <w:lang w:eastAsia="zh-CN"/>
        </w:rPr>
        <w:br w:type="page"/>
      </w:r>
    </w:p>
    <w:p w14:paraId="2F520714">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11DB783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3F0E67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5A9870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779282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E6E2E6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84CAA6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667B35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4F899B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1021F1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C0661C"/>
    <w:rsid w:val="003B7B43"/>
    <w:rsid w:val="005D50DB"/>
    <w:rsid w:val="007C5FDF"/>
    <w:rsid w:val="00960D06"/>
    <w:rsid w:val="00A266E5"/>
    <w:rsid w:val="00C0661C"/>
    <w:rsid w:val="00ED128B"/>
    <w:rsid w:val="67684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5"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Char"/>
    <w:basedOn w:val="14"/>
    <w:link w:val="9"/>
    <w:uiPriority w:val="99"/>
  </w:style>
  <w:style w:type="character" w:customStyle="1" w:styleId="18">
    <w:name w:val="标题 1 Char"/>
    <w:basedOn w:val="14"/>
    <w:link w:val="2"/>
    <w:uiPriority w:val="9"/>
    <w:rPr>
      <w:rFonts w:asciiTheme="majorHAnsi" w:hAnsiTheme="majorHAnsi" w:eastAsiaTheme="majorEastAsia" w:cstheme="majorBidi"/>
      <w:b/>
      <w:bCs/>
      <w:color w:val="2E75B5" w:themeColor="accent1" w:themeShade="BF"/>
      <w:sz w:val="28"/>
      <w:szCs w:val="28"/>
    </w:rPr>
  </w:style>
  <w:style w:type="character" w:customStyle="1" w:styleId="19">
    <w:name w:val="标题 2 Char"/>
    <w:basedOn w:val="14"/>
    <w:link w:val="3"/>
    <w:uiPriority w:val="9"/>
    <w:rPr>
      <w:rFonts w:asciiTheme="majorHAnsi" w:hAnsiTheme="majorHAnsi" w:eastAsiaTheme="majorEastAsia" w:cstheme="majorBidi"/>
      <w:b/>
      <w:bCs/>
      <w:color w:val="5B9BD5" w:themeColor="accent1"/>
      <w:sz w:val="26"/>
      <w:szCs w:val="26"/>
    </w:rPr>
  </w:style>
  <w:style w:type="character" w:customStyle="1" w:styleId="20">
    <w:name w:val="标题 3 Char"/>
    <w:basedOn w:val="14"/>
    <w:link w:val="4"/>
    <w:uiPriority w:val="9"/>
    <w:rPr>
      <w:rFonts w:asciiTheme="majorHAnsi" w:hAnsiTheme="majorHAnsi" w:eastAsiaTheme="majorEastAsia" w:cstheme="majorBidi"/>
      <w:b/>
      <w:bCs/>
      <w:color w:val="5B9BD5" w:themeColor="accent1"/>
    </w:rPr>
  </w:style>
  <w:style w:type="character" w:customStyle="1" w:styleId="21">
    <w:name w:val="标题 4 Char"/>
    <w:basedOn w:val="14"/>
    <w:link w:val="5"/>
    <w:uiPriority w:val="9"/>
    <w:rPr>
      <w:rFonts w:asciiTheme="majorHAnsi" w:hAnsiTheme="majorHAnsi" w:eastAsiaTheme="majorEastAsia" w:cstheme="majorBidi"/>
      <w:b/>
      <w:bCs/>
      <w:i/>
      <w:iCs/>
      <w:color w:val="5B9BD5" w:themeColor="accent1"/>
    </w:rPr>
  </w:style>
  <w:style w:type="character" w:customStyle="1" w:styleId="22">
    <w:name w:val="副标题 Char"/>
    <w:basedOn w:val="14"/>
    <w:link w:val="10"/>
    <w:uiPriority w:val="11"/>
    <w:rPr>
      <w:rFonts w:asciiTheme="majorHAnsi" w:hAnsiTheme="majorHAnsi" w:eastAsiaTheme="majorEastAsia" w:cstheme="majorBidi"/>
      <w:i/>
      <w:iCs/>
      <w:color w:val="5B9BD5" w:themeColor="accent1"/>
      <w:spacing w:val="15"/>
      <w:sz w:val="24"/>
      <w:szCs w:val="24"/>
    </w:rPr>
  </w:style>
  <w:style w:type="character" w:customStyle="1" w:styleId="23">
    <w:name w:val="标题 Char"/>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Char"/>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6725</Words>
  <Characters>7452</Characters>
  <Lines>54</Lines>
  <Paragraphs>15</Paragraphs>
  <TotalTime>29</TotalTime>
  <ScaleCrop>false</ScaleCrop>
  <LinksUpToDate>false</LinksUpToDate>
  <CharactersWithSpaces>7462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2025-09-18T04:38:00Z</dcterms:created>
  <dc:creator>雍虹虹</dc:creator>
  <cp:lastModifiedBy>OMG</cp:lastModifiedBy>
  <dcterms:modified xsi:type="dcterms:W3CDTF">2025-09-23T07:49:03Z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A2BACB7C3CD74D3B93B9D2DA68968C3B_12</vt:lpwstr>
  </property>
</Properties>
</file>