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w:t>
      </w:r>
      <w:r>
        <w:rPr>
          <w:rFonts w:hint="default" w:ascii="Times New Roman" w:hAnsi="Times New Roman" w:eastAsia="方正小标宋_GBK" w:cs="Times New Roman"/>
          <w:kern w:val="0"/>
          <w:sz w:val="48"/>
          <w:szCs w:val="48"/>
        </w:rPr>
        <w:t>中央基本公共卫生服务补助（昌州财社【2023】104号）项目支出绩效评价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bookmarkStart w:id="13" w:name="_GoBack"/>
      <w:bookmarkEnd w:id="13"/>
    </w:p>
    <w:p>
      <w:pPr>
        <w:pStyle w:val="13"/>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bookmarkStart w:id="0" w:name="OLE_LINK1"/>
      <w:r>
        <w:rPr>
          <w:rFonts w:hint="eastAsia" w:eastAsia="仿宋_GB2312" w:cs="Times New Roman"/>
          <w:kern w:val="0"/>
          <w:sz w:val="36"/>
          <w:szCs w:val="36"/>
          <w:lang w:val="en-US" w:eastAsia="zh-CN"/>
        </w:rPr>
        <w:t>2024年</w:t>
      </w:r>
      <w:r>
        <w:rPr>
          <w:rFonts w:hint="default" w:ascii="Times New Roman" w:hAnsi="Times New Roman" w:eastAsia="仿宋_GB2312" w:cs="Times New Roman"/>
          <w:kern w:val="0"/>
          <w:sz w:val="36"/>
          <w:szCs w:val="36"/>
        </w:rPr>
        <w:t>中央基本公共卫生服务补助（</w:t>
      </w:r>
      <w:bookmarkStart w:id="1" w:name="OLE_LINK16"/>
      <w:r>
        <w:rPr>
          <w:rFonts w:hint="default" w:ascii="Times New Roman" w:hAnsi="Times New Roman" w:eastAsia="仿宋_GB2312" w:cs="Times New Roman"/>
          <w:kern w:val="0"/>
          <w:sz w:val="36"/>
          <w:szCs w:val="36"/>
        </w:rPr>
        <w:t>昌州财社【2023】104号</w:t>
      </w:r>
      <w:bookmarkEnd w:id="1"/>
      <w:r>
        <w:rPr>
          <w:rFonts w:hint="default" w:ascii="Times New Roman" w:hAnsi="Times New Roman" w:eastAsia="仿宋_GB2312" w:cs="Times New Roman"/>
          <w:kern w:val="0"/>
          <w:sz w:val="36"/>
          <w:szCs w:val="36"/>
        </w:rPr>
        <w:t>）</w:t>
      </w:r>
      <w:bookmarkEnd w:id="0"/>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w:t>
      </w:r>
      <w:r>
        <w:rPr>
          <w:rFonts w:hint="eastAsia" w:eastAsia="仿宋_GB2312" w:cs="Times New Roman"/>
          <w:kern w:val="0"/>
          <w:sz w:val="36"/>
          <w:szCs w:val="36"/>
          <w:lang w:val="en-US" w:eastAsia="zh-CN"/>
        </w:rPr>
        <w:t>大泉塔塔尔族乡卫生院</w:t>
      </w:r>
    </w:p>
    <w:p>
      <w:pPr>
        <w:spacing w:line="700" w:lineRule="exact"/>
        <w:ind w:firstLine="1440" w:firstLineChars="400"/>
        <w:jc w:val="left"/>
        <w:rPr>
          <w:rFonts w:hint="eastAsia" w:eastAsia="仿宋_GB2312"/>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kern w:val="0"/>
          <w:sz w:val="36"/>
          <w:szCs w:val="36"/>
          <w:lang w:eastAsia="zh-CN"/>
        </w:rPr>
        <w:t>奇台县卫健委</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曹景光</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wordWrap w:val="0"/>
        <w:topLinePunct/>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wordWrap w:val="0"/>
        <w:topLinePunct/>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实施国家基本公共卫生服务项目是促进基本公共卫生服务逐步均等化的重要内容，也是我国公共卫生制度建设的重要组成部分。国家基本公共卫生服务项目自</w:t>
      </w:r>
      <w:r>
        <w:rPr>
          <w:rFonts w:hint="default" w:eastAsia="仿宋_GB2312" w:cs="Times New Roman"/>
          <w:sz w:val="32"/>
          <w:szCs w:val="32"/>
          <w:highlight w:val="none"/>
          <w:lang w:val="en-US" w:eastAsia="zh-CN"/>
        </w:rPr>
        <w:t>2009</w:t>
      </w:r>
      <w:r>
        <w:rPr>
          <w:rFonts w:hint="default" w:ascii="Times New Roman" w:hAnsi="Times New Roman" w:eastAsia="仿宋_GB2312" w:cs="Times New Roman"/>
          <w:sz w:val="32"/>
          <w:szCs w:val="32"/>
          <w:highlight w:val="none"/>
          <w:lang w:val="en-US" w:eastAsia="zh-CN"/>
        </w:rPr>
        <w:t>年启动以来，在城乡基层医疗卫生机构得到了普遍开展，取得了一定的成效。2021年人均基本公共卫生服务经费补助标准提高至79元。目前奇台县妇幼保健院基本公共卫生服务项目共涵盖</w:t>
      </w:r>
      <w:r>
        <w:rPr>
          <w:rFonts w:hint="default" w:eastAsia="仿宋_GB2312" w:cs="Times New Roman"/>
          <w:sz w:val="32"/>
          <w:szCs w:val="32"/>
          <w:highlight w:val="none"/>
          <w:lang w:val="en-US" w:eastAsia="zh-CN"/>
        </w:rPr>
        <w:t>高血压患者管理、居民电子健康档案建档管理、7岁以下儿童健康管理、孕产妇系统管理、2型糖尿病患者管理、老年人中医药健康管理</w:t>
      </w:r>
      <w:r>
        <w:rPr>
          <w:rFonts w:hint="default" w:ascii="Times New Roman" w:hAnsi="Times New Roman" w:eastAsia="仿宋_GB2312" w:cs="Times New Roman"/>
          <w:sz w:val="32"/>
          <w:szCs w:val="32"/>
          <w:highlight w:val="none"/>
          <w:lang w:val="en-US" w:eastAsia="zh-CN"/>
        </w:rPr>
        <w:t>。</w:t>
      </w:r>
    </w:p>
    <w:p>
      <w:pPr>
        <w:pStyle w:val="13"/>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高血压患者管理人数、居民电子健康档案建档人数、7岁以下儿童健康管理人数、孕产妇系统管理人数、2型糖尿病患者管理人数、老年人中医药健康管理人数、高血压患者管理率、居民电子健康档案使用率、7岁以下儿童健康管理率、孕产妇系统管理率、2型糖尿病患者管理率、老年人中医药健康管理率。</w:t>
      </w:r>
    </w:p>
    <w:p>
      <w:pPr>
        <w:shd w:val="clear"/>
        <w:spacing w:line="600" w:lineRule="exact"/>
        <w:ind w:firstLine="640" w:firstLineChars="200"/>
        <w:outlineLvl w:val="0"/>
        <w:rPr>
          <w:rFonts w:hint="default" w:ascii="Times New Roman" w:hAnsi="Times New Roman" w:cs="Times New Roman"/>
          <w:color w:val="auto"/>
          <w:highlight w:val="none"/>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auto"/>
          <w:sz w:val="32"/>
          <w:szCs w:val="32"/>
          <w:highlight w:val="none"/>
        </w:rPr>
        <w:t>截至2024年12月31日，该项目实际完成</w:t>
      </w:r>
      <w:r>
        <w:rPr>
          <w:rFonts w:hint="eastAsia" w:eastAsia="仿宋_GB2312" w:cs="Times New Roman"/>
          <w:color w:val="auto"/>
          <w:sz w:val="32"/>
          <w:szCs w:val="32"/>
          <w:highlight w:val="none"/>
          <w:lang w:val="en-US" w:eastAsia="zh-CN"/>
        </w:rPr>
        <w:t>49.89</w:t>
      </w:r>
      <w:r>
        <w:rPr>
          <w:rFonts w:hint="default" w:ascii="Times New Roman" w:hAnsi="Times New Roman" w:eastAsia="仿宋_GB2312" w:cs="Times New Roman"/>
          <w:color w:val="auto"/>
          <w:sz w:val="32"/>
          <w:szCs w:val="32"/>
          <w:highlight w:val="none"/>
        </w:rPr>
        <w:t>万元，通过免费向</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提供基本公共卫生服务，</w:t>
      </w:r>
      <w:r>
        <w:rPr>
          <w:rFonts w:hint="eastAsia" w:eastAsia="仿宋_GB2312" w:cs="Times New Roman"/>
          <w:color w:val="auto"/>
          <w:sz w:val="32"/>
          <w:szCs w:val="32"/>
          <w:highlight w:val="none"/>
          <w:lang w:val="en-US" w:eastAsia="zh-CN"/>
        </w:rPr>
        <w:t>全民体检服务，</w:t>
      </w:r>
      <w:r>
        <w:rPr>
          <w:rFonts w:hint="eastAsia" w:eastAsia="仿宋_GB2312" w:cs="Times New Roman"/>
          <w:color w:val="auto"/>
          <w:sz w:val="32"/>
          <w:szCs w:val="32"/>
          <w:highlight w:val="none"/>
          <w:lang w:eastAsia="zh-CN"/>
        </w:rPr>
        <w:t>我院</w:t>
      </w:r>
      <w:r>
        <w:rPr>
          <w:rFonts w:hint="eastAsia" w:eastAsia="仿宋_GB2312" w:cs="Times New Roman"/>
          <w:sz w:val="32"/>
          <w:szCs w:val="32"/>
          <w:highlight w:val="none"/>
          <w:lang w:val="en-US" w:eastAsia="zh-CN"/>
        </w:rPr>
        <w:t>高血压患者管理人数年初预算人数为371人，年末实际管理人数350人，使用率为94.33%；居民电子健康档案建档人数年初预算人数为3847人，年末实际管理人数3817人，使用率为99.22%；7岁以下儿童健康管理人数年初预算人数为205人，年末实际管理人数173人，使用率为84.39%；孕产妇系统管理人数年初预算人数为17人，年末实际管理人数19人，使用率为111%；2型糖尿病患者管理人数年初预算人数为79人，年末实际管理人数69人，使用率为87.34%；老年人中医药健康管理人数年初预算人数为335人，年末实际管理人数281人，使用率为83.88%；高血压患者管理率年初预算率为85%，年末实际管理率为94.33%，完成率为110.97%；居民电子健康档案使用率年初预算率为40%，年末实际管理率为99.22%，完成率为248.05%；7岁以下儿童健康管理率年初预算率为90%，年末实际管理率为94.54%，完成率为105%；孕产妇系统管理率年初预算率为90%，年末实际管理率为90.48%，完成率为100.53%；2型糖尿病患者管理率年初预算率为82%，年末实际管理率为87.34%，完成率为106.51%；老年人中医药健康管理率年初预算率为90%，年末实际管理率为83.88%，完成率为93.2%；。资金发放及时率100%，</w:t>
      </w:r>
      <w:r>
        <w:rPr>
          <w:rFonts w:hint="default" w:ascii="Times New Roman" w:hAnsi="Times New Roman" w:eastAsia="仿宋_GB2312" w:cs="Times New Roman"/>
          <w:color w:val="auto"/>
          <w:sz w:val="32"/>
          <w:szCs w:val="32"/>
          <w:highlight w:val="none"/>
        </w:rPr>
        <w:t>提高了</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健康水平，全面推进了基本公共卫生服务项目惠民政策的规范实施，提升了</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基本公共卫生服务的水平。</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31.74</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年中追加资金18.15万元，</w:t>
      </w:r>
      <w:r>
        <w:rPr>
          <w:rFonts w:hint="default" w:ascii="Times New Roman" w:hAnsi="Times New Roman" w:eastAsia="仿宋_GB2312" w:cs="Times New Roman"/>
          <w:sz w:val="32"/>
          <w:szCs w:val="32"/>
          <w:highlight w:val="none"/>
          <w:lang w:val="en-US" w:eastAsia="zh-CN"/>
        </w:rPr>
        <w:t>全年预算</w:t>
      </w:r>
      <w:r>
        <w:rPr>
          <w:rFonts w:hint="eastAsia" w:eastAsia="仿宋_GB2312" w:cs="Times New Roman"/>
          <w:sz w:val="32"/>
          <w:szCs w:val="32"/>
          <w:highlight w:val="none"/>
          <w:lang w:val="en-US" w:eastAsia="zh-CN"/>
        </w:rPr>
        <w:t>数49.89</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31.74</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年中追加资金18.15万元，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49.89</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color w:val="auto"/>
          <w:sz w:val="32"/>
          <w:szCs w:val="32"/>
          <w:highlight w:val="none"/>
          <w:shd w:val="clear" w:color="auto" w:fill="auto"/>
          <w:lang w:val="en-US" w:eastAsia="zh-CN"/>
        </w:rPr>
        <w:t>全年执行数</w:t>
      </w:r>
      <w:r>
        <w:rPr>
          <w:rFonts w:hint="eastAsia" w:eastAsia="仿宋_GB2312" w:cs="Times New Roman"/>
          <w:color w:val="auto"/>
          <w:sz w:val="32"/>
          <w:szCs w:val="32"/>
          <w:highlight w:val="none"/>
          <w:shd w:val="clear" w:color="auto" w:fill="auto"/>
          <w:lang w:val="en-US" w:eastAsia="zh-CN"/>
        </w:rPr>
        <w:t>49.89</w:t>
      </w:r>
      <w:r>
        <w:rPr>
          <w:rFonts w:hint="default" w:ascii="Times New Roman" w:hAnsi="Times New Roman" w:eastAsia="仿宋_GB2312" w:cs="Times New Roman"/>
          <w:color w:val="auto"/>
          <w:sz w:val="32"/>
          <w:szCs w:val="32"/>
          <w:highlight w:val="none"/>
          <w:shd w:val="clear" w:color="auto" w:fill="auto"/>
          <w:lang w:val="en-US" w:eastAsia="zh-CN"/>
        </w:rPr>
        <w:t>万元，预算执行率为</w:t>
      </w:r>
      <w:r>
        <w:rPr>
          <w:rFonts w:hint="eastAsia" w:eastAsia="仿宋_GB2312" w:cs="Times New Roman"/>
          <w:color w:val="auto"/>
          <w:sz w:val="32"/>
          <w:szCs w:val="32"/>
          <w:highlight w:val="none"/>
          <w:shd w:val="clear" w:color="auto" w:fill="auto"/>
          <w:lang w:val="en-US" w:eastAsia="zh-CN"/>
        </w:rPr>
        <w:t>100</w:t>
      </w:r>
      <w:r>
        <w:rPr>
          <w:rFonts w:hint="default" w:ascii="Times New Roman" w:hAnsi="Times New Roman" w:eastAsia="仿宋_GB2312" w:cs="Times New Roman"/>
          <w:color w:val="auto"/>
          <w:sz w:val="32"/>
          <w:szCs w:val="32"/>
          <w:highlight w:val="none"/>
          <w:shd w:val="clear" w:color="auto" w:fill="auto"/>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基本公卫的宣传、检查、试剂耗材等费用，</w:t>
      </w:r>
      <w:r>
        <w:rPr>
          <w:rFonts w:hint="default" w:ascii="Times New Roman" w:hAnsi="Times New Roman" w:eastAsia="仿宋_GB2312" w:cs="Times New Roman"/>
          <w:sz w:val="32"/>
          <w:szCs w:val="32"/>
          <w:highlight w:val="none"/>
          <w:lang w:val="en-US" w:eastAsia="zh-CN"/>
        </w:rPr>
        <w:t>提高</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健康水平，推进基本公共卫生服务项目惠民政策的规范实施，提升</w:t>
      </w:r>
      <w:r>
        <w:rPr>
          <w:rFonts w:hint="eastAsia" w:eastAsia="仿宋_GB2312" w:cs="Times New Roman"/>
          <w:sz w:val="32"/>
          <w:szCs w:val="32"/>
          <w:highlight w:val="none"/>
          <w:lang w:val="en-US" w:eastAsia="zh-CN"/>
        </w:rPr>
        <w:t>全民健康，</w:t>
      </w:r>
      <w:r>
        <w:rPr>
          <w:rFonts w:hint="default" w:ascii="Times New Roman" w:hAnsi="Times New Roman" w:eastAsia="仿宋_GB2312" w:cs="Times New Roman"/>
          <w:sz w:val="32"/>
          <w:szCs w:val="32"/>
          <w:highlight w:val="none"/>
          <w:lang w:val="en-US" w:eastAsia="zh-CN"/>
        </w:rPr>
        <w:t>妇幼</w:t>
      </w:r>
      <w:r>
        <w:rPr>
          <w:rFonts w:hint="eastAsia" w:eastAsia="仿宋_GB2312" w:cs="Times New Roman"/>
          <w:sz w:val="32"/>
          <w:szCs w:val="32"/>
          <w:highlight w:val="none"/>
          <w:lang w:val="en-US" w:eastAsia="zh-CN"/>
        </w:rPr>
        <w:t>儿童</w:t>
      </w:r>
      <w:r>
        <w:rPr>
          <w:rFonts w:hint="default" w:ascii="Times New Roman" w:hAnsi="Times New Roman" w:eastAsia="仿宋_GB2312" w:cs="Times New Roman"/>
          <w:sz w:val="32"/>
          <w:szCs w:val="32"/>
          <w:highlight w:val="none"/>
          <w:lang w:val="en-US" w:eastAsia="zh-CN"/>
        </w:rPr>
        <w:t>健康基本公共卫生服务水平。</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根据《2024年基本公共卫生服务补助资金项目实施方案》，</w:t>
      </w:r>
      <w:r>
        <w:rPr>
          <w:rFonts w:ascii="宋体" w:hAnsi="宋体" w:eastAsia="宋体" w:cs="宋体"/>
          <w:sz w:val="24"/>
          <w:szCs w:val="24"/>
        </w:rPr>
        <w:br w:type="textWrapping"/>
      </w:r>
      <w:r>
        <w:rPr>
          <w:rFonts w:hint="eastAsia" w:ascii="Times New Roman" w:hAnsi="Times New Roman" w:eastAsia="仿宋_GB2312" w:cs="Times New Roman"/>
          <w:sz w:val="32"/>
          <w:szCs w:val="32"/>
          <w:highlight w:val="none"/>
          <w:lang w:val="en-US" w:eastAsia="zh-CN"/>
        </w:rPr>
        <w:t>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截至2024年</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月31日，该项目实际完成</w:t>
      </w:r>
      <w:r>
        <w:rPr>
          <w:rFonts w:hint="eastAsia" w:eastAsia="仿宋_GB2312" w:cs="Times New Roman"/>
          <w:sz w:val="32"/>
          <w:szCs w:val="32"/>
          <w:highlight w:val="none"/>
          <w:lang w:val="en-US" w:eastAsia="zh-CN"/>
        </w:rPr>
        <w:t>22.12</w:t>
      </w:r>
      <w:r>
        <w:rPr>
          <w:rFonts w:hint="default" w:ascii="Times New Roman" w:hAnsi="Times New Roman" w:eastAsia="仿宋_GB2312" w:cs="Times New Roman"/>
          <w:sz w:val="32"/>
          <w:szCs w:val="32"/>
          <w:highlight w:val="none"/>
          <w:lang w:val="en-US" w:eastAsia="zh-CN"/>
        </w:rPr>
        <w:t>万元，通过</w:t>
      </w:r>
      <w:r>
        <w:rPr>
          <w:rFonts w:hint="eastAsia" w:eastAsia="仿宋_GB2312" w:cs="Times New Roman"/>
          <w:sz w:val="32"/>
          <w:szCs w:val="32"/>
          <w:highlight w:val="none"/>
          <w:lang w:val="en-US" w:eastAsia="zh-CN"/>
        </w:rPr>
        <w:t>免</w:t>
      </w:r>
      <w:r>
        <w:rPr>
          <w:rFonts w:hint="default" w:ascii="Times New Roman" w:hAnsi="Times New Roman" w:eastAsia="仿宋_GB2312" w:cs="Times New Roman"/>
          <w:sz w:val="32"/>
          <w:szCs w:val="32"/>
          <w:highlight w:val="none"/>
          <w:lang w:val="en-US" w:eastAsia="zh-CN"/>
        </w:rPr>
        <w:t>费向</w:t>
      </w:r>
      <w:r>
        <w:rPr>
          <w:rFonts w:hint="eastAsia" w:eastAsia="仿宋_GB2312" w:cs="Times New Roman"/>
          <w:sz w:val="32"/>
          <w:szCs w:val="32"/>
          <w:highlight w:val="none"/>
          <w:lang w:val="en-US" w:eastAsia="zh-CN"/>
        </w:rPr>
        <w:t>辖区居民</w:t>
      </w:r>
      <w:r>
        <w:rPr>
          <w:rFonts w:hint="default" w:ascii="Times New Roman" w:hAnsi="Times New Roman" w:eastAsia="仿宋_GB2312" w:cs="Times New Roman"/>
          <w:sz w:val="32"/>
          <w:szCs w:val="32"/>
          <w:highlight w:val="none"/>
          <w:lang w:val="en-US" w:eastAsia="zh-CN"/>
        </w:rPr>
        <w:t>提供基本公共卫生服务，</w:t>
      </w:r>
      <w:r>
        <w:rPr>
          <w:rFonts w:hint="eastAsia" w:ascii="宋体" w:hAnsi="宋体" w:eastAsia="宋体" w:cs="宋体"/>
          <w:i w:val="0"/>
          <w:caps w:val="0"/>
          <w:color w:val="333333"/>
          <w:spacing w:val="0"/>
          <w:kern w:val="0"/>
          <w:sz w:val="21"/>
          <w:szCs w:val="21"/>
          <w:shd w:val="clear" w:fill="FFFFFF"/>
          <w:lang w:val="en-US" w:eastAsia="zh-CN" w:bidi="ar"/>
        </w:rPr>
        <w:br w:type="textWrapping"/>
      </w:r>
      <w:r>
        <w:rPr>
          <w:rFonts w:hint="default" w:ascii="Times New Roman" w:hAnsi="Times New Roman" w:eastAsia="仿宋_GB2312" w:cs="Times New Roman"/>
          <w:sz w:val="32"/>
          <w:szCs w:val="32"/>
          <w:highlight w:val="none"/>
          <w:lang w:val="en-US" w:eastAsia="zh-CN"/>
        </w:rPr>
        <w:t>完成</w:t>
      </w:r>
      <w:bookmarkStart w:id="2" w:name="OLE_LINK8"/>
      <w:r>
        <w:rPr>
          <w:rFonts w:hint="eastAsia" w:eastAsia="仿宋_GB2312" w:cs="Times New Roman"/>
          <w:sz w:val="32"/>
          <w:szCs w:val="32"/>
          <w:highlight w:val="none"/>
          <w:lang w:val="en-US" w:eastAsia="zh-CN"/>
        </w:rPr>
        <w:t>高血压患者管理人数385人、居民电子健康档案建档人数3823人、7岁以下儿童健康管理人数158人、孕产妇系统管理人数12人、2型糖尿病患者管理人数86人、老年人中医药健康管理人数206人、高血压患者管理率63.76%、居民电子健康档案使用率96.08%、7岁以下儿童健康管理率100.89%、孕产妇系统管理率68.38%、2型糖尿病患者管理率57.67%、老年人中医药健康管理率46.37%。</w:t>
      </w:r>
      <w:r>
        <w:rPr>
          <w:rFonts w:hint="default" w:ascii="Times New Roman" w:hAnsi="Times New Roman" w:eastAsia="仿宋_GB2312" w:cs="Times New Roman"/>
          <w:sz w:val="32"/>
          <w:szCs w:val="32"/>
          <w:highlight w:val="none"/>
          <w:lang w:val="en-US" w:eastAsia="zh-CN"/>
        </w:rPr>
        <w:t>提高了</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健康水平，全面推进了基本公共卫生服务项目惠民政策的规范实施，</w:t>
      </w:r>
      <w:r>
        <w:rPr>
          <w:rFonts w:hint="eastAsia" w:ascii="Times New Roman" w:hAnsi="Times New Roman"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val="en-US" w:eastAsia="zh-CN"/>
        </w:rPr>
        <w:t>提升了</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健康基本公共卫生服务的水平</w:t>
      </w:r>
      <w:bookmarkEnd w:id="2"/>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本项目预算绩效评价报告的评价对象是2024年中央基本公共卫生服务补助（昌州财社【2023】104号）及其预算执行情况。该项目由</w:t>
      </w:r>
      <w:r>
        <w:rPr>
          <w:rFonts w:hint="eastAsia" w:ascii="Times New Roman" w:hAnsi="Times New Roman" w:eastAsia="仿宋_GB2312" w:cs="Times New Roman"/>
          <w:sz w:val="32"/>
          <w:szCs w:val="32"/>
          <w:highlight w:val="none"/>
          <w:lang w:eastAsia="zh-CN"/>
        </w:rPr>
        <w:t>奇台县</w:t>
      </w:r>
      <w:r>
        <w:rPr>
          <w:rFonts w:hint="eastAsia" w:eastAsia="仿宋_GB2312" w:cs="Times New Roman"/>
          <w:sz w:val="32"/>
          <w:szCs w:val="32"/>
          <w:highlight w:val="none"/>
          <w:lang w:val="en-US" w:eastAsia="zh-CN"/>
        </w:rPr>
        <w:t>大泉塔塔尔族乡</w:t>
      </w:r>
      <w:r>
        <w:rPr>
          <w:rFonts w:hint="eastAsia" w:eastAsia="仿宋_GB2312" w:cs="Times New Roman"/>
          <w:sz w:val="32"/>
          <w:szCs w:val="32"/>
          <w:highlight w:val="none"/>
          <w:lang w:eastAsia="zh-CN"/>
        </w:rPr>
        <w:t>卫生院</w:t>
      </w:r>
      <w:r>
        <w:rPr>
          <w:rFonts w:hint="default" w:ascii="Times New Roman" w:hAnsi="Times New Roman" w:eastAsia="仿宋_GB2312" w:cs="Times New Roman"/>
          <w:sz w:val="32"/>
          <w:szCs w:val="32"/>
          <w:highlight w:val="none"/>
        </w:rPr>
        <w:t>负责实施，旨在提高</w:t>
      </w:r>
      <w:r>
        <w:rPr>
          <w:rFonts w:hint="eastAsia" w:eastAsia="仿宋_GB2312" w:cs="Times New Roman"/>
          <w:sz w:val="32"/>
          <w:szCs w:val="32"/>
          <w:highlight w:val="none"/>
          <w:lang w:eastAsia="zh-CN"/>
        </w:rPr>
        <w:t>居民</w:t>
      </w:r>
      <w:r>
        <w:rPr>
          <w:rFonts w:hint="default" w:ascii="Times New Roman" w:hAnsi="Times New Roman" w:eastAsia="仿宋_GB2312" w:cs="Times New Roman"/>
          <w:sz w:val="32"/>
          <w:szCs w:val="32"/>
          <w:highlight w:val="none"/>
        </w:rPr>
        <w:t>健康水平，推进基本公共卫生服务项目惠民政策的规范实施，提升</w:t>
      </w:r>
      <w:r>
        <w:rPr>
          <w:rFonts w:hint="eastAsia" w:eastAsia="仿宋_GB2312" w:cs="Times New Roman"/>
          <w:sz w:val="32"/>
          <w:szCs w:val="32"/>
          <w:highlight w:val="none"/>
          <w:lang w:eastAsia="zh-CN"/>
        </w:rPr>
        <w:t>居民</w:t>
      </w:r>
      <w:r>
        <w:rPr>
          <w:rFonts w:hint="default" w:ascii="Times New Roman" w:hAnsi="Times New Roman" w:eastAsia="仿宋_GB2312" w:cs="Times New Roman"/>
          <w:sz w:val="32"/>
          <w:szCs w:val="32"/>
          <w:highlight w:val="none"/>
        </w:rPr>
        <w:t>健康基本公共卫生服务的水平。项目预算涵盖从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eastAsia="仿宋_GB2312" w:cs="Times New Roman"/>
          <w:sz w:val="32"/>
          <w:szCs w:val="32"/>
          <w:highlight w:val="none"/>
          <w:lang w:val="en-US" w:eastAsia="zh-CN"/>
        </w:rPr>
        <w:t>49.89</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一</w:t>
      </w:r>
      <w:r>
        <w:rPr>
          <w:rFonts w:eastAsia="仿宋_GB2312"/>
          <w:color w:val="000000"/>
          <w:spacing w:val="17"/>
          <w:sz w:val="32"/>
          <w:szCs w:val="32"/>
        </w:rPr>
        <w:t>）比较法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二</w:t>
      </w:r>
      <w:r>
        <w:rPr>
          <w:rFonts w:eastAsia="仿宋_GB2312"/>
          <w:color w:val="000000"/>
          <w:spacing w:val="17"/>
          <w:sz w:val="32"/>
          <w:szCs w:val="32"/>
        </w:rPr>
        <w:t>）因素分析法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w:t>
      </w:r>
    </w:p>
    <w:p>
      <w:pPr>
        <w:pStyle w:val="13"/>
        <w:widowControl w:val="0"/>
        <w:numPr>
          <w:ilvl w:val="-1"/>
          <w:numId w:val="0"/>
        </w:numPr>
        <w:spacing w:before="0" w:after="0" w:line="560" w:lineRule="exact"/>
        <w:ind w:firstLine="711" w:firstLineChars="200"/>
        <w:jc w:val="both"/>
        <w:outlineLvl w:val="9"/>
        <w:rPr>
          <w:rFonts w:hint="default" w:ascii="Times New Roman" w:hAnsi="Times New Roman" w:eastAsia="楷体" w:cs="Times New Roman"/>
          <w:color w:val="000000"/>
          <w:spacing w:val="17"/>
        </w:rPr>
      </w:pPr>
      <w:r>
        <w:rPr>
          <w:rFonts w:hint="default" w:eastAsia="楷体" w:cs="Times New Roman"/>
          <w:b/>
          <w:bCs/>
          <w:color w:val="000000"/>
          <w:spacing w:val="17"/>
          <w:kern w:val="28"/>
          <w:sz w:val="32"/>
          <w:szCs w:val="32"/>
          <w:lang w:eastAsia="zh-CN"/>
        </w:rPr>
        <w:t>（</w:t>
      </w:r>
      <w:r>
        <w:rPr>
          <w:rFonts w:hint="default" w:eastAsia="楷体" w:cs="Times New Roman"/>
          <w:b/>
          <w:bCs/>
          <w:color w:val="000000"/>
          <w:spacing w:val="17"/>
          <w:kern w:val="28"/>
          <w:sz w:val="32"/>
          <w:szCs w:val="32"/>
          <w:lang w:val="en-US" w:eastAsia="zh-CN"/>
        </w:rPr>
        <w:t>三</w:t>
      </w:r>
      <w:r>
        <w:rPr>
          <w:rFonts w:hint="default" w:eastAsia="楷体" w:cs="Times New Roman"/>
          <w:b/>
          <w:bCs/>
          <w:color w:val="000000"/>
          <w:spacing w:val="17"/>
          <w:kern w:val="28"/>
          <w:sz w:val="32"/>
          <w:szCs w:val="32"/>
          <w:lang w:eastAsia="zh-CN"/>
        </w:rPr>
        <w:t>）</w:t>
      </w: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w:t>
      </w:r>
      <w:r>
        <w:rPr>
          <w:rFonts w:hint="eastAsia" w:eastAsia="仿宋_GB2312" w:cs="Times New Roman"/>
          <w:b w:val="0"/>
          <w:bCs w:val="0"/>
          <w:kern w:val="28"/>
          <w:sz w:val="32"/>
          <w:szCs w:val="32"/>
          <w:lang w:val="en-US" w:eastAsia="zh-CN" w:bidi="ar-SA"/>
        </w:rPr>
        <w:t>由分管领导，</w:t>
      </w:r>
      <w:r>
        <w:rPr>
          <w:rFonts w:hint="default" w:ascii="Times New Roman" w:hAnsi="Times New Roman" w:eastAsia="仿宋_GB2312" w:cs="Times New Roman"/>
          <w:b w:val="0"/>
          <w:bCs w:val="0"/>
          <w:kern w:val="28"/>
          <w:sz w:val="32"/>
          <w:szCs w:val="32"/>
          <w:lang w:val="en-US" w:eastAsia="zh-CN" w:bidi="ar-SA"/>
        </w:rPr>
        <w:t>财务、项目</w:t>
      </w:r>
      <w:r>
        <w:rPr>
          <w:rFonts w:hint="eastAsia" w:ascii="Times New Roman" w:hAnsi="Times New Roman" w:eastAsia="仿宋_GB2312" w:cs="Times New Roman"/>
          <w:b w:val="0"/>
          <w:bCs w:val="0"/>
          <w:kern w:val="28"/>
          <w:sz w:val="32"/>
          <w:szCs w:val="32"/>
          <w:lang w:val="en-US" w:eastAsia="zh-CN" w:bidi="ar-SA"/>
        </w:rPr>
        <w:t>负责人</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2024年中央基本公共卫生服务补助（昌州财社【2023】104号）</w:t>
      </w:r>
      <w:r>
        <w:rPr>
          <w:rFonts w:hint="eastAsia" w:eastAsia="仿宋_GB2312" w:cs="Times New Roman"/>
          <w:sz w:val="32"/>
          <w:szCs w:val="32"/>
          <w:highlight w:val="none"/>
          <w:lang w:eastAsia="zh-CN"/>
        </w:rPr>
        <w:t>预算的投资在</w:t>
      </w:r>
      <w:r>
        <w:rPr>
          <w:rFonts w:hint="eastAsia" w:eastAsia="仿宋_GB2312" w:cs="Times New Roman"/>
          <w:sz w:val="32"/>
          <w:szCs w:val="32"/>
          <w:highlight w:val="none"/>
          <w:lang w:val="en-US" w:eastAsia="zh-CN"/>
        </w:rPr>
        <w:t>高血压患者管理人数，</w:t>
      </w:r>
      <w:r>
        <w:rPr>
          <w:rFonts w:hint="eastAsia" w:eastAsia="仿宋_GB2312" w:cs="Times New Roman"/>
          <w:sz w:val="32"/>
          <w:szCs w:val="32"/>
          <w:highlight w:val="none"/>
          <w:u w:val="none"/>
          <w:lang w:val="en-US" w:eastAsia="zh-CN"/>
        </w:rPr>
        <w:t>7岁以下儿童健康管理人数、孕产妇系统管理人数、2型糖尿病患者管理人数、老年人中医药健康管理人数、居民电子健康档案使用率、孕产妇系统管理率、2型糖尿病患者管理率、老年人中医药健康管理率</w:t>
      </w:r>
      <w:r>
        <w:rPr>
          <w:rFonts w:hint="eastAsia" w:eastAsia="仿宋_GB2312" w:cs="Times New Roman"/>
          <w:sz w:val="32"/>
          <w:szCs w:val="32"/>
          <w:highlight w:val="none"/>
          <w:lang w:eastAsia="zh-CN"/>
        </w:rPr>
        <w:t>指标等方面表现出色，达到了预期的标准与要求。</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w:t>
      </w:r>
      <w:r>
        <w:rPr>
          <w:rFonts w:hint="eastAsia" w:eastAsia="仿宋_GB2312" w:cs="Times New Roman"/>
          <w:sz w:val="32"/>
          <w:szCs w:val="32"/>
          <w:highlight w:val="none"/>
          <w:lang w:val="en-US" w:eastAsia="zh-CN"/>
        </w:rPr>
        <w:t>大泉塔塔尔族乡</w:t>
      </w:r>
      <w:r>
        <w:rPr>
          <w:rFonts w:hint="eastAsia" w:eastAsia="仿宋_GB2312" w:cs="Times New Roman"/>
          <w:sz w:val="32"/>
          <w:szCs w:val="32"/>
          <w:highlight w:val="none"/>
          <w:lang w:eastAsia="zh-CN"/>
        </w:rPr>
        <w:t>卫生院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居民健康基本公共卫生服务水平</w:t>
      </w:r>
      <w:r>
        <w:rPr>
          <w:rFonts w:hint="default" w:ascii="Times New Roman" w:hAnsi="Times New Roman" w:eastAsia="仿宋_GB2312" w:cs="Times New Roman"/>
          <w:sz w:val="32"/>
          <w:szCs w:val="32"/>
          <w:highlight w:val="none"/>
        </w:rPr>
        <w:t>等方面的提升，为项目的利益相关者带来了实实在在的利益。</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综上所述，2024年中央基本公共卫生服务补助（昌州财社【2023】104号）在绩效评价中表现出色，达到了项目的预期目标，并在多个方面取得了显著的成效。</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99.33</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39.33</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99.33</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3"/>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bookmarkStart w:id="3" w:name="OLE_LINK9" w:colFirst="1" w:colLast="1"/>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bookmarkStart w:id="4" w:name="OLE_LINK10"/>
            <w:r>
              <w:rPr>
                <w:rFonts w:hint="eastAsia" w:eastAsia="仿宋_GB2312" w:cs="Times New Roman"/>
                <w:color w:val="000000"/>
                <w:sz w:val="21"/>
                <w:szCs w:val="21"/>
                <w:lang w:val="en-US" w:eastAsia="zh-CN"/>
              </w:rPr>
              <w:t>100%</w:t>
            </w:r>
            <w:bookmarkEnd w:id="4"/>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ind w:firstLine="840" w:firstLineChars="400"/>
              <w:jc w:val="both"/>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rPr>
            </w:pPr>
            <w:r>
              <w:rPr>
                <w:rFonts w:hint="eastAsia" w:eastAsia="仿宋_GB2312" w:cs="Times New Roman"/>
                <w:color w:val="000000"/>
                <w:sz w:val="21"/>
                <w:szCs w:val="21"/>
                <w:highlight w:val="none"/>
                <w:lang w:val="en-US" w:eastAsia="zh-CN"/>
              </w:rPr>
              <w:t>39.33</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99.33%</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highlight w:val="none"/>
                <w:lang w:val="en-US" w:eastAsia="zh-CN"/>
              </w:rPr>
              <w:t>10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rPr>
            </w:pPr>
            <w:r>
              <w:rPr>
                <w:rFonts w:hint="eastAsia" w:eastAsia="仿宋_GB2312" w:cs="Times New Roman"/>
                <w:b/>
                <w:bCs/>
                <w:color w:val="000000"/>
                <w:sz w:val="21"/>
                <w:szCs w:val="21"/>
                <w:lang w:val="en-US" w:eastAsia="zh-CN"/>
              </w:rPr>
              <w:t>99.33</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99.33%</w:t>
            </w:r>
          </w:p>
        </w:tc>
      </w:tr>
      <w:bookmarkEnd w:id="3"/>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3"/>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w:t>
      </w:r>
      <w:r>
        <w:rPr>
          <w:rFonts w:hint="default" w:ascii="Times New Roman" w:hAnsi="Times New Roman" w:eastAsia="仿宋_GB2312" w:cs="Times New Roman"/>
          <w:sz w:val="32"/>
          <w:szCs w:val="32"/>
          <w:highlight w:val="none"/>
          <w:lang w:val="en-US" w:eastAsia="zh-CN"/>
        </w:rPr>
        <w:t>的可行性研究、绩效评估、集体决策</w:t>
      </w:r>
      <w:r>
        <w:rPr>
          <w:rFonts w:hint="default" w:ascii="Times New Roman" w:hAnsi="Times New Roman" w:eastAsia="仿宋_GB2312" w:cs="Times New Roman"/>
          <w:sz w:val="32"/>
          <w:szCs w:val="32"/>
          <w:lang w:val="en-US" w:eastAsia="zh-CN"/>
        </w:rPr>
        <w:t>，保障了程序的规范性。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3"/>
        <w:numPr>
          <w:ilvl w:val="0"/>
          <w:numId w:val="3"/>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49.89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w:t>
      </w:r>
      <w:r>
        <w:rPr>
          <w:rFonts w:hint="default" w:ascii="Times New Roman" w:hAnsi="Times New Roman" w:eastAsia="仿宋_GB2312" w:cs="Times New Roman"/>
          <w:sz w:val="32"/>
          <w:szCs w:val="32"/>
          <w:lang w:val="en-US" w:eastAsia="zh-CN"/>
        </w:rPr>
        <w:t>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49.89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本项目的资金使用严格遵循了《2024年妇幼健康基本公共卫生服务补助资金项目实施方案》，确保了资金的合规性与安全性。在资金使用过程中，我们对资金的流动进行了全程监控与记录。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eastAsia="zh-CN"/>
        </w:rPr>
        <w:t>本项目</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7"/>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39.33</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99.33</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fldChar w:fldCharType="begin"/>
      </w:r>
      <w:r>
        <w:rPr>
          <w:rFonts w:hint="default" w:ascii="Times New Roman" w:hAnsi="Times New Roman" w:eastAsia="仿宋_GB2312" w:cs="Times New Roman"/>
          <w:color w:val="auto"/>
          <w:sz w:val="32"/>
          <w:szCs w:val="32"/>
          <w:highlight w:val="none"/>
          <w:shd w:val="clear" w:color="auto" w:fill="auto"/>
        </w:rPr>
        <w:instrText xml:space="preserve"> = 1 \* GB3 </w:instrText>
      </w:r>
      <w:r>
        <w:rPr>
          <w:rFonts w:hint="default" w:ascii="Times New Roman" w:hAnsi="Times New Roman" w:eastAsia="仿宋_GB2312" w:cs="Times New Roman"/>
          <w:color w:val="auto"/>
          <w:sz w:val="32"/>
          <w:szCs w:val="32"/>
          <w:highlight w:val="none"/>
          <w:shd w:val="clear" w:color="auto" w:fill="auto"/>
        </w:rPr>
        <w:fldChar w:fldCharType="separate"/>
      </w:r>
      <w:r>
        <w:rPr>
          <w:rFonts w:hint="default" w:ascii="Times New Roman" w:hAnsi="Times New Roman" w:eastAsia="仿宋_GB2312" w:cs="Times New Roman"/>
          <w:color w:val="auto"/>
          <w:sz w:val="32"/>
          <w:szCs w:val="32"/>
          <w:highlight w:val="none"/>
          <w:shd w:val="clear" w:color="auto" w:fill="auto"/>
        </w:rPr>
        <w:t>①</w:t>
      </w:r>
      <w:r>
        <w:rPr>
          <w:rFonts w:hint="default" w:ascii="Times New Roman" w:hAnsi="Times New Roman" w:eastAsia="仿宋_GB2312" w:cs="Times New Roman"/>
          <w:color w:val="auto"/>
          <w:sz w:val="32"/>
          <w:szCs w:val="32"/>
          <w:highlight w:val="none"/>
          <w:shd w:val="clear" w:color="auto" w:fill="auto"/>
        </w:rPr>
        <w:fldChar w:fldCharType="end"/>
      </w:r>
      <w:r>
        <w:rPr>
          <w:rFonts w:hint="default" w:ascii="Times New Roman" w:hAnsi="Times New Roman" w:eastAsia="仿宋_GB2312" w:cs="Times New Roman"/>
          <w:color w:val="auto"/>
          <w:sz w:val="32"/>
          <w:szCs w:val="32"/>
          <w:highlight w:val="none"/>
          <w:shd w:val="clear" w:color="auto" w:fill="auto"/>
        </w:rPr>
        <w:t>数量指标：</w:t>
      </w:r>
    </w:p>
    <w:p>
      <w:pPr>
        <w:shd w:val="clear"/>
        <w:spacing w:line="600" w:lineRule="exact"/>
        <w:ind w:firstLine="640" w:firstLineChars="200"/>
        <w:outlineLvl w:val="0"/>
        <w:rPr>
          <w:rFonts w:hint="eastAsia" w:ascii="仿宋" w:hAnsi="仿宋" w:eastAsia="仿宋" w:cs="仿宋"/>
          <w:color w:val="auto"/>
          <w:sz w:val="32"/>
          <w:szCs w:val="32"/>
          <w:highlight w:val="none"/>
          <w:shd w:val="clear" w:color="auto" w:fill="auto"/>
          <w:lang w:val="en-US" w:eastAsia="zh-CN"/>
        </w:rPr>
      </w:pPr>
      <w:bookmarkStart w:id="5" w:name="OLE_LINK11"/>
      <w:r>
        <w:rPr>
          <w:rFonts w:hint="eastAsia" w:ascii="仿宋" w:hAnsi="仿宋" w:eastAsia="仿宋" w:cs="仿宋"/>
          <w:color w:val="auto"/>
          <w:sz w:val="32"/>
          <w:szCs w:val="32"/>
          <w:highlight w:val="none"/>
          <w:shd w:val="clear"/>
        </w:rPr>
        <w:t>指标1：</w:t>
      </w:r>
      <w:bookmarkEnd w:id="5"/>
      <w:r>
        <w:rPr>
          <w:rFonts w:hint="eastAsia" w:ascii="仿宋" w:hAnsi="仿宋" w:eastAsia="仿宋" w:cs="仿宋"/>
          <w:color w:val="auto"/>
          <w:sz w:val="32"/>
          <w:szCs w:val="32"/>
          <w:highlight w:val="none"/>
          <w:shd w:val="clear"/>
          <w:lang w:val="en-US" w:eastAsia="zh-CN"/>
        </w:rPr>
        <w:t>高血压患者管理人数年初预算人数为371人，年末实际管理人数350人，使用率为94.33%；</w:t>
      </w:r>
      <w:r>
        <w:rPr>
          <w:rFonts w:hint="eastAsia" w:ascii="仿宋" w:hAnsi="仿宋" w:eastAsia="仿宋" w:cs="仿宋"/>
          <w:i w:val="0"/>
          <w:caps w:val="0"/>
          <w:color w:val="auto"/>
          <w:spacing w:val="0"/>
          <w:kern w:val="2"/>
          <w:sz w:val="32"/>
          <w:szCs w:val="32"/>
          <w:highlight w:val="none"/>
          <w:u w:val="none"/>
          <w:lang w:val="en-US" w:eastAsia="zh-CN" w:bidi="ar"/>
        </w:rPr>
        <w:t>偏差原因：</w:t>
      </w:r>
      <w:r>
        <w:rPr>
          <w:rFonts w:hint="eastAsia" w:ascii="仿宋" w:hAnsi="仿宋" w:eastAsia="仿宋" w:cs="仿宋"/>
          <w:i w:val="0"/>
          <w:caps w:val="0"/>
          <w:color w:val="2B2B2B"/>
          <w:spacing w:val="0"/>
          <w:sz w:val="32"/>
          <w:szCs w:val="32"/>
          <w:highlight w:val="none"/>
          <w:shd w:val="clear" w:fill="auto"/>
        </w:rPr>
        <w:t>2024年高血压患者管理率为94.33%，有在外地居住患者，低于预期的指标值。改进措施：下年度提高指标设置质量。</w:t>
      </w:r>
    </w:p>
    <w:p>
      <w:pPr>
        <w:shd w:val="clear"/>
        <w:spacing w:line="600" w:lineRule="exact"/>
        <w:ind w:firstLine="640" w:firstLineChars="200"/>
        <w:outlineLvl w:val="0"/>
        <w:rPr>
          <w:rFonts w:hint="eastAsia" w:ascii="仿宋" w:hAnsi="仿宋" w:eastAsia="仿宋" w:cs="仿宋"/>
          <w:color w:val="auto"/>
          <w:sz w:val="32"/>
          <w:szCs w:val="32"/>
          <w:highlight w:val="none"/>
          <w:shd w:val="clear" w:color="auto" w:fill="auto"/>
          <w:lang w:val="en-US" w:eastAsia="zh-CN"/>
        </w:rPr>
      </w:pPr>
      <w:r>
        <w:rPr>
          <w:rFonts w:hint="eastAsia" w:ascii="仿宋" w:hAnsi="仿宋" w:eastAsia="仿宋" w:cs="仿宋"/>
          <w:color w:val="auto"/>
          <w:sz w:val="32"/>
          <w:szCs w:val="32"/>
          <w:highlight w:val="none"/>
          <w:shd w:val="clear" w:color="auto" w:fill="auto"/>
          <w:lang w:val="en-US" w:eastAsia="zh-CN"/>
        </w:rPr>
        <w:t>指标2：居民电子健康档案建档人数年初预算人数为3847人，年末实际管理人数3817人，使用率为99.22%；</w:t>
      </w:r>
      <w:r>
        <w:rPr>
          <w:rFonts w:hint="eastAsia" w:ascii="仿宋" w:hAnsi="仿宋" w:eastAsia="仿宋" w:cs="仿宋"/>
          <w:i w:val="0"/>
          <w:caps w:val="0"/>
          <w:color w:val="auto"/>
          <w:spacing w:val="0"/>
          <w:kern w:val="2"/>
          <w:sz w:val="32"/>
          <w:szCs w:val="32"/>
          <w:highlight w:val="none"/>
          <w:shd w:val="clear" w:color="auto" w:fill="auto"/>
          <w:lang w:val="en-US" w:eastAsia="zh-CN" w:bidi="ar"/>
        </w:rPr>
        <w:t>偏差原因：</w:t>
      </w:r>
      <w:r>
        <w:rPr>
          <w:rFonts w:hint="eastAsia" w:ascii="仿宋" w:hAnsi="仿宋" w:eastAsia="仿宋" w:cs="仿宋"/>
          <w:i w:val="0"/>
          <w:caps w:val="0"/>
          <w:color w:val="2B2B2B"/>
          <w:spacing w:val="0"/>
          <w:sz w:val="32"/>
          <w:szCs w:val="32"/>
          <w:highlight w:val="none"/>
          <w:shd w:val="clear" w:fill="auto"/>
        </w:rPr>
        <w:t>2024年居民健康档案使用率为99.22%，有在外地学习居住居民，低于预期的指标值。改进措施：下年度提高指标设置质量。</w:t>
      </w:r>
    </w:p>
    <w:p>
      <w:pPr>
        <w:shd w:val="clear"/>
        <w:spacing w:line="600" w:lineRule="exact"/>
        <w:ind w:firstLine="640" w:firstLineChars="200"/>
        <w:outlineLvl w:val="0"/>
        <w:rPr>
          <w:rFonts w:hint="eastAsia" w:ascii="仿宋" w:hAnsi="仿宋" w:eastAsia="仿宋" w:cs="仿宋"/>
          <w:color w:val="auto"/>
          <w:sz w:val="32"/>
          <w:szCs w:val="32"/>
          <w:highlight w:val="none"/>
          <w:shd w:val="clear" w:color="auto" w:fill="auto"/>
          <w:lang w:val="en-US" w:eastAsia="zh-CN"/>
        </w:rPr>
      </w:pPr>
      <w:r>
        <w:rPr>
          <w:rFonts w:hint="eastAsia" w:ascii="仿宋" w:hAnsi="仿宋" w:eastAsia="仿宋" w:cs="仿宋"/>
          <w:color w:val="auto"/>
          <w:sz w:val="32"/>
          <w:szCs w:val="32"/>
          <w:highlight w:val="none"/>
          <w:shd w:val="clear" w:color="auto" w:fill="auto"/>
          <w:lang w:val="en-US" w:eastAsia="zh-CN"/>
        </w:rPr>
        <w:t>指标3：7岁以下儿童健康管理人数年初预算人数为205人，年末实际管理人数173人，使用率为84.39%；</w:t>
      </w:r>
      <w:r>
        <w:rPr>
          <w:rFonts w:hint="eastAsia" w:ascii="仿宋" w:hAnsi="仿宋" w:eastAsia="仿宋" w:cs="仿宋"/>
          <w:i w:val="0"/>
          <w:caps w:val="0"/>
          <w:color w:val="2B2B2B"/>
          <w:spacing w:val="0"/>
          <w:sz w:val="32"/>
          <w:szCs w:val="32"/>
          <w:highlight w:val="none"/>
          <w:shd w:val="clear" w:fill="auto"/>
        </w:rPr>
        <w:t>偏差原因：2024年7岁以下儿童管理率为84.39%，有跟着父母在外地学习居住居民，低于预期的指标值。改进措施：下年度提高指标设置质量。</w:t>
      </w:r>
    </w:p>
    <w:p>
      <w:pPr>
        <w:shd w:val="clear"/>
        <w:spacing w:line="600" w:lineRule="exact"/>
        <w:ind w:firstLine="640" w:firstLineChars="200"/>
        <w:outlineLvl w:val="0"/>
        <w:rPr>
          <w:rFonts w:hint="eastAsia" w:ascii="仿宋" w:hAnsi="仿宋" w:eastAsia="仿宋" w:cs="仿宋"/>
          <w:color w:val="auto"/>
          <w:sz w:val="32"/>
          <w:szCs w:val="32"/>
          <w:highlight w:val="none"/>
          <w:shd w:val="clear" w:color="auto" w:fill="auto"/>
          <w:lang w:val="en-US" w:eastAsia="zh-CN"/>
        </w:rPr>
      </w:pPr>
      <w:r>
        <w:rPr>
          <w:rFonts w:hint="eastAsia" w:ascii="仿宋" w:hAnsi="仿宋" w:eastAsia="仿宋" w:cs="仿宋"/>
          <w:color w:val="auto"/>
          <w:sz w:val="32"/>
          <w:szCs w:val="32"/>
          <w:highlight w:val="none"/>
          <w:shd w:val="clear" w:color="auto" w:fill="auto"/>
          <w:lang w:val="en-US" w:eastAsia="zh-CN"/>
        </w:rPr>
        <w:t>指标4：孕产妇系统管理人数年初预算人数为17人，年末实际管理人数19人，使用率为111%；</w:t>
      </w:r>
      <w:r>
        <w:rPr>
          <w:rFonts w:hint="eastAsia" w:ascii="仿宋" w:hAnsi="仿宋" w:eastAsia="仿宋" w:cs="仿宋"/>
          <w:i w:val="0"/>
          <w:caps w:val="0"/>
          <w:color w:val="2B2B2B"/>
          <w:spacing w:val="0"/>
          <w:sz w:val="32"/>
          <w:szCs w:val="32"/>
          <w:highlight w:val="none"/>
          <w:shd w:val="clear" w:fill="auto"/>
        </w:rPr>
        <w:t>偏差原因：2024年孕产妇管理人数为19，有新增孕产妇居民，高于预期的指标值。改进措施：下年度提高指标设置质量</w:t>
      </w:r>
    </w:p>
    <w:p>
      <w:pPr>
        <w:shd w:val="clear"/>
        <w:spacing w:line="600" w:lineRule="exact"/>
        <w:ind w:firstLine="640" w:firstLineChars="200"/>
        <w:outlineLvl w:val="0"/>
        <w:rPr>
          <w:rFonts w:hint="eastAsia" w:ascii="仿宋" w:hAnsi="仿宋" w:eastAsia="仿宋" w:cs="仿宋"/>
          <w:color w:val="auto"/>
          <w:sz w:val="32"/>
          <w:szCs w:val="32"/>
          <w:highlight w:val="none"/>
          <w:shd w:val="clear" w:color="auto" w:fill="auto"/>
          <w:lang w:val="en-US" w:eastAsia="zh-CN"/>
        </w:rPr>
      </w:pPr>
      <w:r>
        <w:rPr>
          <w:rFonts w:hint="eastAsia" w:ascii="仿宋" w:hAnsi="仿宋" w:eastAsia="仿宋" w:cs="仿宋"/>
          <w:color w:val="auto"/>
          <w:sz w:val="32"/>
          <w:szCs w:val="32"/>
          <w:highlight w:val="none"/>
          <w:shd w:val="clear" w:color="auto" w:fill="auto"/>
          <w:lang w:val="en-US" w:eastAsia="zh-CN"/>
        </w:rPr>
        <w:t>指标5：2型糖尿病患者管理人数年初预算人数为79人，年末实际管理人数69人，使用率为87.34%；</w:t>
      </w:r>
      <w:r>
        <w:rPr>
          <w:rFonts w:hint="eastAsia" w:ascii="仿宋" w:hAnsi="仿宋" w:eastAsia="仿宋" w:cs="仿宋"/>
          <w:i w:val="0"/>
          <w:caps w:val="0"/>
          <w:color w:val="auto"/>
          <w:spacing w:val="0"/>
          <w:kern w:val="2"/>
          <w:sz w:val="32"/>
          <w:szCs w:val="32"/>
          <w:highlight w:val="none"/>
          <w:shd w:val="clear" w:color="auto" w:fill="auto"/>
          <w:lang w:val="en-US" w:eastAsia="zh-CN" w:bidi="ar"/>
        </w:rPr>
        <w:t>偏差原因：</w:t>
      </w:r>
      <w:r>
        <w:rPr>
          <w:rFonts w:hint="eastAsia" w:ascii="仿宋" w:hAnsi="仿宋" w:eastAsia="仿宋" w:cs="仿宋"/>
          <w:i w:val="0"/>
          <w:caps w:val="0"/>
          <w:color w:val="2B2B2B"/>
          <w:spacing w:val="0"/>
          <w:sz w:val="32"/>
          <w:szCs w:val="32"/>
          <w:highlight w:val="none"/>
          <w:shd w:val="clear" w:fill="auto"/>
        </w:rPr>
        <w:t>2024年2型糖尿病患者理人数为69，有在外地居住糖尿病患者，低于预期的指标值。改进措施：下年度提高指标设置质量。</w:t>
      </w:r>
    </w:p>
    <w:p>
      <w:pPr>
        <w:shd w:val="clear"/>
        <w:spacing w:line="600" w:lineRule="exact"/>
        <w:ind w:firstLine="640" w:firstLineChars="20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指标6：老年人中医药健康管理人数年初预算人数为335人，年末实际管理人数281人，使用率为83.88%；</w:t>
      </w:r>
      <w:r>
        <w:rPr>
          <w:rFonts w:hint="eastAsia" w:ascii="仿宋" w:hAnsi="仿宋" w:eastAsia="仿宋" w:cs="仿宋"/>
          <w:i w:val="0"/>
          <w:caps w:val="0"/>
          <w:color w:val="auto"/>
          <w:spacing w:val="0"/>
          <w:sz w:val="32"/>
          <w:szCs w:val="32"/>
          <w:highlight w:val="none"/>
          <w:shd w:val="clear"/>
        </w:rPr>
        <w:t>偏差原因：</w:t>
      </w:r>
      <w:r>
        <w:rPr>
          <w:rFonts w:hint="eastAsia" w:ascii="仿宋" w:hAnsi="仿宋" w:eastAsia="仿宋" w:cs="仿宋"/>
          <w:i w:val="0"/>
          <w:caps w:val="0"/>
          <w:color w:val="2B2B2B"/>
          <w:spacing w:val="0"/>
          <w:sz w:val="32"/>
          <w:szCs w:val="32"/>
          <w:highlight w:val="none"/>
          <w:shd w:val="clear" w:fill="auto"/>
        </w:rPr>
        <w:t>2024年老年人中医药管理人数为281，有在外地居老年人，低于预期的指标值。改进措施：下年度提高指标设置质量。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r>
        <w:rPr>
          <w:rFonts w:hint="default" w:ascii="Times New Roman" w:hAnsi="Times New Roman" w:eastAsia="仿宋_GB2312" w:cs="Times New Roman"/>
          <w:color w:val="auto"/>
          <w:sz w:val="32"/>
          <w:szCs w:val="32"/>
          <w:highlight w:val="none"/>
        </w:rPr>
        <w:tab/>
      </w:r>
    </w:p>
    <w:p>
      <w:pPr>
        <w:shd w:val="clear"/>
        <w:spacing w:line="600" w:lineRule="exact"/>
        <w:ind w:firstLine="640" w:firstLineChars="200"/>
        <w:outlineLvl w:val="0"/>
        <w:rPr>
          <w:rFonts w:hint="eastAsia" w:ascii="仿宋" w:hAnsi="仿宋" w:eastAsia="仿宋" w:cs="仿宋"/>
          <w:color w:val="2B2B2B"/>
          <w:sz w:val="32"/>
          <w:szCs w:val="32"/>
          <w:highlight w:val="none"/>
          <w:shd w:val="clear" w:fill="auto"/>
          <w:lang w:val="en-US" w:eastAsia="zh-CN"/>
        </w:rPr>
      </w:pPr>
      <w:r>
        <w:rPr>
          <w:rFonts w:hint="default" w:eastAsia="仿宋_GB2312" w:cs="Times New Roman"/>
          <w:sz w:val="32"/>
          <w:szCs w:val="32"/>
          <w:highlight w:val="none"/>
          <w:lang w:val="en-US" w:eastAsia="zh-CN"/>
        </w:rPr>
        <w:t>指标1：</w:t>
      </w:r>
      <w:r>
        <w:rPr>
          <w:rFonts w:hint="default" w:ascii="仿宋" w:hAnsi="仿宋" w:eastAsia="仿宋" w:cs="仿宋"/>
          <w:color w:val="2B2B2B"/>
          <w:sz w:val="32"/>
          <w:szCs w:val="32"/>
          <w:highlight w:val="none"/>
          <w:shd w:val="clear" w:fill="auto"/>
          <w:lang w:val="en-US" w:eastAsia="zh-CN"/>
        </w:rPr>
        <w:t>高血压患者管理率年初预算率为</w:t>
      </w:r>
      <w:r>
        <w:rPr>
          <w:rFonts w:hint="eastAsia" w:ascii="仿宋" w:hAnsi="仿宋" w:eastAsia="仿宋" w:cs="仿宋"/>
          <w:color w:val="2B2B2B"/>
          <w:sz w:val="32"/>
          <w:szCs w:val="32"/>
          <w:highlight w:val="none"/>
          <w:shd w:val="clear" w:fill="auto"/>
          <w:lang w:val="en-US" w:eastAsia="zh-CN"/>
        </w:rPr>
        <w:t>85</w:t>
      </w:r>
      <w:r>
        <w:rPr>
          <w:rFonts w:hint="default" w:ascii="仿宋" w:hAnsi="仿宋" w:eastAsia="仿宋" w:cs="仿宋"/>
          <w:color w:val="2B2B2B"/>
          <w:sz w:val="32"/>
          <w:szCs w:val="32"/>
          <w:highlight w:val="none"/>
          <w:shd w:val="clear" w:fill="auto"/>
          <w:lang w:val="en-US" w:eastAsia="zh-CN"/>
        </w:rPr>
        <w:t>%，年末实际管理率为9</w:t>
      </w:r>
      <w:r>
        <w:rPr>
          <w:rFonts w:hint="eastAsia" w:ascii="仿宋" w:hAnsi="仿宋" w:eastAsia="仿宋" w:cs="仿宋"/>
          <w:color w:val="2B2B2B"/>
          <w:sz w:val="32"/>
          <w:szCs w:val="32"/>
          <w:highlight w:val="none"/>
          <w:shd w:val="clear" w:fill="auto"/>
          <w:lang w:val="en-US" w:eastAsia="zh-CN"/>
        </w:rPr>
        <w:t>4.33</w:t>
      </w:r>
      <w:r>
        <w:rPr>
          <w:rFonts w:hint="default" w:ascii="仿宋" w:hAnsi="仿宋" w:eastAsia="仿宋" w:cs="仿宋"/>
          <w:color w:val="2B2B2B"/>
          <w:sz w:val="32"/>
          <w:szCs w:val="32"/>
          <w:highlight w:val="none"/>
          <w:shd w:val="clear" w:fill="auto"/>
          <w:lang w:val="en-US" w:eastAsia="zh-CN"/>
        </w:rPr>
        <w:t>%，完成率为1</w:t>
      </w:r>
      <w:r>
        <w:rPr>
          <w:rFonts w:hint="eastAsia" w:ascii="仿宋" w:hAnsi="仿宋" w:eastAsia="仿宋" w:cs="仿宋"/>
          <w:color w:val="2B2B2B"/>
          <w:sz w:val="32"/>
          <w:szCs w:val="32"/>
          <w:highlight w:val="none"/>
          <w:shd w:val="clear" w:fill="auto"/>
          <w:lang w:val="en-US" w:eastAsia="zh-CN"/>
        </w:rPr>
        <w:t>10.97</w:t>
      </w:r>
      <w:r>
        <w:rPr>
          <w:rFonts w:hint="default" w:ascii="仿宋" w:hAnsi="仿宋" w:eastAsia="仿宋" w:cs="仿宋"/>
          <w:color w:val="2B2B2B"/>
          <w:sz w:val="32"/>
          <w:szCs w:val="32"/>
          <w:highlight w:val="none"/>
          <w:shd w:val="clear" w:fill="auto"/>
          <w:lang w:val="en-US" w:eastAsia="zh-CN"/>
        </w:rPr>
        <w:t>%；</w:t>
      </w:r>
      <w:r>
        <w:rPr>
          <w:rFonts w:hint="eastAsia" w:ascii="仿宋" w:hAnsi="仿宋" w:eastAsia="仿宋" w:cs="仿宋"/>
          <w:i w:val="0"/>
          <w:caps w:val="0"/>
          <w:color w:val="2B2B2B"/>
          <w:spacing w:val="0"/>
          <w:sz w:val="32"/>
          <w:szCs w:val="32"/>
          <w:highlight w:val="none"/>
          <w:shd w:val="clear" w:fill="auto"/>
        </w:rPr>
        <w:t>偏差原因：2024年高血压患者管理人数为350，有在外地居住患者，低于预期的指标值。改进措施：下年度提高指标设置质量。</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lang w:val="en-US" w:eastAsia="zh-CN"/>
        </w:rPr>
      </w:pPr>
      <w:r>
        <w:rPr>
          <w:rFonts w:hint="default" w:ascii="仿宋" w:hAnsi="仿宋" w:eastAsia="仿宋" w:cs="仿宋"/>
          <w:color w:val="2B2B2B"/>
          <w:sz w:val="32"/>
          <w:szCs w:val="32"/>
          <w:highlight w:val="none"/>
          <w:shd w:val="clear" w:fill="auto"/>
          <w:lang w:val="en-US" w:eastAsia="zh-CN"/>
        </w:rPr>
        <w:t>指标2：居民电子健康档案使用率年初预算率为</w:t>
      </w:r>
      <w:r>
        <w:rPr>
          <w:rFonts w:hint="eastAsia" w:ascii="仿宋" w:hAnsi="仿宋" w:eastAsia="仿宋" w:cs="仿宋"/>
          <w:color w:val="2B2B2B"/>
          <w:sz w:val="32"/>
          <w:szCs w:val="32"/>
          <w:highlight w:val="none"/>
          <w:shd w:val="clear" w:fill="auto"/>
          <w:lang w:val="en-US" w:eastAsia="zh-CN"/>
        </w:rPr>
        <w:t>40</w:t>
      </w:r>
      <w:r>
        <w:rPr>
          <w:rFonts w:hint="default" w:ascii="仿宋" w:hAnsi="仿宋" w:eastAsia="仿宋" w:cs="仿宋"/>
          <w:color w:val="2B2B2B"/>
          <w:sz w:val="32"/>
          <w:szCs w:val="32"/>
          <w:highlight w:val="none"/>
          <w:shd w:val="clear" w:fill="auto"/>
          <w:lang w:val="en-US" w:eastAsia="zh-CN"/>
        </w:rPr>
        <w:t>%，年末实际管理率为</w:t>
      </w:r>
      <w:r>
        <w:rPr>
          <w:rFonts w:hint="eastAsia" w:ascii="仿宋" w:hAnsi="仿宋" w:eastAsia="仿宋" w:cs="仿宋"/>
          <w:color w:val="2B2B2B"/>
          <w:sz w:val="32"/>
          <w:szCs w:val="32"/>
          <w:highlight w:val="none"/>
          <w:shd w:val="clear" w:fill="auto"/>
          <w:lang w:val="en-US" w:eastAsia="zh-CN"/>
        </w:rPr>
        <w:t>99.22</w:t>
      </w:r>
      <w:r>
        <w:rPr>
          <w:rFonts w:hint="default" w:ascii="仿宋" w:hAnsi="仿宋" w:eastAsia="仿宋" w:cs="仿宋"/>
          <w:color w:val="2B2B2B"/>
          <w:sz w:val="32"/>
          <w:szCs w:val="32"/>
          <w:highlight w:val="none"/>
          <w:shd w:val="clear" w:fill="auto"/>
          <w:lang w:val="en-US" w:eastAsia="zh-CN"/>
        </w:rPr>
        <w:t>%，完成率为</w:t>
      </w:r>
      <w:r>
        <w:rPr>
          <w:rFonts w:hint="eastAsia" w:ascii="仿宋" w:hAnsi="仿宋" w:eastAsia="仿宋" w:cs="仿宋"/>
          <w:color w:val="2B2B2B"/>
          <w:sz w:val="32"/>
          <w:szCs w:val="32"/>
          <w:highlight w:val="none"/>
          <w:shd w:val="clear" w:fill="auto"/>
          <w:lang w:val="en-US" w:eastAsia="zh-CN"/>
        </w:rPr>
        <w:t>248.05</w:t>
      </w:r>
      <w:r>
        <w:rPr>
          <w:rFonts w:hint="default" w:ascii="仿宋" w:hAnsi="仿宋" w:eastAsia="仿宋" w:cs="仿宋"/>
          <w:color w:val="2B2B2B"/>
          <w:sz w:val="32"/>
          <w:szCs w:val="32"/>
          <w:highlight w:val="none"/>
          <w:shd w:val="clear" w:fill="auto"/>
          <w:lang w:val="en-US" w:eastAsia="zh-CN"/>
        </w:rPr>
        <w:t>%</w:t>
      </w:r>
      <w:r>
        <w:rPr>
          <w:rFonts w:hint="eastAsia" w:ascii="仿宋" w:hAnsi="仿宋" w:eastAsia="仿宋" w:cs="仿宋"/>
          <w:color w:val="2B2B2B"/>
          <w:sz w:val="32"/>
          <w:szCs w:val="32"/>
          <w:highlight w:val="none"/>
          <w:shd w:val="clear" w:fill="auto"/>
          <w:lang w:val="en-US" w:eastAsia="zh-CN"/>
        </w:rPr>
        <w:t>。</w:t>
      </w:r>
      <w:r>
        <w:rPr>
          <w:rFonts w:hint="eastAsia" w:ascii="仿宋" w:hAnsi="仿宋" w:eastAsia="仿宋" w:cs="仿宋"/>
          <w:i w:val="0"/>
          <w:caps w:val="0"/>
          <w:color w:val="2B2B2B"/>
          <w:spacing w:val="0"/>
          <w:sz w:val="32"/>
          <w:szCs w:val="32"/>
          <w:highlight w:val="none"/>
          <w:shd w:val="clear" w:fill="auto"/>
        </w:rPr>
        <w:t>偏差原因：2024年居民健康档案人数为3817，有在外地学习居住居民，低于预期的指标值。改进措施：下年度提高指标设置质量。</w:t>
      </w:r>
      <w:r>
        <w:rPr>
          <w:rFonts w:hint="default" w:ascii="仿宋" w:hAnsi="仿宋" w:eastAsia="仿宋" w:cs="仿宋"/>
          <w:color w:val="2B2B2B"/>
          <w:sz w:val="32"/>
          <w:szCs w:val="32"/>
          <w:highlight w:val="none"/>
          <w:shd w:val="clear" w:fill="auto"/>
          <w:lang w:val="en-US" w:eastAsia="zh-CN"/>
        </w:rPr>
        <w:t>；</w:t>
      </w:r>
    </w:p>
    <w:p>
      <w:pPr>
        <w:shd w:val="clear"/>
        <w:spacing w:line="600" w:lineRule="exact"/>
        <w:ind w:firstLine="640" w:firstLineChars="200"/>
        <w:outlineLvl w:val="0"/>
        <w:rPr>
          <w:rFonts w:hint="eastAsia" w:ascii="仿宋" w:hAnsi="仿宋" w:eastAsia="仿宋" w:cs="仿宋"/>
          <w:color w:val="2B2B2B"/>
          <w:sz w:val="32"/>
          <w:szCs w:val="32"/>
          <w:highlight w:val="none"/>
          <w:shd w:val="clear" w:fill="auto"/>
          <w:lang w:val="en-US" w:eastAsia="zh-CN"/>
        </w:rPr>
      </w:pPr>
      <w:r>
        <w:rPr>
          <w:rFonts w:hint="default" w:ascii="仿宋" w:hAnsi="仿宋" w:eastAsia="仿宋" w:cs="仿宋"/>
          <w:color w:val="2B2B2B"/>
          <w:sz w:val="32"/>
          <w:szCs w:val="32"/>
          <w:highlight w:val="none"/>
          <w:shd w:val="clear" w:fill="auto"/>
          <w:lang w:val="en-US" w:eastAsia="zh-CN"/>
        </w:rPr>
        <w:t>指标3：7岁以下儿童健康管理率年初预算率为</w:t>
      </w:r>
      <w:r>
        <w:rPr>
          <w:rFonts w:hint="eastAsia" w:ascii="仿宋" w:hAnsi="仿宋" w:eastAsia="仿宋" w:cs="仿宋"/>
          <w:color w:val="2B2B2B"/>
          <w:sz w:val="32"/>
          <w:szCs w:val="32"/>
          <w:highlight w:val="none"/>
          <w:shd w:val="clear" w:fill="auto"/>
          <w:lang w:val="en-US" w:eastAsia="zh-CN"/>
        </w:rPr>
        <w:t>90</w:t>
      </w:r>
      <w:r>
        <w:rPr>
          <w:rFonts w:hint="default" w:ascii="仿宋" w:hAnsi="仿宋" w:eastAsia="仿宋" w:cs="仿宋"/>
          <w:color w:val="2B2B2B"/>
          <w:sz w:val="32"/>
          <w:szCs w:val="32"/>
          <w:highlight w:val="none"/>
          <w:shd w:val="clear" w:fill="auto"/>
          <w:lang w:val="en-US" w:eastAsia="zh-CN"/>
        </w:rPr>
        <w:t>%，年末实际管理率为</w:t>
      </w:r>
      <w:r>
        <w:rPr>
          <w:rFonts w:hint="eastAsia" w:ascii="仿宋" w:hAnsi="仿宋" w:eastAsia="仿宋" w:cs="仿宋"/>
          <w:color w:val="2B2B2B"/>
          <w:sz w:val="32"/>
          <w:szCs w:val="32"/>
          <w:highlight w:val="none"/>
          <w:shd w:val="clear" w:fill="auto"/>
          <w:lang w:val="en-US" w:eastAsia="zh-CN"/>
        </w:rPr>
        <w:t>94.54</w:t>
      </w:r>
      <w:r>
        <w:rPr>
          <w:rFonts w:hint="default" w:ascii="仿宋" w:hAnsi="仿宋" w:eastAsia="仿宋" w:cs="仿宋"/>
          <w:color w:val="2B2B2B"/>
          <w:sz w:val="32"/>
          <w:szCs w:val="32"/>
          <w:highlight w:val="none"/>
          <w:shd w:val="clear" w:fill="auto"/>
          <w:lang w:val="en-US" w:eastAsia="zh-CN"/>
        </w:rPr>
        <w:t>%，完成率为10</w:t>
      </w:r>
      <w:r>
        <w:rPr>
          <w:rFonts w:hint="eastAsia" w:ascii="仿宋" w:hAnsi="仿宋" w:eastAsia="仿宋" w:cs="仿宋"/>
          <w:color w:val="2B2B2B"/>
          <w:sz w:val="32"/>
          <w:szCs w:val="32"/>
          <w:highlight w:val="none"/>
          <w:shd w:val="clear" w:fill="auto"/>
          <w:lang w:val="en-US" w:eastAsia="zh-CN"/>
        </w:rPr>
        <w:t>5</w:t>
      </w:r>
      <w:r>
        <w:rPr>
          <w:rFonts w:hint="default" w:ascii="仿宋" w:hAnsi="仿宋" w:eastAsia="仿宋" w:cs="仿宋"/>
          <w:color w:val="2B2B2B"/>
          <w:sz w:val="32"/>
          <w:szCs w:val="32"/>
          <w:highlight w:val="none"/>
          <w:shd w:val="clear" w:fill="auto"/>
          <w:lang w:val="en-US" w:eastAsia="zh-CN"/>
        </w:rPr>
        <w:t>%；</w:t>
      </w:r>
      <w:r>
        <w:rPr>
          <w:rFonts w:hint="eastAsia" w:ascii="仿宋" w:hAnsi="仿宋" w:eastAsia="仿宋" w:cs="仿宋"/>
          <w:i w:val="0"/>
          <w:caps w:val="0"/>
          <w:color w:val="2B2B2B"/>
          <w:spacing w:val="0"/>
          <w:sz w:val="32"/>
          <w:szCs w:val="32"/>
          <w:highlight w:val="none"/>
          <w:shd w:val="clear" w:fill="auto"/>
        </w:rPr>
        <w:t>偏差原因：2024年7岁以下儿童管理人数为173，有跟着父母在外地学习居住居民，低于预期的指标值。改进措施：下年度提高指标设置质量。</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lang w:val="en-US" w:eastAsia="zh-CN"/>
        </w:rPr>
      </w:pPr>
      <w:r>
        <w:rPr>
          <w:rFonts w:hint="default" w:ascii="仿宋" w:hAnsi="仿宋" w:eastAsia="仿宋" w:cs="仿宋"/>
          <w:color w:val="2B2B2B"/>
          <w:sz w:val="32"/>
          <w:szCs w:val="32"/>
          <w:highlight w:val="none"/>
          <w:shd w:val="clear" w:fill="auto"/>
          <w:lang w:val="en-US" w:eastAsia="zh-CN"/>
        </w:rPr>
        <w:t>指标4：孕产妇系统管理率年初预算率为90%，年末实际管理率为90.48%，完成率为100.53%；</w:t>
      </w:r>
      <w:r>
        <w:rPr>
          <w:rFonts w:ascii="仿宋" w:hAnsi="仿宋" w:eastAsia="仿宋" w:cs="仿宋"/>
          <w:i w:val="0"/>
          <w:caps w:val="0"/>
          <w:color w:val="2B2B2B"/>
          <w:spacing w:val="0"/>
          <w:sz w:val="32"/>
          <w:szCs w:val="32"/>
          <w:highlight w:val="none"/>
          <w:shd w:val="clear" w:fill="auto"/>
        </w:rPr>
        <w:t>偏差原因：2024年孕产妇管理人数为19，有新增孕产妇居民，高于预期的指标值。改进措施：下年度提高指标设置质量。</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lang w:val="en-US" w:eastAsia="zh-CN"/>
        </w:rPr>
      </w:pPr>
      <w:r>
        <w:rPr>
          <w:rFonts w:hint="default" w:ascii="仿宋" w:hAnsi="仿宋" w:eastAsia="仿宋" w:cs="仿宋"/>
          <w:color w:val="2B2B2B"/>
          <w:sz w:val="32"/>
          <w:szCs w:val="32"/>
          <w:highlight w:val="none"/>
          <w:shd w:val="clear" w:fill="auto"/>
          <w:lang w:val="en-US" w:eastAsia="zh-CN"/>
        </w:rPr>
        <w:t>指标5：2型糖尿病患者管理率年初预算率为82%，年末实际管理率为87.34%，完成率为106.51%；</w:t>
      </w:r>
      <w:r>
        <w:rPr>
          <w:rFonts w:ascii="仿宋" w:hAnsi="仿宋" w:eastAsia="仿宋" w:cs="仿宋"/>
          <w:i w:val="0"/>
          <w:caps w:val="0"/>
          <w:color w:val="2B2B2B"/>
          <w:spacing w:val="0"/>
          <w:sz w:val="32"/>
          <w:szCs w:val="32"/>
          <w:highlight w:val="none"/>
          <w:shd w:val="clear" w:fill="auto"/>
        </w:rPr>
        <w:t>偏差原因：2024年2型糖尿病患者理人数为69，有在外地居住糖尿病患者，低于预期的指标值。改进措施：下年度提高指标设置质量。</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rPr>
      </w:pPr>
      <w:r>
        <w:rPr>
          <w:rFonts w:hint="default" w:ascii="仿宋" w:hAnsi="仿宋" w:eastAsia="仿宋" w:cs="仿宋"/>
          <w:color w:val="2B2B2B"/>
          <w:sz w:val="32"/>
          <w:szCs w:val="32"/>
          <w:highlight w:val="none"/>
          <w:shd w:val="clear" w:fill="auto"/>
          <w:lang w:val="en-US" w:eastAsia="zh-CN"/>
        </w:rPr>
        <w:t>指标6：老年人中医药健康管理率年初预算率为90%，年末实际管理率为83.88%，完成率为93.2%。</w:t>
      </w:r>
      <w:r>
        <w:rPr>
          <w:rFonts w:ascii="仿宋" w:hAnsi="仿宋" w:eastAsia="仿宋" w:cs="仿宋"/>
          <w:i w:val="0"/>
          <w:caps w:val="0"/>
          <w:color w:val="2B2B2B"/>
          <w:spacing w:val="0"/>
          <w:sz w:val="32"/>
          <w:szCs w:val="32"/>
          <w:highlight w:val="none"/>
          <w:shd w:val="clear" w:fill="auto"/>
        </w:rPr>
        <w:t>偏差原因：2024年老年人中医药管理人数为281，有在外地居老年人，低于预期的指标值。改进措施：下年度提高指标设置质量。</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rPr>
      </w:pPr>
      <w:r>
        <w:rPr>
          <w:rFonts w:hint="default" w:ascii="仿宋" w:hAnsi="仿宋" w:eastAsia="仿宋" w:cs="仿宋"/>
          <w:color w:val="2B2B2B"/>
          <w:sz w:val="32"/>
          <w:szCs w:val="32"/>
          <w:highlight w:val="none"/>
          <w:shd w:val="clear" w:fill="auto"/>
        </w:rPr>
        <w:fldChar w:fldCharType="begin"/>
      </w:r>
      <w:r>
        <w:rPr>
          <w:rFonts w:hint="default" w:ascii="仿宋" w:hAnsi="仿宋" w:eastAsia="仿宋" w:cs="仿宋"/>
          <w:color w:val="2B2B2B"/>
          <w:sz w:val="32"/>
          <w:szCs w:val="32"/>
          <w:highlight w:val="none"/>
          <w:shd w:val="clear" w:fill="auto"/>
        </w:rPr>
        <w:instrText xml:space="preserve"> = 3 \* GB3 </w:instrText>
      </w:r>
      <w:r>
        <w:rPr>
          <w:rFonts w:hint="default" w:ascii="仿宋" w:hAnsi="仿宋" w:eastAsia="仿宋" w:cs="仿宋"/>
          <w:color w:val="2B2B2B"/>
          <w:sz w:val="32"/>
          <w:szCs w:val="32"/>
          <w:highlight w:val="none"/>
          <w:shd w:val="clear" w:fill="auto"/>
        </w:rPr>
        <w:fldChar w:fldCharType="separate"/>
      </w:r>
      <w:r>
        <w:rPr>
          <w:rFonts w:hint="default" w:ascii="仿宋" w:hAnsi="仿宋" w:eastAsia="仿宋" w:cs="仿宋"/>
          <w:color w:val="2B2B2B"/>
          <w:sz w:val="32"/>
          <w:szCs w:val="32"/>
          <w:highlight w:val="none"/>
          <w:shd w:val="clear" w:fill="auto"/>
        </w:rPr>
        <w:t>③</w:t>
      </w:r>
      <w:r>
        <w:rPr>
          <w:rFonts w:hint="default" w:ascii="仿宋" w:hAnsi="仿宋" w:eastAsia="仿宋" w:cs="仿宋"/>
          <w:color w:val="2B2B2B"/>
          <w:sz w:val="32"/>
          <w:szCs w:val="32"/>
          <w:highlight w:val="none"/>
          <w:shd w:val="clear" w:fill="auto"/>
        </w:rPr>
        <w:fldChar w:fldCharType="end"/>
      </w:r>
      <w:r>
        <w:rPr>
          <w:rFonts w:hint="default" w:ascii="仿宋" w:hAnsi="仿宋" w:eastAsia="仿宋" w:cs="仿宋"/>
          <w:color w:val="2B2B2B"/>
          <w:sz w:val="32"/>
          <w:szCs w:val="32"/>
          <w:highlight w:val="none"/>
          <w:shd w:val="clear" w:fill="auto"/>
        </w:rPr>
        <w:t>时效指标：</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lang w:eastAsia="zh-CN"/>
        </w:rPr>
      </w:pPr>
      <w:r>
        <w:rPr>
          <w:rFonts w:hint="default" w:ascii="仿宋" w:hAnsi="仿宋" w:eastAsia="仿宋" w:cs="仿宋"/>
          <w:color w:val="2B2B2B"/>
          <w:sz w:val="32"/>
          <w:szCs w:val="32"/>
          <w:highlight w:val="none"/>
          <w:shd w:val="clear" w:fill="auto"/>
        </w:rPr>
        <w:t>指标1：资金到位及时率，指标值：&gt;=</w:t>
      </w:r>
      <w:r>
        <w:rPr>
          <w:rFonts w:hint="default" w:ascii="仿宋" w:hAnsi="仿宋" w:eastAsia="仿宋" w:cs="仿宋"/>
          <w:color w:val="2B2B2B"/>
          <w:sz w:val="32"/>
          <w:szCs w:val="32"/>
          <w:highlight w:val="none"/>
          <w:shd w:val="clear" w:fill="auto"/>
          <w:lang w:val="en-US" w:eastAsia="zh-CN"/>
        </w:rPr>
        <w:t>90</w:t>
      </w:r>
      <w:r>
        <w:rPr>
          <w:rFonts w:hint="default" w:ascii="仿宋" w:hAnsi="仿宋" w:eastAsia="仿宋" w:cs="仿宋"/>
          <w:color w:val="2B2B2B"/>
          <w:sz w:val="32"/>
          <w:szCs w:val="32"/>
          <w:highlight w:val="none"/>
          <w:shd w:val="clear" w:fill="auto"/>
        </w:rPr>
        <w:t>%，实际完成值：</w:t>
      </w:r>
      <w:r>
        <w:rPr>
          <w:rFonts w:hint="default" w:ascii="仿宋" w:hAnsi="仿宋" w:eastAsia="仿宋" w:cs="仿宋"/>
          <w:color w:val="2B2B2B"/>
          <w:sz w:val="32"/>
          <w:szCs w:val="32"/>
          <w:highlight w:val="none"/>
          <w:shd w:val="clear" w:fill="auto"/>
          <w:lang w:val="en-US" w:eastAsia="zh-CN"/>
        </w:rPr>
        <w:t>100</w:t>
      </w:r>
      <w:r>
        <w:rPr>
          <w:rFonts w:hint="default" w:ascii="仿宋" w:hAnsi="仿宋" w:eastAsia="仿宋" w:cs="仿宋"/>
          <w:color w:val="2B2B2B"/>
          <w:sz w:val="32"/>
          <w:szCs w:val="32"/>
          <w:highlight w:val="none"/>
          <w:shd w:val="clear" w:fill="auto"/>
        </w:rPr>
        <w:t>%，指标完成率</w:t>
      </w:r>
      <w:r>
        <w:rPr>
          <w:rFonts w:hint="default" w:ascii="仿宋" w:hAnsi="仿宋" w:eastAsia="仿宋" w:cs="仿宋"/>
          <w:color w:val="2B2B2B"/>
          <w:sz w:val="32"/>
          <w:szCs w:val="32"/>
          <w:highlight w:val="none"/>
          <w:shd w:val="clear" w:fill="auto"/>
          <w:lang w:val="en-US" w:eastAsia="zh-CN"/>
        </w:rPr>
        <w:t>100</w:t>
      </w:r>
      <w:r>
        <w:rPr>
          <w:rFonts w:hint="default" w:ascii="仿宋" w:hAnsi="仿宋" w:eastAsia="仿宋" w:cs="仿宋"/>
          <w:color w:val="2B2B2B"/>
          <w:sz w:val="32"/>
          <w:szCs w:val="32"/>
          <w:highlight w:val="none"/>
          <w:shd w:val="clear" w:fill="auto"/>
        </w:rPr>
        <w:t>%</w:t>
      </w:r>
      <w:r>
        <w:rPr>
          <w:rFonts w:hint="default" w:ascii="仿宋" w:hAnsi="仿宋" w:eastAsia="仿宋" w:cs="仿宋"/>
          <w:color w:val="2B2B2B"/>
          <w:sz w:val="32"/>
          <w:szCs w:val="32"/>
          <w:highlight w:val="none"/>
          <w:shd w:val="clear" w:fill="auto"/>
          <w:lang w:eastAsia="zh-CN"/>
        </w:rPr>
        <w:t>。</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rPr>
      </w:pPr>
      <w:r>
        <w:rPr>
          <w:rFonts w:hint="default" w:ascii="仿宋" w:hAnsi="仿宋" w:eastAsia="仿宋" w:cs="仿宋"/>
          <w:color w:val="2B2B2B"/>
          <w:sz w:val="32"/>
          <w:szCs w:val="32"/>
          <w:highlight w:val="none"/>
          <w:shd w:val="clear" w:fill="auto"/>
        </w:rPr>
        <w:fldChar w:fldCharType="begin"/>
      </w:r>
      <w:r>
        <w:rPr>
          <w:rFonts w:hint="default" w:ascii="仿宋" w:hAnsi="仿宋" w:eastAsia="仿宋" w:cs="仿宋"/>
          <w:color w:val="2B2B2B"/>
          <w:sz w:val="32"/>
          <w:szCs w:val="32"/>
          <w:highlight w:val="none"/>
          <w:shd w:val="clear" w:fill="auto"/>
        </w:rPr>
        <w:instrText xml:space="preserve"> = 4 \* GB3 </w:instrText>
      </w:r>
      <w:r>
        <w:rPr>
          <w:rFonts w:hint="default" w:ascii="仿宋" w:hAnsi="仿宋" w:eastAsia="仿宋" w:cs="仿宋"/>
          <w:color w:val="2B2B2B"/>
          <w:sz w:val="32"/>
          <w:szCs w:val="32"/>
          <w:highlight w:val="none"/>
          <w:shd w:val="clear" w:fill="auto"/>
        </w:rPr>
        <w:fldChar w:fldCharType="separate"/>
      </w:r>
      <w:r>
        <w:rPr>
          <w:rFonts w:hint="default" w:ascii="仿宋" w:hAnsi="仿宋" w:eastAsia="仿宋" w:cs="仿宋"/>
          <w:color w:val="2B2B2B"/>
          <w:sz w:val="32"/>
          <w:szCs w:val="32"/>
          <w:highlight w:val="none"/>
          <w:shd w:val="clear" w:fill="auto"/>
        </w:rPr>
        <w:t>④</w:t>
      </w:r>
      <w:r>
        <w:rPr>
          <w:rFonts w:hint="default" w:ascii="仿宋" w:hAnsi="仿宋" w:eastAsia="仿宋" w:cs="仿宋"/>
          <w:color w:val="2B2B2B"/>
          <w:sz w:val="32"/>
          <w:szCs w:val="32"/>
          <w:highlight w:val="none"/>
          <w:shd w:val="clear" w:fill="auto"/>
        </w:rPr>
        <w:fldChar w:fldCharType="end"/>
      </w:r>
      <w:r>
        <w:rPr>
          <w:rFonts w:hint="default" w:ascii="仿宋" w:hAnsi="仿宋" w:eastAsia="仿宋" w:cs="仿宋"/>
          <w:color w:val="2B2B2B"/>
          <w:sz w:val="32"/>
          <w:szCs w:val="32"/>
          <w:highlight w:val="none"/>
          <w:shd w:val="clear" w:fill="auto"/>
        </w:rPr>
        <w:t>成本指标：</w:t>
      </w:r>
    </w:p>
    <w:p>
      <w:pPr>
        <w:shd w:val="clear"/>
        <w:spacing w:line="600" w:lineRule="exact"/>
        <w:ind w:firstLine="640" w:firstLineChars="200"/>
        <w:outlineLvl w:val="0"/>
        <w:rPr>
          <w:rFonts w:hint="default" w:ascii="仿宋" w:hAnsi="仿宋" w:eastAsia="仿宋" w:cs="仿宋"/>
          <w:color w:val="2B2B2B"/>
          <w:sz w:val="32"/>
          <w:szCs w:val="32"/>
          <w:highlight w:val="none"/>
          <w:shd w:val="clear" w:fill="auto"/>
          <w:lang w:val="en-US" w:eastAsia="zh-CN"/>
        </w:rPr>
      </w:pPr>
      <w:bookmarkStart w:id="6" w:name="OLE_LINK13"/>
      <w:r>
        <w:rPr>
          <w:rFonts w:hint="default" w:ascii="仿宋" w:hAnsi="仿宋" w:eastAsia="仿宋" w:cs="仿宋"/>
          <w:color w:val="2B2B2B"/>
          <w:sz w:val="32"/>
          <w:szCs w:val="32"/>
          <w:highlight w:val="none"/>
          <w:shd w:val="clear" w:fill="auto"/>
        </w:rPr>
        <w:t>指标1：项目预算控制率，指标值：=</w:t>
      </w:r>
      <w:r>
        <w:rPr>
          <w:rFonts w:hint="default" w:ascii="仿宋" w:hAnsi="仿宋" w:eastAsia="仿宋" w:cs="仿宋"/>
          <w:color w:val="2B2B2B"/>
          <w:sz w:val="32"/>
          <w:szCs w:val="32"/>
          <w:highlight w:val="none"/>
          <w:shd w:val="clear" w:fill="auto"/>
          <w:lang w:val="en-US" w:eastAsia="zh-CN"/>
        </w:rPr>
        <w:t>90</w:t>
      </w:r>
      <w:r>
        <w:rPr>
          <w:rFonts w:hint="default" w:ascii="仿宋" w:hAnsi="仿宋" w:eastAsia="仿宋" w:cs="仿宋"/>
          <w:color w:val="2B2B2B"/>
          <w:sz w:val="32"/>
          <w:szCs w:val="32"/>
          <w:highlight w:val="none"/>
          <w:shd w:val="clear" w:fill="auto"/>
        </w:rPr>
        <w:t>%，实际完成值：100%，指标完成率</w:t>
      </w:r>
      <w:r>
        <w:rPr>
          <w:rFonts w:hint="default" w:ascii="仿宋" w:hAnsi="仿宋" w:eastAsia="仿宋" w:cs="仿宋"/>
          <w:color w:val="2B2B2B"/>
          <w:sz w:val="32"/>
          <w:szCs w:val="32"/>
          <w:highlight w:val="none"/>
          <w:shd w:val="clear" w:fill="auto"/>
          <w:lang w:val="en-US" w:eastAsia="zh-CN"/>
        </w:rPr>
        <w:t>100</w:t>
      </w:r>
      <w:r>
        <w:rPr>
          <w:rFonts w:hint="default" w:ascii="仿宋" w:hAnsi="仿宋" w:eastAsia="仿宋" w:cs="仿宋"/>
          <w:color w:val="2B2B2B"/>
          <w:sz w:val="32"/>
          <w:szCs w:val="32"/>
          <w:highlight w:val="none"/>
          <w:shd w:val="clear" w:fill="auto"/>
        </w:rPr>
        <w:t>%</w:t>
      </w:r>
      <w:r>
        <w:rPr>
          <w:rFonts w:hint="default" w:ascii="仿宋" w:hAnsi="仿宋" w:eastAsia="仿宋" w:cs="仿宋"/>
          <w:color w:val="2B2B2B"/>
          <w:sz w:val="32"/>
          <w:szCs w:val="32"/>
          <w:highlight w:val="none"/>
          <w:shd w:val="clear" w:fill="auto"/>
          <w:lang w:eastAsia="zh-CN"/>
        </w:rPr>
        <w:t>。</w:t>
      </w:r>
      <w:bookmarkEnd w:id="6"/>
    </w:p>
    <w:p>
      <w:pPr>
        <w:pStyle w:val="7"/>
        <w:numPr>
          <w:ilvl w:val="0"/>
          <w:numId w:val="3"/>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u w:val="dotted"/>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①</w:t>
      </w:r>
      <w:r>
        <w:rPr>
          <w:rFonts w:hint="default" w:ascii="Times New Roman" w:hAnsi="Times New Roman" w:eastAsia="仿宋_GB2312" w:cs="Times New Roman"/>
          <w:sz w:val="32"/>
          <w:szCs w:val="32"/>
          <w:highlight w:val="none"/>
          <w:u w:val="none"/>
        </w:rPr>
        <w:t>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eastAsia" w:eastAsia="仿宋_GB2312" w:cs="Times New Roman"/>
          <w:sz w:val="32"/>
          <w:szCs w:val="32"/>
          <w:highlight w:val="none"/>
          <w:u w:val="none"/>
          <w:lang w:val="en-US" w:eastAsia="zh-CN"/>
        </w:rPr>
        <w:t>2024年本项目未设置经济效益指标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lang w:val="en-US" w:eastAsia="zh-CN"/>
        </w:rPr>
        <w:t>②</w:t>
      </w:r>
      <w:r>
        <w:rPr>
          <w:rFonts w:hint="default" w:ascii="Times New Roman" w:hAnsi="Times New Roman" w:eastAsia="仿宋_GB2312" w:cs="Times New Roman"/>
          <w:sz w:val="32"/>
          <w:szCs w:val="32"/>
          <w:highlight w:val="none"/>
          <w:u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rPr>
        <w:t>指标1：</w:t>
      </w:r>
      <w:r>
        <w:rPr>
          <w:rFonts w:hint="eastAsia" w:eastAsia="仿宋_GB2312" w:cs="Times New Roman"/>
          <w:sz w:val="32"/>
          <w:szCs w:val="32"/>
          <w:highlight w:val="none"/>
          <w:u w:val="none"/>
          <w:lang w:eastAsia="zh-CN"/>
        </w:rPr>
        <w:t>缩小城乡居民公共卫生差距，指标值：不断缩小，完成值：不断缩小，指标完成率</w:t>
      </w:r>
      <w:r>
        <w:rPr>
          <w:rFonts w:hint="eastAsia" w:eastAsia="仿宋_GB2312" w:cs="Times New Roman"/>
          <w:sz w:val="32"/>
          <w:szCs w:val="32"/>
          <w:highlight w:val="none"/>
          <w:u w:val="none"/>
          <w:lang w:val="en-US" w:eastAsia="zh-CN"/>
        </w:rPr>
        <w:t>100%。</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③生态效益指标：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eastAsia" w:eastAsia="仿宋_GB2312" w:cs="Times New Roman"/>
          <w:sz w:val="32"/>
          <w:szCs w:val="32"/>
          <w:highlight w:val="none"/>
          <w:u w:val="none"/>
          <w:lang w:val="en-US" w:eastAsia="zh-CN"/>
        </w:rPr>
        <w:t>2024年本项目未设置生态效益指标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服务对象</w:t>
      </w:r>
      <w:r>
        <w:rPr>
          <w:rFonts w:hint="default" w:ascii="Times New Roman" w:hAnsi="Times New Roman" w:eastAsia="仿宋_GB2312" w:cs="Times New Roman"/>
          <w:sz w:val="32"/>
          <w:szCs w:val="32"/>
          <w:highlight w:val="none"/>
        </w:rPr>
        <w:t>满意度，指标值：&gt;=90%，实际完成值：90%，指标完成率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2024年</w:t>
      </w:r>
      <w:r>
        <w:rPr>
          <w:rFonts w:hint="default" w:ascii="Times New Roman" w:hAnsi="Times New Roman" w:eastAsia="仿宋_GB2312" w:cs="Times New Roman"/>
          <w:kern w:val="2"/>
          <w:sz w:val="32"/>
          <w:szCs w:val="32"/>
          <w:lang w:val="en-US" w:eastAsia="zh-CN" w:bidi="ar-SA"/>
        </w:rPr>
        <w:t>项目年初预算</w:t>
      </w:r>
      <w:r>
        <w:rPr>
          <w:rFonts w:hint="eastAsia" w:eastAsia="仿宋_GB2312" w:cs="Times New Roman"/>
          <w:kern w:val="2"/>
          <w:sz w:val="32"/>
          <w:szCs w:val="32"/>
          <w:lang w:val="en-US" w:eastAsia="zh-CN" w:bidi="ar-SA"/>
        </w:rPr>
        <w:t>31.74</w:t>
      </w:r>
      <w:r>
        <w:rPr>
          <w:rFonts w:hint="default" w:ascii="Times New Roman" w:hAnsi="Times New Roman" w:eastAsia="仿宋_GB2312" w:cs="Times New Roman"/>
          <w:kern w:val="2"/>
          <w:sz w:val="32"/>
          <w:szCs w:val="32"/>
          <w:lang w:val="en-US" w:eastAsia="zh-CN" w:bidi="ar-SA"/>
        </w:rPr>
        <w:t>万元，全年预算</w:t>
      </w:r>
      <w:r>
        <w:rPr>
          <w:rFonts w:hint="eastAsia" w:eastAsia="仿宋_GB2312" w:cs="Times New Roman"/>
          <w:kern w:val="2"/>
          <w:sz w:val="32"/>
          <w:szCs w:val="32"/>
          <w:lang w:val="en-US" w:eastAsia="zh-CN" w:bidi="ar-SA"/>
        </w:rPr>
        <w:t>49.89</w:t>
      </w:r>
      <w:r>
        <w:rPr>
          <w:rFonts w:hint="default" w:ascii="Times New Roman" w:hAnsi="Times New Roman" w:eastAsia="仿宋_GB2312" w:cs="Times New Roman"/>
          <w:kern w:val="2"/>
          <w:sz w:val="32"/>
          <w:szCs w:val="32"/>
          <w:lang w:val="en-US" w:eastAsia="zh-CN" w:bidi="ar-SA"/>
        </w:rPr>
        <w:t>万元，</w:t>
      </w:r>
      <w:r>
        <w:rPr>
          <w:rFonts w:hint="default" w:ascii="Times New Roman" w:hAnsi="Times New Roman" w:eastAsia="仿宋_GB2312" w:cs="Times New Roman"/>
          <w:kern w:val="2"/>
          <w:sz w:val="32"/>
          <w:szCs w:val="32"/>
          <w:highlight w:val="none"/>
          <w:lang w:val="en-US" w:eastAsia="zh-CN" w:bidi="ar-SA"/>
        </w:rPr>
        <w:t>实际支出</w:t>
      </w:r>
      <w:r>
        <w:rPr>
          <w:rFonts w:hint="eastAsia" w:eastAsia="仿宋_GB2312" w:cs="Times New Roman"/>
          <w:kern w:val="2"/>
          <w:sz w:val="32"/>
          <w:szCs w:val="32"/>
          <w:highlight w:val="none"/>
          <w:lang w:val="en-US" w:eastAsia="zh-CN" w:bidi="ar-SA"/>
        </w:rPr>
        <w:t>49.89</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eastAsia="仿宋_GB2312" w:cs="Times New Roman"/>
          <w:kern w:val="2"/>
          <w:sz w:val="32"/>
          <w:szCs w:val="32"/>
          <w:highlight w:val="none"/>
          <w:lang w:val="en-US" w:eastAsia="zh-CN" w:bidi="ar-SA"/>
        </w:rPr>
        <w:t>107.78</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7.78%</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偏差原因：部分指标年初预估较低，导致部分指标超额完成，部分指标年初预估较高，以致未完成目标指标，导致出现偏差。整改措施：做好数据统计，认真分析数据报告，研究后确立目标指标，年末时尽力达到目标指标，减少偏差。</w:t>
      </w:r>
    </w:p>
    <w:p>
      <w:pPr>
        <w:pStyle w:val="19"/>
        <w:spacing w:line="560" w:lineRule="exact"/>
        <w:ind w:firstLine="640"/>
        <w:rPr>
          <w:rFonts w:hint="default" w:ascii="Times New Roman" w:hAnsi="Times New Roman" w:eastAsia="仿宋_GB2312" w:cs="Times New Roman"/>
          <w:kern w:val="2"/>
          <w:sz w:val="32"/>
          <w:szCs w:val="32"/>
          <w:highlight w:val="yellow"/>
          <w:lang w:val="en-US" w:eastAsia="zh-CN" w:bidi="ar-SA"/>
        </w:rPr>
      </w:pP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通过本项目的实施，促进医疗卫生质量的提升，改善群众就医局面，保障公众健康，使医院职工、患者满意度达到90%。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2024年中央基本公共卫生服务补助项目经验，我们能够更好地提高项目执行质量和效率，为工作提供有力支持。</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eastAsia" w:ascii="Times New Roman" w:hAnsi="Times New Roman" w:eastAsia="仿宋_GB2312" w:cs="Times New Roman"/>
          <w:b w:val="0"/>
          <w:bCs w:val="0"/>
          <w:kern w:val="2"/>
          <w:sz w:val="32"/>
          <w:szCs w:val="32"/>
          <w:lang w:val="en-US" w:eastAsia="zh-Hans" w:bidi="ar-SA"/>
        </w:rPr>
      </w:pPr>
      <w:r>
        <w:rPr>
          <w:rFonts w:hint="default" w:ascii="Times New Roman" w:hAnsi="Times New Roman" w:eastAsia="仿宋_GB2312" w:cs="Times New Roman"/>
          <w:sz w:val="32"/>
          <w:szCs w:val="32"/>
          <w:highlight w:val="none"/>
          <w:lang w:val="en-US" w:eastAsia="zh-CN"/>
        </w:rPr>
        <w:t>1.对项目支出绩效工作的认识有待提高，项目相关资料收集不够及时，预算执行约束力不够，受政策非连续性与预算执行等不协调的因素影响预算项目在执行过程中缺乏有限的监督机制，预算执行审核缺乏常态性，由于部门专业监督人员缺乏，很难做到对财政预算资金进行全覆盖跟踪监督，同时，审核监督独立性不够充分业限制了监督职责的发挥。缺乏充分的沟通和合作，导致各部门之间缺乏合作、信息共享和重复劳动。</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hint="eastAsia" w:eastAsia="仿宋_GB2312" w:cs="Times New Roman"/>
          <w:sz w:val="32"/>
          <w:szCs w:val="32"/>
          <w:highlight w:val="none"/>
          <w:lang w:val="en-US" w:eastAsia="zh-CN"/>
        </w:rPr>
        <w:t>妇幼保健</w:t>
      </w:r>
      <w:r>
        <w:rPr>
          <w:rFonts w:hint="default" w:ascii="Times New Roman" w:hAnsi="Times New Roman" w:eastAsia="仿宋_GB2312" w:cs="Times New Roman"/>
          <w:sz w:val="32"/>
          <w:szCs w:val="32"/>
          <w:highlight w:val="none"/>
          <w:lang w:val="en-US" w:eastAsia="zh-CN"/>
        </w:rPr>
        <w:t>考核建立绩效工作考核制度，加大全</w:t>
      </w:r>
      <w:r>
        <w:rPr>
          <w:rFonts w:hint="eastAsia" w:eastAsia="仿宋_GB2312" w:cs="Times New Roman"/>
          <w:sz w:val="32"/>
          <w:szCs w:val="32"/>
          <w:highlight w:val="none"/>
          <w:lang w:val="en-US" w:eastAsia="zh-CN"/>
        </w:rPr>
        <w:t>院</w:t>
      </w:r>
      <w:r>
        <w:rPr>
          <w:rFonts w:hint="default" w:ascii="Times New Roman" w:hAnsi="Times New Roman" w:eastAsia="仿宋_GB2312" w:cs="Times New Roman"/>
          <w:sz w:val="32"/>
          <w:szCs w:val="32"/>
          <w:highlight w:val="none"/>
          <w:lang w:val="en-US" w:eastAsia="zh-CN"/>
        </w:rPr>
        <w:t>对全面实施预算绩效管理和绩效管理工作的学习力度。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在预算安排阶段，应当根据项目的特点和目标制定出明确的绩效指标，并且为每个指标设定合理地达成目标，可以让预算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能够更科学合理地反映项目预算。</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7" w:name="page8"/>
      <w:bookmarkEnd w:id="7"/>
      <w:r>
        <w:rPr>
          <w:rFonts w:hint="default" w:ascii="Times New Roman" w:hAnsi="Times New Roman" w:eastAsia="黑体" w:cs="Times New Roman"/>
          <w:sz w:val="32"/>
          <w:szCs w:val="32"/>
        </w:rPr>
        <w:t>明的问题</w:t>
      </w:r>
    </w:p>
    <w:p>
      <w:pPr>
        <w:pStyle w:val="2"/>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8" w:name="_Toc26499_WPSOffice_Level2"/>
      <w:bookmarkStart w:id="9" w:name="_Toc30064_WPSOffice_Level1"/>
      <w:r>
        <w:rPr>
          <w:rFonts w:hint="eastAsia" w:ascii="仿宋_GB2312" w:hAnsi="仿宋_GB2312" w:eastAsia="仿宋_GB2312" w:cs="仿宋_GB2312"/>
          <w:b/>
          <w:bCs/>
          <w:sz w:val="28"/>
          <w:szCs w:val="40"/>
          <w:highlight w:val="none"/>
          <w:lang w:val="en-US" w:eastAsia="zh-CN"/>
        </w:rPr>
        <w:t>2024年</w:t>
      </w:r>
      <w:r>
        <w:rPr>
          <w:rFonts w:hint="eastAsia" w:ascii="仿宋_GB2312" w:hAnsi="仿宋_GB2312" w:eastAsia="仿宋_GB2312" w:cs="仿宋_GB2312"/>
          <w:b/>
          <w:bCs/>
          <w:sz w:val="28"/>
          <w:szCs w:val="40"/>
          <w:highlight w:val="none"/>
        </w:rPr>
        <w:t>中央基本公共卫生服务补助（昌州财社【2023】104号）项目</w:t>
      </w:r>
      <w:r>
        <w:rPr>
          <w:rFonts w:hint="eastAsia" w:ascii="仿宋_GB2312" w:hAnsi="仿宋_GB2312" w:eastAsia="仿宋_GB2312" w:cs="仿宋_GB2312"/>
          <w:b/>
          <w:bCs/>
          <w:sz w:val="28"/>
          <w:szCs w:val="40"/>
        </w:rPr>
        <w:t>绩效评价指标体系及综合评分表</w:t>
      </w:r>
      <w:bookmarkEnd w:id="8"/>
      <w:bookmarkEnd w:id="9"/>
    </w:p>
    <w:tbl>
      <w:tblPr>
        <w:tblStyle w:val="17"/>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lang w:val="en-US" w:eastAsia="zh-CN"/>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ind w:firstLine="361" w:firstLineChars="200"/>
              <w:jc w:val="both"/>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ind w:firstLine="542" w:firstLineChars="300"/>
              <w:jc w:val="both"/>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99.33</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7"/>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2024年中央基本公共卫生服务补助（昌州财社【2023】104号）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奇台县妇幼保健院</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caps w:val="0"/>
                <w:color w:val="000000"/>
                <w:spacing w:val="0"/>
                <w:sz w:val="18"/>
                <w:szCs w:val="18"/>
                <w:u w:val="none"/>
                <w:shd w:val="clear"/>
              </w:rPr>
              <w:t>奇台县大泉塔塔尔族乡卫生院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360" w:firstLineChars="200"/>
              <w:jc w:val="both"/>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31.74</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49.89</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540" w:firstLineChars="300"/>
              <w:jc w:val="both"/>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49.89</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31.74</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49.89</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49.89</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以提高</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健康水平为落脚点，全面推进基本公共卫生服务项目惠民政策的规范实施，有效提升</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健康基本公共卫生服务水平。</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40" w:lineRule="exact"/>
              <w:ind w:firstLine="360" w:firstLineChars="200"/>
              <w:textAlignment w:val="auto"/>
              <w:outlineLvl w:val="0"/>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截至2024年12月31日，该项目实际完成</w:t>
            </w:r>
            <w:r>
              <w:rPr>
                <w:rFonts w:hint="eastAsia" w:ascii="仿宋_GB2312" w:hAnsi="仿宋_GB2312" w:eastAsia="仿宋_GB2312" w:cs="仿宋_GB2312"/>
                <w:i w:val="0"/>
                <w:iCs w:val="0"/>
                <w:color w:val="000000"/>
                <w:sz w:val="18"/>
                <w:szCs w:val="18"/>
                <w:u w:val="none"/>
                <w:lang w:val="en-US" w:eastAsia="zh-CN"/>
              </w:rPr>
              <w:t>49.89</w:t>
            </w:r>
            <w:r>
              <w:rPr>
                <w:rFonts w:hint="eastAsia" w:ascii="仿宋_GB2312" w:hAnsi="仿宋_GB2312" w:eastAsia="仿宋_GB2312" w:cs="仿宋_GB2312"/>
                <w:i w:val="0"/>
                <w:iCs w:val="0"/>
                <w:color w:val="000000"/>
                <w:sz w:val="18"/>
                <w:szCs w:val="18"/>
                <w:u w:val="none"/>
              </w:rPr>
              <w:t>万元，通过免费向</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提供基本公共卫生服务，</w:t>
            </w:r>
            <w:r>
              <w:rPr>
                <w:rFonts w:hint="eastAsia" w:ascii="仿宋_GB2312" w:hAnsi="仿宋_GB2312" w:eastAsia="仿宋_GB2312" w:cs="仿宋_GB2312"/>
                <w:i w:val="0"/>
                <w:iCs w:val="0"/>
                <w:color w:val="000000"/>
                <w:sz w:val="18"/>
                <w:szCs w:val="18"/>
                <w:u w:val="none"/>
                <w:lang w:eastAsia="zh-CN"/>
              </w:rPr>
              <w:t>我院</w:t>
            </w:r>
            <w:r>
              <w:rPr>
                <w:rFonts w:hint="eastAsia" w:ascii="仿宋_GB2312" w:hAnsi="仿宋_GB2312" w:eastAsia="仿宋_GB2312" w:cs="仿宋_GB2312"/>
                <w:i w:val="0"/>
                <w:iCs w:val="0"/>
                <w:color w:val="000000"/>
                <w:sz w:val="18"/>
                <w:szCs w:val="18"/>
                <w:u w:val="none"/>
                <w:lang w:val="en-US" w:eastAsia="zh-CN"/>
              </w:rPr>
              <w:t>高血压患者管理人数350人；居民电子健康档案建档人数3817人；7岁以下儿童健康管理人数173人；孕产妇系统管理人数19人；2型糖尿病患者管理人数69人；老年人中医药健康管理人数281人；高血压患者管理率为110.97%，；居民电子健康档案使用率为248.05%；7岁以下儿童健康管理率为105%；孕产妇系统管理率为100.53%；2型糖尿病患者管理率为106.51%；老年人中医药健康管理率为9.32%，。资金发放及时率100%，</w:t>
            </w:r>
            <w:r>
              <w:rPr>
                <w:rFonts w:hint="default" w:ascii="仿宋_GB2312" w:hAnsi="仿宋_GB2312" w:eastAsia="仿宋_GB2312" w:cs="仿宋_GB2312"/>
                <w:i w:val="0"/>
                <w:iCs w:val="0"/>
                <w:color w:val="000000"/>
                <w:sz w:val="18"/>
                <w:szCs w:val="18"/>
                <w:u w:val="none"/>
              </w:rPr>
              <w:t>提高了</w:t>
            </w:r>
            <w:r>
              <w:rPr>
                <w:rFonts w:hint="eastAsia" w:ascii="仿宋_GB2312" w:hAnsi="仿宋_GB2312" w:eastAsia="仿宋_GB2312" w:cs="仿宋_GB2312"/>
                <w:i w:val="0"/>
                <w:iCs w:val="0"/>
                <w:color w:val="000000"/>
                <w:sz w:val="18"/>
                <w:szCs w:val="18"/>
                <w:u w:val="none"/>
                <w:lang w:eastAsia="zh-CN"/>
              </w:rPr>
              <w:t>居民</w:t>
            </w:r>
            <w:r>
              <w:rPr>
                <w:rFonts w:hint="default" w:ascii="仿宋_GB2312" w:hAnsi="仿宋_GB2312" w:eastAsia="仿宋_GB2312" w:cs="仿宋_GB2312"/>
                <w:i w:val="0"/>
                <w:iCs w:val="0"/>
                <w:color w:val="000000"/>
                <w:sz w:val="18"/>
                <w:szCs w:val="18"/>
                <w:u w:val="none"/>
              </w:rPr>
              <w:t>健康水平，全面推进了基本公共卫生服务项目惠民政策的规范实施，提升了</w:t>
            </w:r>
            <w:r>
              <w:rPr>
                <w:rFonts w:hint="eastAsia" w:ascii="仿宋_GB2312" w:hAnsi="仿宋_GB2312" w:eastAsia="仿宋_GB2312" w:cs="仿宋_GB2312"/>
                <w:i w:val="0"/>
                <w:iCs w:val="0"/>
                <w:color w:val="000000"/>
                <w:sz w:val="18"/>
                <w:szCs w:val="18"/>
                <w:u w:val="none"/>
                <w:lang w:eastAsia="zh-CN"/>
              </w:rPr>
              <w:t>居民</w:t>
            </w:r>
            <w:r>
              <w:rPr>
                <w:rFonts w:hint="default" w:ascii="仿宋_GB2312" w:hAnsi="仿宋_GB2312" w:eastAsia="仿宋_GB2312" w:cs="仿宋_GB2312"/>
                <w:i w:val="0"/>
                <w:iCs w:val="0"/>
                <w:color w:val="000000"/>
                <w:sz w:val="18"/>
                <w:szCs w:val="18"/>
                <w:u w:val="none"/>
              </w:rPr>
              <w:t>基本公共卫生服务的水平。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bookmarkStart w:id="10" w:name="OLE_LINK2"/>
            <w:r>
              <w:rPr>
                <w:rFonts w:hint="eastAsia" w:ascii="仿宋_GB2312" w:hAnsi="仿宋_GB2312" w:eastAsia="仿宋_GB2312" w:cs="仿宋_GB2312"/>
                <w:i w:val="0"/>
                <w:iCs w:val="0"/>
                <w:color w:val="000000"/>
                <w:kern w:val="0"/>
                <w:sz w:val="18"/>
                <w:szCs w:val="18"/>
                <w:u w:val="none"/>
                <w:lang w:val="en-US" w:eastAsia="zh-CN" w:bidi="ar"/>
              </w:rPr>
              <w:t>数量指标</w:t>
            </w:r>
            <w:bookmarkEnd w:id="10"/>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高血压患者管理人数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r>
              <w:rPr>
                <w:rFonts w:hint="eastAsia" w:ascii="仿宋_GB2312" w:hAnsi="仿宋_GB2312" w:eastAsia="仿宋_GB2312" w:cs="仿宋_GB2312"/>
                <w:i w:val="0"/>
                <w:iCs w:val="0"/>
                <w:color w:val="000000"/>
                <w:sz w:val="18"/>
                <w:szCs w:val="18"/>
                <w:u w:val="none"/>
                <w:lang w:val="en-US" w:eastAsia="zh-CN"/>
              </w:rPr>
              <w:t>371人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350人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kern w:val="0"/>
                <w:sz w:val="20"/>
                <w:szCs w:val="20"/>
                <w:u w:val="none"/>
                <w:lang w:val="en-US" w:eastAsia="zh-CN" w:bidi="ar"/>
              </w:rPr>
              <w:t>350人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bookmarkStart w:id="11" w:name="OLE_LINK3"/>
            <w:r>
              <w:rPr>
                <w:rFonts w:hint="eastAsia" w:ascii="仿宋_GB2312" w:hAnsi="仿宋_GB2312" w:eastAsia="仿宋_GB2312" w:cs="仿宋_GB2312"/>
                <w:i w:val="0"/>
                <w:iCs w:val="0"/>
                <w:color w:val="000000"/>
                <w:sz w:val="18"/>
                <w:szCs w:val="18"/>
                <w:u w:val="none"/>
                <w:lang w:val="en-US" w:eastAsia="zh-CN"/>
              </w:rPr>
              <w:t>94.33</w:t>
            </w:r>
            <w:bookmarkEnd w:id="11"/>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both"/>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4.29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center"/>
              <w:textAlignment w:val="center"/>
              <w:outlineLvl w:val="9"/>
              <w:rPr>
                <w:rFonts w:hint="eastAsia" w:ascii="仿宋_GB2312" w:hAnsi="仿宋_GB2312" w:eastAsia="仿宋_GB2312" w:cs="仿宋_GB2312"/>
                <w:color w:val="auto"/>
                <w:kern w:val="0"/>
                <w:sz w:val="18"/>
                <w:szCs w:val="18"/>
                <w:highlight w:val="none"/>
                <w:u w:val="none"/>
                <w:shd w:val="clear" w:color="auto" w:fill="auto"/>
                <w:lang w:val="en-US" w:eastAsia="zh-CN" w:bidi="ar"/>
              </w:rPr>
            </w:pPr>
            <w:r>
              <w:rPr>
                <w:rFonts w:hint="eastAsia" w:ascii="仿宋_GB2312" w:hAnsi="仿宋_GB2312" w:eastAsia="仿宋_GB2312" w:cs="仿宋_GB2312"/>
                <w:i w:val="0"/>
                <w:caps w:val="0"/>
                <w:color w:val="auto"/>
                <w:spacing w:val="0"/>
                <w:kern w:val="0"/>
                <w:sz w:val="18"/>
                <w:szCs w:val="18"/>
                <w:highlight w:val="none"/>
                <w:u w:val="none"/>
                <w:lang w:val="en-US" w:eastAsia="zh-CN" w:bidi="ar"/>
              </w:rPr>
              <w:t>偏差原因：</w:t>
            </w:r>
            <w:r>
              <w:rPr>
                <w:rFonts w:hint="eastAsia" w:ascii="仿宋_GB2312" w:hAnsi="仿宋_GB2312" w:eastAsia="仿宋_GB2312" w:cs="仿宋_GB2312"/>
                <w:i w:val="0"/>
                <w:caps w:val="0"/>
                <w:color w:val="2B2B2B"/>
                <w:spacing w:val="0"/>
                <w:kern w:val="0"/>
                <w:sz w:val="18"/>
                <w:szCs w:val="18"/>
                <w:highlight w:val="none"/>
                <w:u w:val="none"/>
                <w:shd w:val="clear" w:fill="auto"/>
                <w:lang w:bidi="ar"/>
              </w:rPr>
              <w:t>2024年高血压患者管理率为94.33%，有在外地居住患者，低于预期的指标值。改进措施：下年度提高指标设置质量。</w:t>
            </w:r>
          </w:p>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居民电子健康档案建档人数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3847</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3817</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3817</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99.22%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4.9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000000"/>
                <w:kern w:val="0"/>
                <w:sz w:val="20"/>
                <w:szCs w:val="20"/>
                <w:highlight w:val="none"/>
                <w:u w:val="none"/>
                <w:shd w:val="clear" w:color="auto" w:fill="auto"/>
                <w:lang w:val="en-US" w:eastAsia="zh-CN" w:bidi="ar"/>
              </w:rPr>
            </w:pPr>
            <w:r>
              <w:rPr>
                <w:rFonts w:hint="eastAsia" w:ascii="宋体" w:hAnsi="宋体" w:eastAsia="宋体" w:cs="宋体"/>
                <w:i w:val="0"/>
                <w:caps w:val="0"/>
                <w:color w:val="000000"/>
                <w:spacing w:val="0"/>
                <w:kern w:val="0"/>
                <w:sz w:val="20"/>
                <w:szCs w:val="20"/>
                <w:highlight w:val="none"/>
                <w:u w:val="none"/>
                <w:shd w:val="clear" w:color="auto" w:fill="auto"/>
                <w:lang w:val="en-US" w:eastAsia="zh-CN" w:bidi="ar"/>
              </w:rPr>
              <w:t>偏差原因：</w:t>
            </w:r>
            <w:r>
              <w:rPr>
                <w:rFonts w:hint="eastAsia" w:ascii="宋体" w:hAnsi="宋体" w:eastAsia="宋体" w:cs="宋体"/>
                <w:i w:val="0"/>
                <w:caps w:val="0"/>
                <w:color w:val="2B2B2B"/>
                <w:spacing w:val="0"/>
                <w:kern w:val="0"/>
                <w:sz w:val="20"/>
                <w:szCs w:val="20"/>
                <w:highlight w:val="none"/>
                <w:u w:val="none"/>
                <w:shd w:val="clear" w:fill="auto"/>
                <w:lang w:bidi="ar"/>
              </w:rPr>
              <w:t>2024年居民健康档案使用率为99.22%，有在外地学习居住居民，低于预期的指标值。改进措施：下年度提高指标设置质量。</w:t>
            </w:r>
          </w:p>
          <w:p>
            <w:pPr>
              <w:widowControl/>
              <w:jc w:val="left"/>
              <w:textAlignment w:val="center"/>
              <w:rPr>
                <w:rFonts w:hint="eastAsia" w:ascii="宋体" w:hAnsi="宋体" w:eastAsia="宋体" w:cs="宋体"/>
                <w:i w:val="0"/>
                <w:iCs w:val="0"/>
                <w:color w:val="000000"/>
                <w:kern w:val="0"/>
                <w:sz w:val="20"/>
                <w:szCs w:val="20"/>
                <w:u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ascii="Arial" w:hAnsi="Arial" w:eastAsia="宋体" w:cs="Arial"/>
                <w:i w:val="0"/>
                <w:caps w:val="0"/>
                <w:color w:val="auto"/>
                <w:spacing w:val="0"/>
                <w:sz w:val="19"/>
                <w:szCs w:val="19"/>
                <w:shd w:val="clear" w:color="auto" w:fill="auto"/>
              </w:rPr>
            </w:pPr>
            <w:r>
              <w:rPr>
                <w:rFonts w:ascii="Arial" w:hAnsi="Arial" w:eastAsia="宋体" w:cs="Arial"/>
                <w:i w:val="0"/>
                <w:caps w:val="0"/>
                <w:color w:val="auto"/>
                <w:spacing w:val="0"/>
                <w:sz w:val="19"/>
                <w:szCs w:val="19"/>
                <w:shd w:val="clear" w:color="auto" w:fill="auto"/>
              </w:rPr>
              <w:t>7岁以下儿童健康管理人数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205</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173</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173</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84.39%</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2.44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000000"/>
                <w:kern w:val="0"/>
                <w:sz w:val="20"/>
                <w:szCs w:val="20"/>
                <w:highlight w:val="none"/>
                <w:u w:val="none"/>
                <w:shd w:val="clear" w:color="auto" w:fill="auto"/>
                <w:lang w:val="en-US" w:eastAsia="zh-CN"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偏差原因：2024年7岁以下儿童管理率为84.39%，有跟着父母在外地学习居住居民，低于预期的指标值。改进措施：下年度提高指标设置质量。</w:t>
            </w:r>
          </w:p>
          <w:p>
            <w:pPr>
              <w:widowControl/>
              <w:jc w:val="left"/>
              <w:textAlignment w:val="center"/>
              <w:rPr>
                <w:rFonts w:hint="eastAsia" w:ascii="宋体" w:hAnsi="宋体" w:eastAsia="宋体" w:cs="宋体"/>
                <w:i w:val="0"/>
                <w:iCs w:val="0"/>
                <w:color w:val="000000"/>
                <w:kern w:val="0"/>
                <w:sz w:val="20"/>
                <w:szCs w:val="20"/>
                <w:u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ascii="Arial" w:hAnsi="Arial" w:eastAsia="宋体" w:cs="Arial"/>
                <w:i w:val="0"/>
                <w:caps w:val="0"/>
                <w:color w:val="auto"/>
                <w:spacing w:val="0"/>
                <w:sz w:val="19"/>
                <w:szCs w:val="19"/>
                <w:shd w:val="clear" w:color="auto" w:fill="auto"/>
              </w:rPr>
            </w:pPr>
            <w:r>
              <w:rPr>
                <w:rFonts w:ascii="Arial" w:hAnsi="Arial" w:eastAsia="宋体" w:cs="Arial"/>
                <w:i w:val="0"/>
                <w:caps w:val="0"/>
                <w:color w:val="auto"/>
                <w:spacing w:val="0"/>
                <w:sz w:val="19"/>
                <w:szCs w:val="19"/>
                <w:shd w:val="clear" w:color="auto" w:fill="auto"/>
              </w:rPr>
              <w:t>孕产妇系统管理人数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17</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19</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19</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111%</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3.56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000000"/>
                <w:kern w:val="0"/>
                <w:sz w:val="20"/>
                <w:szCs w:val="20"/>
                <w:highlight w:val="none"/>
                <w:u w:val="none"/>
                <w:shd w:val="clear" w:color="auto" w:fill="auto"/>
                <w:lang w:val="en-US" w:eastAsia="zh-CN"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偏差原因：2024年孕产妇管理人数为19，有新增孕产妇居民，高于预期的指标值。改进措施：下年度提高指标设置质量</w:t>
            </w:r>
          </w:p>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2型糖尿病患者管理人数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79</w:t>
            </w:r>
            <w:r>
              <w:rPr>
                <w:rFonts w:hint="eastAsia" w:ascii="宋体" w:hAnsi="宋体" w:eastAsia="宋体" w:cs="宋体"/>
                <w:i w:val="0"/>
                <w:color w:val="000000"/>
                <w:kern w:val="0"/>
                <w:sz w:val="20"/>
                <w:szCs w:val="20"/>
                <w:u w:val="none"/>
                <w:lang w:val="en-US" w:eastAsia="zh-CN" w:bidi="ar"/>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69</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69</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87.34%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2.73</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iCs w:val="0"/>
                <w:color w:val="000000"/>
                <w:kern w:val="0"/>
                <w:sz w:val="20"/>
                <w:szCs w:val="20"/>
                <w:u w:val="none"/>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偏差原因：2024年2型糖尿病患者理人数为69，有在外地居住糖尿病患者，低于预期的指标值。改进措施：下年度提高指标设置质量。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老年人中医药健康管理人数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335</w:t>
            </w:r>
            <w:r>
              <w:rPr>
                <w:rFonts w:hint="eastAsia" w:ascii="宋体" w:hAnsi="宋体" w:eastAsia="宋体" w:cs="宋体"/>
                <w:i w:val="0"/>
                <w:color w:val="000000"/>
                <w:kern w:val="0"/>
                <w:sz w:val="20"/>
                <w:szCs w:val="20"/>
                <w:u w:val="none"/>
                <w:lang w:val="en-US" w:eastAsia="zh-CN" w:bidi="ar"/>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281</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281</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83.88%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2.39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2B2B2B"/>
                <w:kern w:val="0"/>
                <w:sz w:val="20"/>
                <w:szCs w:val="20"/>
                <w:highlight w:val="none"/>
                <w:u w:val="none"/>
                <w:shd w:val="clear" w:fill="auto"/>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偏差原因：2024年老年人中医药管理人数为281，有在外地居老年人，低于预期的指标值。改进措施：下年度提高指标设置质量。</w:t>
            </w:r>
          </w:p>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高血压患者管理率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85</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w:t>
            </w:r>
            <w:r>
              <w:rPr>
                <w:rFonts w:hint="eastAsia" w:ascii="宋体" w:hAnsi="宋体" w:cs="宋体"/>
                <w:i w:val="0"/>
                <w:color w:val="000000"/>
                <w:kern w:val="0"/>
                <w:sz w:val="20"/>
                <w:szCs w:val="20"/>
                <w:u w:val="none"/>
                <w:lang w:val="en-US" w:eastAsia="zh-CN" w:bidi="ar"/>
              </w:rPr>
              <w:t>4.33</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94.33</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110.97%</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1.78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iCs w:val="0"/>
                <w:color w:val="000000"/>
                <w:kern w:val="0"/>
                <w:sz w:val="20"/>
                <w:szCs w:val="20"/>
                <w:u w:val="none"/>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偏差原因：2024年高血压患者管理人数为350，有在外地居住患者，低于预期的指标值。改进措施：下年度提高指标设置质量。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ascii="Arial" w:hAnsi="Arial" w:eastAsia="宋体" w:cs="Arial"/>
                <w:i w:val="0"/>
                <w:caps w:val="0"/>
                <w:color w:val="auto"/>
                <w:spacing w:val="0"/>
                <w:sz w:val="19"/>
                <w:szCs w:val="19"/>
                <w:shd w:val="clear" w:color="auto" w:fill="auto"/>
              </w:rPr>
              <w:t>居民电子健康档案建档</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40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99.22</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99.22</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248.05%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iCs w:val="0"/>
                <w:color w:val="000000"/>
                <w:kern w:val="0"/>
                <w:sz w:val="20"/>
                <w:szCs w:val="20"/>
                <w:u w:val="none"/>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偏差原因：2024年居民健康档案人数为3817，有在外地学习居住居民，低于预期的指标值。改进措施：下年度提高指标设置质量。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宋体" w:cs="仿宋_GB2312"/>
                <w:i w:val="0"/>
                <w:iCs w:val="0"/>
                <w:color w:val="000000"/>
                <w:sz w:val="18"/>
                <w:szCs w:val="18"/>
                <w:u w:val="none"/>
                <w:lang w:eastAsia="zh-CN"/>
              </w:rPr>
            </w:pPr>
            <w:r>
              <w:rPr>
                <w:rFonts w:ascii="Arial" w:hAnsi="Arial" w:eastAsia="宋体" w:cs="Arial"/>
                <w:i w:val="0"/>
                <w:caps w:val="0"/>
                <w:color w:val="auto"/>
                <w:spacing w:val="0"/>
                <w:sz w:val="19"/>
                <w:szCs w:val="19"/>
                <w:shd w:val="clear" w:color="auto" w:fill="auto"/>
              </w:rPr>
              <w:t>7岁以下儿童健康管理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94.54</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94.54</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1.9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2B2B2B"/>
                <w:kern w:val="0"/>
                <w:sz w:val="20"/>
                <w:szCs w:val="20"/>
                <w:highlight w:val="none"/>
                <w:u w:val="none"/>
                <w:shd w:val="clear" w:fill="auto"/>
                <w:lang w:val="en-US" w:eastAsia="zh-CN"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偏差原因：2024年7岁以下儿童管理人数为173，有跟着父母在外地学习居住居民，低于预期的指标值。改进措施：下年度提高指标设置质量。</w:t>
            </w:r>
          </w:p>
          <w:p>
            <w:pPr>
              <w:widowControl/>
              <w:jc w:val="left"/>
              <w:textAlignment w:val="center"/>
              <w:rPr>
                <w:rFonts w:hint="eastAsia" w:ascii="宋体" w:hAnsi="宋体" w:eastAsia="宋体" w:cs="宋体"/>
                <w:i w:val="0"/>
                <w:iCs w:val="0"/>
                <w:color w:val="000000"/>
                <w:kern w:val="0"/>
                <w:sz w:val="20"/>
                <w:szCs w:val="20"/>
                <w:u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宋体" w:cs="仿宋_GB2312"/>
                <w:i w:val="0"/>
                <w:iCs w:val="0"/>
                <w:color w:val="000000"/>
                <w:sz w:val="18"/>
                <w:szCs w:val="18"/>
                <w:u w:val="none"/>
                <w:lang w:eastAsia="zh-CN"/>
              </w:rPr>
            </w:pPr>
            <w:r>
              <w:rPr>
                <w:rFonts w:ascii="Arial" w:hAnsi="Arial" w:eastAsia="宋体" w:cs="Arial"/>
                <w:i w:val="0"/>
                <w:caps w:val="0"/>
                <w:color w:val="auto"/>
                <w:spacing w:val="0"/>
                <w:sz w:val="19"/>
                <w:szCs w:val="19"/>
                <w:shd w:val="clear" w:color="auto" w:fill="auto"/>
              </w:rPr>
              <w:t>孕产妇系统管理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90.48</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90.48</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12" w:name="OLE_LINK4"/>
            <w:r>
              <w:rPr>
                <w:rFonts w:hint="eastAsia" w:ascii="仿宋_GB2312" w:hAnsi="仿宋_GB2312" w:eastAsia="仿宋_GB2312" w:cs="仿宋_GB2312"/>
                <w:i w:val="0"/>
                <w:iCs w:val="0"/>
                <w:color w:val="000000"/>
                <w:sz w:val="18"/>
                <w:szCs w:val="18"/>
                <w:u w:val="none"/>
                <w:lang w:val="en-US" w:eastAsia="zh-CN"/>
              </w:rPr>
              <w:t>100.53%</w:t>
            </w:r>
            <w:bookmarkEnd w:id="12"/>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1.99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2B2B2B"/>
                <w:kern w:val="0"/>
                <w:sz w:val="20"/>
                <w:szCs w:val="20"/>
                <w:highlight w:val="none"/>
                <w:u w:val="none"/>
                <w:shd w:val="clear" w:fill="auto"/>
                <w:lang w:val="en-US" w:eastAsia="zh-CN"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偏差原因：2024年孕产妇管理人数为19，有新增孕产妇居民，高于预期的指标值。改进措施：下年度提高指标设置质量。</w:t>
            </w:r>
          </w:p>
          <w:p>
            <w:pPr>
              <w:widowControl/>
              <w:jc w:val="left"/>
              <w:textAlignment w:val="center"/>
              <w:rPr>
                <w:rFonts w:hint="eastAsia" w:ascii="宋体" w:hAnsi="宋体" w:eastAsia="宋体" w:cs="宋体"/>
                <w:i w:val="0"/>
                <w:iCs w:val="0"/>
                <w:color w:val="000000"/>
                <w:kern w:val="0"/>
                <w:sz w:val="20"/>
                <w:szCs w:val="20"/>
                <w:u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Arial" w:hAnsi="Arial" w:eastAsia="宋体" w:cs="Arial"/>
                <w:i w:val="0"/>
                <w:caps w:val="0"/>
                <w:color w:val="auto"/>
                <w:spacing w:val="0"/>
                <w:sz w:val="19"/>
                <w:szCs w:val="19"/>
                <w:shd w:val="clear" w:color="auto" w:fill="auto"/>
                <w:lang w:eastAsia="zh-CN"/>
              </w:rPr>
            </w:pPr>
            <w:r>
              <w:rPr>
                <w:rFonts w:ascii="Arial" w:hAnsi="Arial" w:eastAsia="宋体" w:cs="Arial"/>
                <w:i w:val="0"/>
                <w:caps w:val="0"/>
                <w:color w:val="auto"/>
                <w:spacing w:val="0"/>
                <w:sz w:val="19"/>
                <w:szCs w:val="19"/>
                <w:shd w:val="clear" w:color="auto" w:fill="auto"/>
              </w:rPr>
              <w:t>2型糖尿病患者管理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82</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87.34</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=87.34</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106.51%</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1.87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iCs w:val="0"/>
                <w:color w:val="000000"/>
                <w:kern w:val="0"/>
                <w:sz w:val="20"/>
                <w:szCs w:val="20"/>
                <w:u w:val="none"/>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偏差原因：2024年2型糖尿病患者理人数为69，有在外地居住糖尿病患者，低于预期的指标值。改进措施：下年度提高指标设置质量。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Arial" w:hAnsi="Arial" w:eastAsia="宋体" w:cs="Arial"/>
                <w:i w:val="0"/>
                <w:caps w:val="0"/>
                <w:color w:val="auto"/>
                <w:spacing w:val="0"/>
                <w:sz w:val="19"/>
                <w:szCs w:val="19"/>
                <w:shd w:val="clear" w:color="auto" w:fill="auto"/>
                <w:lang w:eastAsia="zh-CN"/>
              </w:rPr>
            </w:pPr>
            <w:r>
              <w:rPr>
                <w:rFonts w:ascii="Arial" w:hAnsi="Arial" w:eastAsia="宋体" w:cs="Arial"/>
                <w:i w:val="0"/>
                <w:caps w:val="0"/>
                <w:color w:val="auto"/>
                <w:spacing w:val="0"/>
                <w:sz w:val="19"/>
                <w:szCs w:val="19"/>
                <w:shd w:val="clear" w:color="auto" w:fill="auto"/>
              </w:rPr>
              <w:t>老年人中医药健康管理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83.88</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=83.88</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1.66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240" w:lineRule="auto"/>
              <w:ind w:firstLine="0" w:firstLineChars="0"/>
              <w:jc w:val="left"/>
              <w:textAlignment w:val="center"/>
              <w:outlineLvl w:val="9"/>
              <w:rPr>
                <w:rFonts w:hint="eastAsia" w:ascii="宋体" w:hAnsi="宋体" w:eastAsia="宋体" w:cs="宋体"/>
                <w:color w:val="2B2B2B"/>
                <w:kern w:val="0"/>
                <w:sz w:val="20"/>
                <w:szCs w:val="20"/>
                <w:highlight w:val="none"/>
                <w:u w:val="none"/>
                <w:shd w:val="clear" w:fill="auto"/>
                <w:lang w:bidi="ar"/>
              </w:rPr>
            </w:pPr>
            <w:r>
              <w:rPr>
                <w:rFonts w:hint="eastAsia" w:ascii="宋体" w:hAnsi="宋体" w:eastAsia="宋体" w:cs="宋体"/>
                <w:i w:val="0"/>
                <w:caps w:val="0"/>
                <w:color w:val="2B2B2B"/>
                <w:spacing w:val="0"/>
                <w:kern w:val="0"/>
                <w:sz w:val="20"/>
                <w:szCs w:val="20"/>
                <w:highlight w:val="none"/>
                <w:u w:val="none"/>
                <w:shd w:val="clear" w:fill="auto"/>
                <w:lang w:bidi="ar"/>
              </w:rPr>
              <w:t>偏差原因：2024年老年人中医药管理人数为281，有在外地居老年人，低于预期的指标值。改进措施：下年度提高指标设置质量。</w:t>
            </w:r>
          </w:p>
          <w:p>
            <w:pPr>
              <w:widowControl/>
              <w:jc w:val="left"/>
              <w:textAlignment w:val="center"/>
              <w:rPr>
                <w:rFonts w:hint="eastAsia" w:ascii="宋体" w:hAnsi="宋体" w:eastAsia="宋体" w:cs="宋体"/>
                <w:i w:val="0"/>
                <w:iCs w:val="0"/>
                <w:color w:val="000000"/>
                <w:kern w:val="0"/>
                <w:sz w:val="20"/>
                <w:szCs w:val="20"/>
                <w:u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资金到位及时率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100</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100</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w:t>
            </w:r>
            <w:r>
              <w:rPr>
                <w:rFonts w:hint="eastAsia" w:ascii="仿宋_GB2312" w:hAnsi="仿宋_GB2312" w:eastAsia="仿宋_GB2312" w:cs="仿宋_GB2312"/>
                <w:i w:val="0"/>
                <w:iCs w:val="0"/>
                <w:color w:val="000000"/>
                <w:sz w:val="18"/>
                <w:szCs w:val="18"/>
                <w:u w:val="none"/>
                <w:lang w:val="en-US" w:eastAsia="zh-CN"/>
              </w:rPr>
              <w:t>90</w:t>
            </w:r>
            <w:r>
              <w:rPr>
                <w:rFonts w:hint="eastAsia" w:ascii="仿宋_GB2312" w:hAnsi="仿宋_GB2312" w:eastAsia="仿宋_GB2312" w:cs="仿宋_GB2312"/>
                <w:i w:val="0"/>
                <w:iCs w:val="0"/>
                <w:color w:val="000000"/>
                <w:sz w:val="18"/>
                <w:szCs w:val="18"/>
                <w:u w:val="none"/>
              </w:rPr>
              <w:t>%</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caps w:val="0"/>
                <w:color w:val="2B2B2B"/>
                <w:spacing w:val="0"/>
                <w:sz w:val="19"/>
                <w:szCs w:val="19"/>
                <w:shd w:val="clear" w:color="auto" w:fill="auto"/>
              </w:rPr>
              <w:t>缩小城乡居民公共卫生差距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服务对象</w:t>
            </w:r>
            <w:r>
              <w:rPr>
                <w:rFonts w:hint="eastAsia" w:ascii="仿宋_GB2312" w:hAnsi="仿宋_GB2312" w:eastAsia="仿宋_GB2312" w:cs="仿宋_GB2312"/>
                <w:i w:val="0"/>
                <w:iCs w:val="0"/>
                <w:color w:val="000000"/>
                <w:sz w:val="18"/>
                <w:szCs w:val="18"/>
                <w:u w:val="none"/>
              </w:rPr>
              <w:t>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w:t>
            </w:r>
            <w:r>
              <w:rPr>
                <w:rFonts w:hint="eastAsia" w:ascii="宋体" w:hAnsi="宋体" w:cs="宋体"/>
                <w:i w:val="0"/>
                <w:color w:val="000000"/>
                <w:kern w:val="0"/>
                <w:sz w:val="20"/>
                <w:szCs w:val="20"/>
                <w:u w:val="none"/>
                <w:lang w:val="en-US" w:eastAsia="zh-CN" w:bidi="ar"/>
              </w:rPr>
              <w:t>0</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81.51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p>
      <w:pPr>
        <w:rPr>
          <w:rFonts w:hint="default" w:ascii="Times New Roman" w:hAnsi="Times New Roman" w:cs="Times New Roman"/>
        </w:rPr>
      </w:pPr>
    </w:p>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0"/>
          <w:jc w:val="center"/>
        </w:pPr>
        <w:r>
          <w:fldChar w:fldCharType="begin"/>
        </w:r>
        <w:r>
          <w:instrText xml:space="preserve">PAGE   \* MERGEFORMAT</w:instrText>
        </w:r>
        <w:r>
          <w:fldChar w:fldCharType="separate"/>
        </w:r>
        <w:r>
          <w:rPr>
            <w:lang w:val="zh-CN"/>
          </w:rPr>
          <w:t>13</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AA2FD3"/>
    <w:rsid w:val="053A04A8"/>
    <w:rsid w:val="07017887"/>
    <w:rsid w:val="071A5591"/>
    <w:rsid w:val="07397B77"/>
    <w:rsid w:val="07C472CA"/>
    <w:rsid w:val="081D4728"/>
    <w:rsid w:val="08A62481"/>
    <w:rsid w:val="090E2A9F"/>
    <w:rsid w:val="09944874"/>
    <w:rsid w:val="0AD007F3"/>
    <w:rsid w:val="0D082A6E"/>
    <w:rsid w:val="0E3C619F"/>
    <w:rsid w:val="0F6273CA"/>
    <w:rsid w:val="0F657930"/>
    <w:rsid w:val="100F38EC"/>
    <w:rsid w:val="11170296"/>
    <w:rsid w:val="11A54C76"/>
    <w:rsid w:val="12C66037"/>
    <w:rsid w:val="12CD1ABC"/>
    <w:rsid w:val="12CE51F9"/>
    <w:rsid w:val="13471461"/>
    <w:rsid w:val="13B90F01"/>
    <w:rsid w:val="14905460"/>
    <w:rsid w:val="155E4C4D"/>
    <w:rsid w:val="17A419A3"/>
    <w:rsid w:val="181066D2"/>
    <w:rsid w:val="18311DBE"/>
    <w:rsid w:val="1BDF2D39"/>
    <w:rsid w:val="1C3233CD"/>
    <w:rsid w:val="1C671E73"/>
    <w:rsid w:val="1D322C47"/>
    <w:rsid w:val="1D7C41A6"/>
    <w:rsid w:val="1FE4061E"/>
    <w:rsid w:val="22290DFD"/>
    <w:rsid w:val="229A6706"/>
    <w:rsid w:val="230A7966"/>
    <w:rsid w:val="23616034"/>
    <w:rsid w:val="23696C97"/>
    <w:rsid w:val="24480FA2"/>
    <w:rsid w:val="25227A45"/>
    <w:rsid w:val="25B34DA5"/>
    <w:rsid w:val="26AC3A6A"/>
    <w:rsid w:val="27373B7B"/>
    <w:rsid w:val="277750EC"/>
    <w:rsid w:val="2910023C"/>
    <w:rsid w:val="2A2C6774"/>
    <w:rsid w:val="2AAB533A"/>
    <w:rsid w:val="2B232D85"/>
    <w:rsid w:val="2B9D7E25"/>
    <w:rsid w:val="2BD059EE"/>
    <w:rsid w:val="2C7C7A3B"/>
    <w:rsid w:val="2CF20346"/>
    <w:rsid w:val="2F364819"/>
    <w:rsid w:val="2FD63906"/>
    <w:rsid w:val="30D93A31"/>
    <w:rsid w:val="33D63162"/>
    <w:rsid w:val="36405023"/>
    <w:rsid w:val="36A51884"/>
    <w:rsid w:val="37215DAE"/>
    <w:rsid w:val="383D7CD1"/>
    <w:rsid w:val="38CA40DD"/>
    <w:rsid w:val="395F2B56"/>
    <w:rsid w:val="3A182018"/>
    <w:rsid w:val="3B1E3D5C"/>
    <w:rsid w:val="3B4467BF"/>
    <w:rsid w:val="3B482032"/>
    <w:rsid w:val="3BBA0580"/>
    <w:rsid w:val="3BECE841"/>
    <w:rsid w:val="3CDE204C"/>
    <w:rsid w:val="3D363C36"/>
    <w:rsid w:val="3E9C3F6D"/>
    <w:rsid w:val="3F4B26D2"/>
    <w:rsid w:val="3FF7797D"/>
    <w:rsid w:val="42F16CBA"/>
    <w:rsid w:val="440760AE"/>
    <w:rsid w:val="46690BD8"/>
    <w:rsid w:val="48963F29"/>
    <w:rsid w:val="49212302"/>
    <w:rsid w:val="49E651CF"/>
    <w:rsid w:val="49F70BF1"/>
    <w:rsid w:val="4A48546A"/>
    <w:rsid w:val="4B4340EE"/>
    <w:rsid w:val="4B752FFB"/>
    <w:rsid w:val="4D165A9B"/>
    <w:rsid w:val="4D4304A6"/>
    <w:rsid w:val="4E0C04A7"/>
    <w:rsid w:val="503D507A"/>
    <w:rsid w:val="5070616E"/>
    <w:rsid w:val="516848DD"/>
    <w:rsid w:val="5193240D"/>
    <w:rsid w:val="51A551DA"/>
    <w:rsid w:val="51D073A7"/>
    <w:rsid w:val="51FA74D0"/>
    <w:rsid w:val="52AA4A52"/>
    <w:rsid w:val="539D3AD1"/>
    <w:rsid w:val="58776136"/>
    <w:rsid w:val="59943D66"/>
    <w:rsid w:val="59E051FD"/>
    <w:rsid w:val="59E6355E"/>
    <w:rsid w:val="5A0F1150"/>
    <w:rsid w:val="5A2C1B50"/>
    <w:rsid w:val="5B821531"/>
    <w:rsid w:val="5BFF6039"/>
    <w:rsid w:val="5D76A616"/>
    <w:rsid w:val="5D7F20B9"/>
    <w:rsid w:val="5DAC7D0E"/>
    <w:rsid w:val="5DCB2B31"/>
    <w:rsid w:val="5F98B5AF"/>
    <w:rsid w:val="5FFE8511"/>
    <w:rsid w:val="5FFEACE2"/>
    <w:rsid w:val="605C459A"/>
    <w:rsid w:val="609D5BF6"/>
    <w:rsid w:val="61073070"/>
    <w:rsid w:val="61B9080E"/>
    <w:rsid w:val="61DF3FED"/>
    <w:rsid w:val="620A6A85"/>
    <w:rsid w:val="62606CE8"/>
    <w:rsid w:val="642B176B"/>
    <w:rsid w:val="64345CA0"/>
    <w:rsid w:val="643EE26D"/>
    <w:rsid w:val="656019A0"/>
    <w:rsid w:val="65F242EE"/>
    <w:rsid w:val="66377C2E"/>
    <w:rsid w:val="666D7E19"/>
    <w:rsid w:val="68376930"/>
    <w:rsid w:val="68F22105"/>
    <w:rsid w:val="68F91E38"/>
    <w:rsid w:val="6B3158B9"/>
    <w:rsid w:val="6B4B6174"/>
    <w:rsid w:val="6BA02A3F"/>
    <w:rsid w:val="6C105349"/>
    <w:rsid w:val="6C1E5A53"/>
    <w:rsid w:val="6C2037AC"/>
    <w:rsid w:val="6CD0455C"/>
    <w:rsid w:val="6E63101B"/>
    <w:rsid w:val="6E997139"/>
    <w:rsid w:val="6F0436FA"/>
    <w:rsid w:val="6F5C41AC"/>
    <w:rsid w:val="6FAF6C78"/>
    <w:rsid w:val="716167CC"/>
    <w:rsid w:val="718A7AD1"/>
    <w:rsid w:val="72A44BC2"/>
    <w:rsid w:val="7317C656"/>
    <w:rsid w:val="734ED73F"/>
    <w:rsid w:val="73C82B32"/>
    <w:rsid w:val="73F94DAE"/>
    <w:rsid w:val="74220495"/>
    <w:rsid w:val="74580C98"/>
    <w:rsid w:val="747D1B6F"/>
    <w:rsid w:val="749E5641"/>
    <w:rsid w:val="75CB2CA7"/>
    <w:rsid w:val="76271066"/>
    <w:rsid w:val="76E93B03"/>
    <w:rsid w:val="77FD8BE9"/>
    <w:rsid w:val="78000AED"/>
    <w:rsid w:val="78031C5C"/>
    <w:rsid w:val="78036054"/>
    <w:rsid w:val="78DD16B6"/>
    <w:rsid w:val="79A9BD3F"/>
    <w:rsid w:val="7AC5270E"/>
    <w:rsid w:val="7B776F12"/>
    <w:rsid w:val="7BFFFDD0"/>
    <w:rsid w:val="7C336E5F"/>
    <w:rsid w:val="7C8D4919"/>
    <w:rsid w:val="7D7A5F86"/>
    <w:rsid w:val="7E4B683A"/>
    <w:rsid w:val="7E5E656D"/>
    <w:rsid w:val="7E8F2BCB"/>
    <w:rsid w:val="7F37BB4E"/>
    <w:rsid w:val="7F7D307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subject"/>
    <w:basedOn w:val="6"/>
    <w:next w:val="6"/>
    <w:link w:val="23"/>
    <w:qFormat/>
    <w:uiPriority w:val="0"/>
    <w:rPr>
      <w:b/>
      <w:bCs/>
    </w:rPr>
  </w:style>
  <w:style w:type="paragraph" w:styleId="6">
    <w:name w:val="annotation text"/>
    <w:basedOn w:val="1"/>
    <w:link w:val="22"/>
    <w:qFormat/>
    <w:uiPriority w:val="0"/>
    <w:pPr>
      <w:jc w:val="left"/>
    </w:pPr>
  </w:style>
  <w:style w:type="paragraph" w:styleId="7">
    <w:name w:val="Body Text First Indent"/>
    <w:basedOn w:val="8"/>
    <w:qFormat/>
    <w:uiPriority w:val="0"/>
    <w:pPr>
      <w:spacing w:after="0"/>
      <w:ind w:firstLine="200" w:firstLineChars="200"/>
    </w:pPr>
  </w:style>
  <w:style w:type="paragraph" w:styleId="8">
    <w:name w:val="Body Text"/>
    <w:basedOn w:val="1"/>
    <w:qFormat/>
    <w:uiPriority w:val="0"/>
    <w:pPr>
      <w:spacing w:after="120"/>
    </w:pPr>
  </w:style>
  <w:style w:type="paragraph" w:styleId="9">
    <w:name w:val="Balloon Text"/>
    <w:basedOn w:val="1"/>
    <w:link w:val="20"/>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4"/>
    <w:link w:val="9"/>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6"/>
    <w:qFormat/>
    <w:uiPriority w:val="0"/>
    <w:rPr>
      <w:rFonts w:ascii="Times New Roman" w:hAnsi="Times New Roman" w:eastAsia="宋体" w:cs="Times New Roman"/>
      <w:kern w:val="2"/>
      <w:sz w:val="21"/>
      <w:szCs w:val="24"/>
    </w:rPr>
  </w:style>
  <w:style w:type="character" w:customStyle="1" w:styleId="23">
    <w:name w:val="批注主题 字符"/>
    <w:basedOn w:val="22"/>
    <w:link w:val="5"/>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1270</Words>
  <Characters>1473</Characters>
  <Lines>58</Lines>
  <Paragraphs>16</Paragraphs>
  <TotalTime>2</TotalTime>
  <ScaleCrop>false</ScaleCrop>
  <LinksUpToDate>false</LinksUpToDate>
  <CharactersWithSpaces>1473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2025-05-19T05:09:32Z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38A57677FD214ECCBBBD4CF34763A30F_13</vt:lpwstr>
  </property>
  <property fmtid="{D5CDD505-2E9C-101B-9397-08002B2CF9AE}" pid="4" name="KSOTemplateDocerSaveRecord">
    <vt:lpwstr>eyJoZGlkIjoiZGU2OWVkNjVhNTc2NTNjNjZhOGJlZWQ2NTc3Njc5NGQiLCJ1c2VySWQiOiIzODQzMzMyOTcifQ==</vt:lpwstr>
  </property>
</Properties>
</file>