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780B9">
      <w:pPr>
        <w:spacing w:line="540" w:lineRule="exact"/>
        <w:jc w:val="center"/>
        <w:rPr>
          <w:rFonts w:hint="default" w:ascii="Times New Roman" w:hAnsi="Times New Roman" w:eastAsia="华文中宋" w:cs="Times New Roman"/>
          <w:b/>
          <w:kern w:val="0"/>
          <w:sz w:val="52"/>
          <w:szCs w:val="52"/>
        </w:rPr>
      </w:pPr>
    </w:p>
    <w:p w14:paraId="13BF6E22">
      <w:pPr>
        <w:spacing w:line="540" w:lineRule="exact"/>
        <w:rPr>
          <w:rFonts w:hint="default" w:ascii="Times New Roman" w:hAnsi="Times New Roman" w:eastAsia="华文中宋" w:cs="Times New Roman"/>
          <w:b/>
          <w:kern w:val="0"/>
          <w:sz w:val="52"/>
          <w:szCs w:val="52"/>
        </w:rPr>
      </w:pPr>
    </w:p>
    <w:p w14:paraId="6CD5F963">
      <w:pPr>
        <w:spacing w:line="540" w:lineRule="exact"/>
        <w:jc w:val="center"/>
        <w:rPr>
          <w:rFonts w:hint="default" w:ascii="Times New Roman" w:hAnsi="Times New Roman" w:eastAsia="华文中宋" w:cs="Times New Roman"/>
          <w:b/>
          <w:kern w:val="0"/>
          <w:sz w:val="52"/>
          <w:szCs w:val="52"/>
        </w:rPr>
      </w:pPr>
    </w:p>
    <w:p w14:paraId="15FA4FBC">
      <w:pPr>
        <w:spacing w:line="540" w:lineRule="exact"/>
        <w:jc w:val="center"/>
        <w:rPr>
          <w:rFonts w:hint="default" w:ascii="Times New Roman" w:hAnsi="Times New Roman" w:eastAsia="华文中宋" w:cs="Times New Roman"/>
          <w:b/>
          <w:kern w:val="0"/>
          <w:sz w:val="52"/>
          <w:szCs w:val="52"/>
        </w:rPr>
      </w:pPr>
    </w:p>
    <w:p w14:paraId="318BE661">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大泉塔塔尔族乡石门泉村道路亮化项目支出绩效评价</w:t>
      </w:r>
    </w:p>
    <w:p w14:paraId="7A917CE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54B281E7">
      <w:pPr>
        <w:spacing w:line="540" w:lineRule="exact"/>
        <w:jc w:val="center"/>
        <w:rPr>
          <w:rFonts w:hint="default" w:ascii="Times New Roman" w:hAnsi="Times New Roman" w:eastAsia="华文中宋" w:cs="Times New Roman"/>
          <w:b/>
          <w:kern w:val="0"/>
          <w:sz w:val="52"/>
          <w:szCs w:val="52"/>
        </w:rPr>
      </w:pPr>
    </w:p>
    <w:p w14:paraId="5B54FC30">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0CBE9C7">
      <w:pPr>
        <w:spacing w:line="540" w:lineRule="exact"/>
        <w:jc w:val="center"/>
        <w:rPr>
          <w:rFonts w:hint="default" w:ascii="Times New Roman" w:hAnsi="Times New Roman" w:eastAsia="仿宋_GB2312" w:cs="Times New Roman"/>
          <w:kern w:val="0"/>
          <w:sz w:val="30"/>
          <w:szCs w:val="30"/>
        </w:rPr>
      </w:pPr>
    </w:p>
    <w:p w14:paraId="50FBB141">
      <w:pPr>
        <w:spacing w:line="540" w:lineRule="exact"/>
        <w:jc w:val="center"/>
        <w:rPr>
          <w:rFonts w:hint="default" w:ascii="Times New Roman" w:hAnsi="Times New Roman" w:eastAsia="仿宋_GB2312" w:cs="Times New Roman"/>
          <w:kern w:val="0"/>
          <w:sz w:val="30"/>
          <w:szCs w:val="30"/>
        </w:rPr>
      </w:pPr>
    </w:p>
    <w:p w14:paraId="55CD697D">
      <w:pPr>
        <w:spacing w:line="540" w:lineRule="exact"/>
        <w:jc w:val="center"/>
        <w:rPr>
          <w:rFonts w:hint="default" w:ascii="Times New Roman" w:hAnsi="Times New Roman" w:eastAsia="仿宋_GB2312" w:cs="Times New Roman"/>
          <w:kern w:val="0"/>
          <w:sz w:val="30"/>
          <w:szCs w:val="30"/>
        </w:rPr>
      </w:pPr>
    </w:p>
    <w:p w14:paraId="4996FCFF">
      <w:pPr>
        <w:pStyle w:val="10"/>
        <w:rPr>
          <w:rFonts w:hint="default" w:ascii="Times New Roman" w:hAnsi="Times New Roman" w:cs="Times New Roman"/>
        </w:rPr>
      </w:pPr>
    </w:p>
    <w:p w14:paraId="2B331CB0">
      <w:pPr>
        <w:spacing w:line="540" w:lineRule="exact"/>
        <w:jc w:val="center"/>
        <w:rPr>
          <w:rFonts w:hint="default" w:ascii="Times New Roman" w:hAnsi="Times New Roman" w:eastAsia="仿宋_GB2312" w:cs="Times New Roman"/>
          <w:kern w:val="0"/>
          <w:sz w:val="30"/>
          <w:szCs w:val="30"/>
        </w:rPr>
      </w:pPr>
    </w:p>
    <w:p w14:paraId="0F69DC4E">
      <w:pPr>
        <w:spacing w:line="540" w:lineRule="exact"/>
        <w:rPr>
          <w:rFonts w:hint="default" w:ascii="Times New Roman" w:hAnsi="Times New Roman" w:eastAsia="仿宋_GB2312" w:cs="Times New Roman"/>
          <w:kern w:val="0"/>
          <w:sz w:val="30"/>
          <w:szCs w:val="30"/>
        </w:rPr>
      </w:pPr>
    </w:p>
    <w:p w14:paraId="01281121">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项目名称：大泉塔塔尔族乡石门泉村道路亮化项目</w:t>
      </w:r>
    </w:p>
    <w:p w14:paraId="31F19CD7">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大泉塔塔尔族乡人民政府</w:t>
      </w:r>
    </w:p>
    <w:p w14:paraId="3E71AB2F">
      <w:pPr>
        <w:spacing w:line="700" w:lineRule="exact"/>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奇台县水利局</w:t>
      </w:r>
    </w:p>
    <w:p w14:paraId="4BDD109C">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热阿依木·胡达西</w:t>
      </w:r>
    </w:p>
    <w:p w14:paraId="2FB79D33">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日</w:t>
      </w:r>
    </w:p>
    <w:p w14:paraId="2C499C82">
      <w:pPr>
        <w:spacing w:line="540" w:lineRule="exact"/>
        <w:jc w:val="center"/>
        <w:rPr>
          <w:rFonts w:hint="default" w:ascii="Times New Roman" w:hAnsi="Times New Roman" w:eastAsia="仿宋_GB2312" w:cs="Times New Roman"/>
          <w:kern w:val="0"/>
          <w:sz w:val="30"/>
          <w:szCs w:val="30"/>
        </w:rPr>
      </w:pPr>
    </w:p>
    <w:p w14:paraId="66A391A5">
      <w:pPr>
        <w:spacing w:line="540" w:lineRule="exact"/>
        <w:rPr>
          <w:rStyle w:val="16"/>
          <w:rFonts w:hint="default" w:ascii="Times New Roman" w:hAnsi="Times New Roman" w:eastAsia="黑体" w:cs="Times New Roman"/>
          <w:b w:val="0"/>
          <w:spacing w:val="-4"/>
          <w:sz w:val="32"/>
          <w:szCs w:val="32"/>
        </w:rPr>
      </w:pPr>
    </w:p>
    <w:p w14:paraId="4A138E12">
      <w:pPr>
        <w:spacing w:line="540" w:lineRule="exact"/>
        <w:ind w:firstLine="640"/>
        <w:rPr>
          <w:rStyle w:val="16"/>
          <w:rFonts w:hint="default" w:ascii="Times New Roman" w:hAnsi="Times New Roman" w:eastAsia="黑体" w:cs="Times New Roman"/>
          <w:b w:val="0"/>
          <w:spacing w:val="-4"/>
          <w:sz w:val="32"/>
          <w:szCs w:val="32"/>
        </w:rPr>
      </w:pPr>
    </w:p>
    <w:p w14:paraId="1962CAC2">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3277BBA9">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84ACED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38607E0">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1AD076D4">
      <w:pPr>
        <w:snapToGrid w:val="0"/>
        <w:spacing w:after="0" w:line="360" w:lineRule="auto"/>
        <w:ind w:firstLine="640" w:firstLineChars="200"/>
        <w:jc w:val="both"/>
        <w:rPr>
          <w:rFonts w:hint="eastAsia" w:ascii="仿宋" w:hAnsi="仿宋" w:eastAsia="仿宋"/>
          <w:sz w:val="32"/>
          <w:szCs w:val="32"/>
          <w:lang w:eastAsia="zh-CN"/>
        </w:rPr>
      </w:pPr>
      <w:r>
        <w:rPr>
          <w:rFonts w:hint="eastAsia" w:ascii="仿宋" w:hAnsi="仿宋" w:eastAsia="仿宋"/>
          <w:sz w:val="32"/>
          <w:szCs w:val="32"/>
          <w:lang w:eastAsia="zh-CN"/>
        </w:rPr>
        <w:t>在农业农村发展的新阶段、新形势下，根据国家的有关规定，结合奇台县“十四五”发展规划的实际，为了更好地贯彻落实自治区、昌吉州、县人民政府的农业农村工作精神，改善农业生产生活环境，增加农民收入，大力打造环境优美、设施齐全、生活宜居的社会主义新农村，</w:t>
      </w:r>
      <w:r>
        <w:rPr>
          <w:rFonts w:ascii="仿宋" w:hAnsi="仿宋" w:eastAsia="仿宋"/>
          <w:sz w:val="32"/>
          <w:szCs w:val="32"/>
          <w:lang w:eastAsia="zh-CN"/>
        </w:rPr>
        <w:t>坚持“</w:t>
      </w:r>
      <w:r>
        <w:rPr>
          <w:rFonts w:hint="eastAsia" w:ascii="仿宋" w:hAnsi="仿宋" w:eastAsia="仿宋"/>
          <w:sz w:val="32"/>
          <w:szCs w:val="32"/>
          <w:lang w:eastAsia="zh-CN"/>
        </w:rPr>
        <w:t>设施齐全</w:t>
      </w:r>
      <w:r>
        <w:rPr>
          <w:rFonts w:ascii="仿宋" w:hAnsi="仿宋" w:eastAsia="仿宋"/>
          <w:sz w:val="32"/>
          <w:szCs w:val="32"/>
          <w:lang w:eastAsia="zh-CN"/>
        </w:rPr>
        <w:t>、</w:t>
      </w:r>
      <w:r>
        <w:rPr>
          <w:rFonts w:hint="eastAsia" w:ascii="仿宋" w:hAnsi="仿宋" w:eastAsia="仿宋"/>
          <w:sz w:val="32"/>
          <w:szCs w:val="32"/>
          <w:lang w:eastAsia="zh-CN"/>
        </w:rPr>
        <w:t>功能完善</w:t>
      </w:r>
      <w:r>
        <w:rPr>
          <w:rFonts w:ascii="仿宋" w:hAnsi="仿宋" w:eastAsia="仿宋"/>
          <w:sz w:val="32"/>
          <w:szCs w:val="32"/>
          <w:lang w:eastAsia="zh-CN"/>
        </w:rPr>
        <w:t>、</w:t>
      </w:r>
      <w:r>
        <w:rPr>
          <w:rFonts w:hint="eastAsia" w:ascii="仿宋" w:hAnsi="仿宋" w:eastAsia="仿宋"/>
          <w:sz w:val="32"/>
          <w:szCs w:val="32"/>
          <w:lang w:eastAsia="zh-CN"/>
        </w:rPr>
        <w:t>提升</w:t>
      </w:r>
      <w:r>
        <w:rPr>
          <w:rFonts w:ascii="仿宋" w:hAnsi="仿宋" w:eastAsia="仿宋"/>
          <w:sz w:val="32"/>
          <w:szCs w:val="32"/>
          <w:lang w:eastAsia="zh-CN"/>
        </w:rPr>
        <w:t>品质、</w:t>
      </w:r>
      <w:r>
        <w:rPr>
          <w:rFonts w:hint="eastAsia" w:ascii="仿宋" w:hAnsi="仿宋" w:eastAsia="仿宋"/>
          <w:sz w:val="32"/>
          <w:szCs w:val="32"/>
          <w:lang w:eastAsia="zh-CN"/>
        </w:rPr>
        <w:t>突出效果</w:t>
      </w:r>
      <w:r>
        <w:rPr>
          <w:rFonts w:ascii="仿宋" w:hAnsi="仿宋" w:eastAsia="仿宋"/>
          <w:sz w:val="32"/>
          <w:szCs w:val="32"/>
          <w:lang w:eastAsia="zh-CN"/>
        </w:rPr>
        <w:t>”的原则</w:t>
      </w:r>
      <w:r>
        <w:rPr>
          <w:rFonts w:hint="eastAsia" w:ascii="仿宋" w:hAnsi="仿宋" w:eastAsia="仿宋"/>
          <w:sz w:val="32"/>
          <w:szCs w:val="32"/>
          <w:lang w:eastAsia="zh-CN"/>
        </w:rPr>
        <w:t>，在实现农业可持续发展的前提下，围绕经济增收、农民受益、构筑良好发展平台，提高宜居环节，增强移民生活幸福指数，提升移民点配套基础设施，使大泉塔塔尔族乡石门泉村建设成为一个生态宜居、设施齐全、环境优美的移民村。本次通过对大泉塔塔尔族乡石门泉村道路亮化，通过工程措施改善宜居条件，提升移民村落基础设施配套力度，强化移民村生产生活薄弱环节，实现新农村基础设施建设的稳步转变，从而促进奇台县村容村貌“一年一个样、三年大变样”的总体规划的实现。</w:t>
      </w:r>
    </w:p>
    <w:p w14:paraId="6FF7EF3C">
      <w:pPr>
        <w:snapToGrid w:val="0"/>
        <w:spacing w:after="0" w:line="360" w:lineRule="auto"/>
        <w:ind w:firstLine="640" w:firstLineChars="200"/>
        <w:jc w:val="both"/>
        <w:rPr>
          <w:rFonts w:hint="eastAsia" w:ascii="仿宋" w:hAnsi="仿宋" w:eastAsia="仿宋"/>
          <w:sz w:val="32"/>
          <w:szCs w:val="32"/>
          <w:lang w:eastAsia="zh-CN"/>
        </w:rPr>
      </w:pPr>
      <w:r>
        <w:rPr>
          <w:rFonts w:hint="eastAsia" w:ascii="仿宋" w:hAnsi="仿宋" w:eastAsia="仿宋"/>
          <w:sz w:val="32"/>
          <w:szCs w:val="32"/>
          <w:lang w:eastAsia="zh-CN"/>
        </w:rPr>
        <w:t>正是在这样的背景下，针对当前奇台县村容村貌整体建设的现实性、迫切性和必然性，并结合新农村建设和农民的实际需要，进一步提高村庄巷道亮化比率，提出了大泉塔塔尔族乡石门泉村道路亮化建设项目，该项目将成为奇台县当前和近几年一项十分紧迫的战略任务。旨在通过项目建设，进一步改善居民点的亮化设施条件，提高农村居民生活水平和综合生产能力，增加农民幸福指数，发展地方经济，改善村落亮化支出大、维护难的现状，为 “增产节能增效”打下了坚实的基础。</w:t>
      </w:r>
    </w:p>
    <w:p w14:paraId="02872A64">
      <w:pPr>
        <w:snapToGrid w:val="0"/>
        <w:spacing w:after="0" w:line="360" w:lineRule="auto"/>
        <w:ind w:firstLine="640" w:firstLineChars="200"/>
        <w:jc w:val="both"/>
        <w:rPr>
          <w:rFonts w:hint="eastAsia" w:ascii="仿宋" w:hAnsi="仿宋" w:eastAsia="仿宋"/>
          <w:sz w:val="32"/>
          <w:szCs w:val="32"/>
          <w:lang w:eastAsia="zh-CN"/>
        </w:rPr>
      </w:pPr>
      <w:r>
        <w:rPr>
          <w:rFonts w:hint="eastAsia" w:ascii="仿宋" w:hAnsi="仿宋" w:eastAsia="仿宋"/>
          <w:sz w:val="32"/>
          <w:szCs w:val="32"/>
          <w:lang w:eastAsia="zh-CN"/>
        </w:rPr>
        <w:t>项目的建设不仅符合新农村建设、提高资源有效配置的实际需要，而且符合新农村发展的要求；是奇台县提高农村综合能力、提高农村生活基础水平和提升农民生活水平的需要。同时，项目的建设对缓解目前区域能源需求矛盾和移民村经济负担现状，促进社会经济持续、健康、快速发展具有重要作用。因而，本项目的实施具有充分的必要性和重大的现实意义。</w:t>
      </w:r>
    </w:p>
    <w:p w14:paraId="2BCA2E8E">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3261F3A">
      <w:pPr>
        <w:spacing w:line="560" w:lineRule="exact"/>
        <w:ind w:firstLine="600" w:firstLineChars="200"/>
        <w:rPr>
          <w:rFonts w:hint="default" w:ascii="仿宋" w:hAnsi="仿宋" w:eastAsia="仿宋"/>
          <w:sz w:val="32"/>
          <w:szCs w:val="32"/>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default" w:ascii="仿宋" w:hAnsi="仿宋" w:eastAsia="仿宋"/>
          <w:sz w:val="32"/>
          <w:szCs w:val="32"/>
          <w:lang w:eastAsia="zh-CN"/>
        </w:rPr>
        <w:t>在大泉塔塔尔族乡实施道路亮化建设100盏太阳能路灯</w:t>
      </w:r>
      <w:r>
        <w:rPr>
          <w:rFonts w:hint="eastAsia" w:ascii="仿宋" w:hAnsi="仿宋" w:eastAsia="仿宋"/>
          <w:sz w:val="32"/>
          <w:szCs w:val="32"/>
          <w:lang w:val="en-US" w:eastAsia="zh-CN"/>
        </w:rPr>
        <w:t>.</w:t>
      </w:r>
    </w:p>
    <w:p w14:paraId="50A07EC6">
      <w:pPr>
        <w:spacing w:line="560" w:lineRule="exact"/>
        <w:ind w:firstLine="64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sz w:val="32"/>
          <w:szCs w:val="32"/>
        </w:rPr>
        <w:t>项目实施情况：</w:t>
      </w:r>
      <w:r>
        <w:rPr>
          <w:rFonts w:hint="eastAsia" w:ascii="仿宋_GB2312" w:hAnsi="仿宋_GB2312" w:eastAsia="仿宋_GB2312" w:cs="仿宋_GB2312"/>
          <w:sz w:val="32"/>
          <w:szCs w:val="32"/>
          <w:lang w:val="en-US" w:eastAsia="zh-CN"/>
        </w:rPr>
        <w:t>大泉塔塔尔族乡石门泉村道路亮化项目于2024年6月竣工完成项目验收并投入使用。</w:t>
      </w:r>
    </w:p>
    <w:p w14:paraId="019604F4">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422123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41A6698">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lang w:val="en-US" w:eastAsia="zh-CN"/>
        </w:rPr>
        <w:t>万元，该项目资金已全部落实到位，资金来源为中央水库移民</w:t>
      </w:r>
      <w:r>
        <w:rPr>
          <w:rFonts w:hint="eastAsia" w:ascii="Times New Roman" w:hAnsi="Times New Roman" w:eastAsia="仿宋_GB2312" w:cs="Times New Roman"/>
          <w:sz w:val="32"/>
          <w:szCs w:val="32"/>
          <w:highlight w:val="none"/>
          <w:lang w:val="en-US" w:eastAsia="zh-CN"/>
        </w:rPr>
        <w:t>后扶资金</w:t>
      </w:r>
    </w:p>
    <w:p w14:paraId="2F5148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F599C9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32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%，主要用于：在大泉塔塔尔族乡实施道路亮化建设 100盏太阳能路灯,涉及大泉塔塔尔族乡的1个行政村2 个村民小组，即石门泉村、农业七片组和牛毛泉子片组。</w:t>
      </w:r>
    </w:p>
    <w:p w14:paraId="1265E2B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113266A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r>
        <w:rPr>
          <w:rFonts w:hint="eastAsia" w:eastAsia="仿宋_GB2312" w:cs="Times New Roman"/>
          <w:sz w:val="32"/>
          <w:szCs w:val="32"/>
          <w:lang w:eastAsia="zh-CN"/>
        </w:rPr>
        <w:t>：</w:t>
      </w:r>
      <w:r>
        <w:rPr>
          <w:rFonts w:hint="default" w:ascii="Times New Roman" w:hAnsi="Times New Roman" w:eastAsia="仿宋_GB2312" w:cs="Times New Roman"/>
          <w:sz w:val="32"/>
          <w:szCs w:val="32"/>
          <w:highlight w:val="none"/>
          <w:lang w:val="en-US" w:eastAsia="zh-CN"/>
        </w:rPr>
        <w:t>在大泉塔塔尔族乡实施道路亮化建设100盏太阳能路灯，通过不断完善农村基础设施，将热切回应农牧民群众的诉求，进一步为当地经济发展奠定坚实基础，提升政府公信力和农牧民群众幸福感。</w:t>
      </w:r>
    </w:p>
    <w:p w14:paraId="0C6C8303">
      <w:pPr>
        <w:spacing w:line="700" w:lineRule="exact"/>
        <w:jc w:val="left"/>
        <w:rPr>
          <w:rFonts w:hint="default" w:ascii="Times New Roman" w:hAnsi="Times New Roman" w:eastAsia="仿宋_GB2312" w:cs="Times New Roman"/>
          <w:kern w:val="0"/>
          <w:sz w:val="36"/>
          <w:szCs w:val="36"/>
          <w:lang w:val="en-US"/>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eastAsia="zh-CN"/>
        </w:rPr>
        <w:t>：</w:t>
      </w:r>
      <w:r>
        <w:rPr>
          <w:rFonts w:hint="eastAsia" w:eastAsia="仿宋_GB2312" w:cs="Times New Roman"/>
          <w:sz w:val="32"/>
          <w:szCs w:val="32"/>
          <w:lang w:val="en-US" w:eastAsia="zh-CN"/>
        </w:rPr>
        <w:t>2024年1月未热切回应群众需求，我乡向奇台县水利局申</w:t>
      </w:r>
      <w:r>
        <w:rPr>
          <w:rFonts w:hint="eastAsia" w:ascii="Times New Roman" w:hAnsi="Times New Roman" w:eastAsia="仿宋_GB2312" w:cs="Times New Roman"/>
          <w:sz w:val="32"/>
          <w:szCs w:val="32"/>
          <w:lang w:val="en-US" w:eastAsia="zh-CN"/>
        </w:rPr>
        <w:t>报</w:t>
      </w:r>
      <w:r>
        <w:rPr>
          <w:rFonts w:hint="default" w:ascii="Times New Roman" w:hAnsi="Times New Roman" w:eastAsia="仿宋_GB2312" w:cs="Times New Roman"/>
          <w:sz w:val="32"/>
          <w:szCs w:val="32"/>
          <w:lang w:val="en-US" w:eastAsia="zh-CN"/>
        </w:rPr>
        <w:t>大泉塔塔尔族乡石门泉村道路亮化项目</w:t>
      </w:r>
      <w:r>
        <w:rPr>
          <w:rFonts w:hint="eastAsia" w:ascii="Times New Roman" w:hAnsi="Times New Roman" w:eastAsia="仿宋_GB2312" w:cs="Times New Roman"/>
          <w:sz w:val="32"/>
          <w:szCs w:val="32"/>
          <w:lang w:val="en-US" w:eastAsia="zh-CN"/>
        </w:rPr>
        <w:t>。2024年2月19日获得水利局批复；2024年4月5日以邀请招标的方式进行招标，公示后4月10日该项目正式开工建设，2024年6月23日完成验收并投入使用。</w:t>
      </w:r>
    </w:p>
    <w:p w14:paraId="47C4CAF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8429E9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160DB19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1.绩效评价完整性</w:t>
      </w:r>
    </w:p>
    <w:p w14:paraId="23FEDC3E">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CE0C7D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在评价指标体系的构建上，充分考虑了项目的性质、目标以及预期成果，选取了具有代表性和可衡量性的关键指标，涵盖了社会效益、</w:t>
      </w:r>
      <w:r>
        <w:rPr>
          <w:rFonts w:hint="eastAsia" w:ascii="Times New Roman" w:hAnsi="Times New Roman" w:eastAsia="仿宋_GB2312" w:cs="Times New Roman"/>
          <w:b w:val="0"/>
          <w:bCs w:val="0"/>
          <w:kern w:val="2"/>
          <w:sz w:val="32"/>
          <w:szCs w:val="32"/>
          <w:lang w:val="en-US" w:eastAsia="zh-CN" w:bidi="ar-SA"/>
        </w:rPr>
        <w:t>生态</w:t>
      </w:r>
      <w:r>
        <w:rPr>
          <w:rFonts w:hint="default" w:ascii="Times New Roman" w:hAnsi="Times New Roman" w:eastAsia="仿宋_GB2312" w:cs="Times New Roman"/>
          <w:b w:val="0"/>
          <w:bCs w:val="0"/>
          <w:kern w:val="2"/>
          <w:sz w:val="32"/>
          <w:szCs w:val="32"/>
          <w:lang w:val="en-US" w:eastAsia="zh-CN" w:bidi="ar-SA"/>
        </w:rPr>
        <w:t>效益等多个维度，力求全方位反映项目的绩效状况。同时，对于每个指标的评价标准和数据来源均进行了明确说明，确保评价结果的客观性和可追溯性。</w:t>
      </w:r>
    </w:p>
    <w:p w14:paraId="24DA3071">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在数据收集与分析环节，采用了多种科学合理的方法，如实地调研、问卷调查、等，广泛收集了与项目相关的各类数据，以确保评价结论的科学性和可靠性。此外，还对数据的质量和完整性进行了严格把控，对于缺失或异常的数据进行了合理的处理和说明，保证了评价数据的真实性和有效性。</w:t>
      </w:r>
    </w:p>
    <w:p w14:paraId="1D989C91">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DCCB69B">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7D3E83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4062F4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（1）评估项目实施效果</w:t>
      </w:r>
    </w:p>
    <w:p w14:paraId="00719C00">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通过对项目预算执行情况及各项绩效目标达成程度的系统性分析，全面、客观地评估项目在预定周期内的实施效果，包括社会效益、</w:t>
      </w:r>
      <w:r>
        <w:rPr>
          <w:rFonts w:hint="eastAsia" w:ascii="Times New Roman" w:hAnsi="Times New Roman" w:eastAsia="仿宋_GB2312" w:cs="Times New Roman"/>
          <w:b w:val="0"/>
          <w:bCs w:val="0"/>
          <w:kern w:val="2"/>
          <w:sz w:val="32"/>
          <w:szCs w:val="32"/>
          <w:lang w:val="en-US" w:eastAsia="zh-CN" w:bidi="ar-SA"/>
        </w:rPr>
        <w:t>生态</w:t>
      </w:r>
      <w:r>
        <w:rPr>
          <w:rFonts w:hint="default" w:ascii="Times New Roman" w:hAnsi="Times New Roman" w:eastAsia="仿宋_GB2312" w:cs="Times New Roman"/>
          <w:b w:val="0"/>
          <w:bCs w:val="0"/>
          <w:kern w:val="2"/>
          <w:sz w:val="32"/>
          <w:szCs w:val="32"/>
          <w:lang w:val="en-US" w:eastAsia="zh-CN" w:bidi="ar-SA"/>
        </w:rPr>
        <w:t>效益以及</w:t>
      </w:r>
      <w:r>
        <w:rPr>
          <w:rFonts w:hint="eastAsia" w:ascii="Times New Roman" w:hAnsi="Times New Roman" w:eastAsia="仿宋_GB2312" w:cs="Times New Roman"/>
          <w:b w:val="0"/>
          <w:bCs w:val="0"/>
          <w:kern w:val="2"/>
          <w:sz w:val="32"/>
          <w:szCs w:val="32"/>
          <w:lang w:val="en-US" w:eastAsia="zh-CN" w:bidi="ar-SA"/>
        </w:rPr>
        <w:t>群众满意度</w:t>
      </w:r>
      <w:r>
        <w:rPr>
          <w:rFonts w:hint="default" w:ascii="Times New Roman" w:hAnsi="Times New Roman" w:eastAsia="仿宋_GB2312" w:cs="Times New Roman"/>
          <w:b w:val="0"/>
          <w:bCs w:val="0"/>
          <w:kern w:val="2"/>
          <w:sz w:val="32"/>
          <w:szCs w:val="32"/>
          <w:lang w:val="en-US" w:eastAsia="zh-CN" w:bidi="ar-SA"/>
        </w:rPr>
        <w:t>等多维度指标，为项目后续的改进与优化提供科学依据。</w:t>
      </w:r>
    </w:p>
    <w:p w14:paraId="2A3A779F">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（2）提升资源利用效率</w:t>
      </w:r>
    </w:p>
    <w:p w14:paraId="3374239D">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采用智能控制系统，依据环境光照强度、人流车流情况自动调节亮度，避免能源浪费，相比传统路灯降低30%-50%能耗；推广使用LED灯具，其寿命长、光效高，减少频繁更换带来的资源消耗。同时，建设光伏路灯，将太阳能转化为电能，实现清洁能源自给自足，降低对传统电力依赖</w:t>
      </w:r>
    </w:p>
    <w:p w14:paraId="113C283A">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（3）强化项目管理责任</w:t>
      </w:r>
    </w:p>
    <w:p w14:paraId="0190BAFD">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33A03D7">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（4）为决策提供支持</w:t>
      </w:r>
    </w:p>
    <w:p w14:paraId="3FA27318">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路灯项目通过数据采集与分析，为决策提供有力支持。智能路灯搭载的传感器可实时收集光照强度、设备运行状态、周边环境温湿度等数据，经物联网传输至管理平台。基于这些数据，管理者能直观掌握路灯能耗、故障分布等情况，精准规划维修与升级计划，避免盲目投入。同时，分析路灯使用时段、亮度调节规律，可优化能源配置策略，降低运营成本。此外，结合人流、车流数据，为城市交通规划、公共安全部署提供参考依据，助力城市管理者制定科学、高效的决策方案，提升城市智能化管理水平。</w:t>
      </w:r>
    </w:p>
    <w:p w14:paraId="49907E25">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（5）促进项目持续改进</w:t>
      </w:r>
    </w:p>
    <w:p w14:paraId="5BA6D727">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6FFD7DA">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DDD9275">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3.绩效评价的对象</w:t>
      </w:r>
    </w:p>
    <w:p w14:paraId="33C69CE0">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本项目预算绩效评价报告的评价对象是大泉塔塔尔族乡石门泉村道路亮化项目及其预算执行情况。该项目由</w:t>
      </w:r>
      <w:r>
        <w:rPr>
          <w:rFonts w:hint="eastAsia" w:ascii="Times New Roman" w:hAnsi="Times New Roman" w:eastAsia="仿宋_GB2312" w:cs="Times New Roman"/>
          <w:b w:val="0"/>
          <w:bCs w:val="0"/>
          <w:kern w:val="2"/>
          <w:sz w:val="32"/>
          <w:szCs w:val="32"/>
          <w:lang w:val="en-US" w:eastAsia="zh-CN" w:bidi="ar-SA"/>
        </w:rPr>
        <w:t>大泉塔塔尔族乡人民</w:t>
      </w:r>
      <w:r>
        <w:rPr>
          <w:rFonts w:hint="eastAsia" w:eastAsia="仿宋_GB2312" w:cs="Times New Roman"/>
          <w:b w:val="0"/>
          <w:bCs w:val="0"/>
          <w:kern w:val="2"/>
          <w:sz w:val="32"/>
          <w:szCs w:val="32"/>
          <w:lang w:val="en-US" w:eastAsia="zh-CN" w:bidi="ar-SA"/>
        </w:rPr>
        <w:t>政府负责</w:t>
      </w:r>
      <w:r>
        <w:rPr>
          <w:rFonts w:hint="default" w:ascii="Times New Roman" w:hAnsi="Times New Roman" w:eastAsia="仿宋_GB2312" w:cs="Times New Roman"/>
          <w:b w:val="0"/>
          <w:bCs w:val="0"/>
          <w:kern w:val="2"/>
          <w:sz w:val="32"/>
          <w:szCs w:val="32"/>
          <w:lang w:val="en-US" w:eastAsia="zh-CN" w:bidi="ar-SA"/>
        </w:rPr>
        <w:t>实施，旨在通过不断完善农村基础设施，热切回应农牧民群众的诉求，进一步为</w:t>
      </w:r>
      <w:r>
        <w:rPr>
          <w:rFonts w:hint="eastAsia" w:ascii="Times New Roman" w:hAnsi="Times New Roman" w:eastAsia="仿宋_GB2312" w:cs="Times New Roman"/>
          <w:b w:val="0"/>
          <w:bCs w:val="0"/>
          <w:kern w:val="2"/>
          <w:sz w:val="32"/>
          <w:szCs w:val="32"/>
          <w:lang w:val="en-US" w:eastAsia="zh-CN" w:bidi="ar-SA"/>
        </w:rPr>
        <w:t>石门泉村</w:t>
      </w:r>
      <w:r>
        <w:rPr>
          <w:rFonts w:hint="default" w:ascii="Times New Roman" w:hAnsi="Times New Roman" w:eastAsia="仿宋_GB2312" w:cs="Times New Roman"/>
          <w:b w:val="0"/>
          <w:bCs w:val="0"/>
          <w:kern w:val="2"/>
          <w:sz w:val="32"/>
          <w:szCs w:val="32"/>
          <w:lang w:val="en-US" w:eastAsia="zh-CN" w:bidi="ar-SA"/>
        </w:rPr>
        <w:t>经济发展奠定坚实基础，</w:t>
      </w:r>
      <w:r>
        <w:rPr>
          <w:rFonts w:hint="eastAsia" w:ascii="Times New Roman" w:hAnsi="Times New Roman" w:eastAsia="仿宋_GB2312" w:cs="Times New Roman"/>
          <w:b w:val="0"/>
          <w:bCs w:val="0"/>
          <w:kern w:val="2"/>
          <w:sz w:val="32"/>
          <w:szCs w:val="32"/>
          <w:lang w:val="en-US" w:eastAsia="zh-CN" w:bidi="ar-SA"/>
        </w:rPr>
        <w:t>并不断</w:t>
      </w:r>
      <w:r>
        <w:rPr>
          <w:rFonts w:hint="default" w:ascii="Times New Roman" w:hAnsi="Times New Roman" w:eastAsia="仿宋_GB2312" w:cs="Times New Roman"/>
          <w:b w:val="0"/>
          <w:bCs w:val="0"/>
          <w:kern w:val="2"/>
          <w:sz w:val="32"/>
          <w:szCs w:val="32"/>
          <w:lang w:val="en-US" w:eastAsia="zh-CN" w:bidi="ar-SA"/>
        </w:rPr>
        <w:t>提升政府公信力和农牧民群众幸福感。</w:t>
      </w:r>
    </w:p>
    <w:p w14:paraId="6D7020D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12EDC71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本项目预算绩效评价报告的评价范围广泛而全面，涵盖了从项目立项至评价时点期间的所有关键预算活动和财务流程。具体而言，评价范围包括但不限于以下几个方面：</w:t>
      </w:r>
    </w:p>
    <w:p w14:paraId="556E199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1.</w:t>
      </w:r>
      <w:r>
        <w:rPr>
          <w:rFonts w:hint="default" w:ascii="Times New Roman" w:hAnsi="Times New Roman" w:eastAsia="仿宋_GB2312" w:cs="Times New Roman"/>
          <w:b w:val="0"/>
          <w:bCs w:val="0"/>
          <w:kern w:val="2"/>
          <w:sz w:val="32"/>
          <w:szCs w:val="32"/>
          <w:lang w:val="en-US" w:eastAsia="zh-CN" w:bidi="ar-SA"/>
        </w:rPr>
        <w:t>预算编制与执行</w:t>
      </w:r>
    </w:p>
    <w:p w14:paraId="229B780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预算编制科学合理，依据市场调研与工程需求细化各项费用。执行过程中，严格按计划支出，预算执行率达98%，无超支或重大偏差，确保资金高效利用。</w:t>
      </w:r>
    </w:p>
    <w:p w14:paraId="35B3BF71">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2.</w:t>
      </w:r>
      <w:r>
        <w:rPr>
          <w:rFonts w:hint="default" w:ascii="Times New Roman" w:hAnsi="Times New Roman" w:eastAsia="仿宋_GB2312" w:cs="Times New Roman"/>
          <w:b w:val="0"/>
          <w:bCs w:val="0"/>
          <w:kern w:val="2"/>
          <w:sz w:val="32"/>
          <w:szCs w:val="32"/>
          <w:lang w:val="en-US" w:eastAsia="zh-CN" w:bidi="ar-SA"/>
        </w:rPr>
        <w:t>资金管理</w:t>
      </w:r>
    </w:p>
    <w:p w14:paraId="4DB40DCA">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建立健全资金管理制度，专款专用，审批流程规范。定期开展资金使用检查与审计，账目清晰透明，未出现挪用、截留等违规问题，保障资金安全。</w:t>
      </w:r>
    </w:p>
    <w:p w14:paraId="5CC2035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3.</w:t>
      </w:r>
      <w:r>
        <w:rPr>
          <w:rFonts w:hint="default" w:ascii="Times New Roman" w:hAnsi="Times New Roman" w:eastAsia="仿宋_GB2312" w:cs="Times New Roman"/>
          <w:b w:val="0"/>
          <w:bCs w:val="0"/>
          <w:kern w:val="2"/>
          <w:sz w:val="32"/>
          <w:szCs w:val="32"/>
          <w:lang w:val="en-US" w:eastAsia="zh-CN" w:bidi="ar-SA"/>
        </w:rPr>
        <w:t>实施进度和产出</w:t>
      </w:r>
    </w:p>
    <w:p w14:paraId="3F501220">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项目按计划推进，按时完成路灯安装、调试等工作。共安装智能路灯</w:t>
      </w:r>
      <w:r>
        <w:rPr>
          <w:rFonts w:hint="eastAsia" w:eastAsia="仿宋_GB2312" w:cs="Times New Roman"/>
          <w:b w:val="0"/>
          <w:bCs w:val="0"/>
          <w:kern w:val="2"/>
          <w:sz w:val="32"/>
          <w:szCs w:val="32"/>
          <w:lang w:val="en-US" w:eastAsia="zh-CN" w:bidi="ar-SA"/>
        </w:rPr>
        <w:t>100</w:t>
      </w:r>
      <w:r>
        <w:rPr>
          <w:rFonts w:hint="default" w:ascii="Times New Roman" w:hAnsi="Times New Roman" w:eastAsia="仿宋_GB2312" w:cs="Times New Roman"/>
          <w:b w:val="0"/>
          <w:bCs w:val="0"/>
          <w:kern w:val="2"/>
          <w:sz w:val="32"/>
          <w:szCs w:val="32"/>
          <w:lang w:val="en-US" w:eastAsia="zh-CN" w:bidi="ar-SA"/>
        </w:rPr>
        <w:t>盏，覆盖</w:t>
      </w:r>
      <w:r>
        <w:rPr>
          <w:rFonts w:hint="eastAsia" w:eastAsia="仿宋_GB2312" w:cs="Times New Roman"/>
          <w:b w:val="0"/>
          <w:bCs w:val="0"/>
          <w:kern w:val="2"/>
          <w:sz w:val="32"/>
          <w:szCs w:val="32"/>
          <w:lang w:val="en-US" w:eastAsia="zh-CN" w:bidi="ar-SA"/>
        </w:rPr>
        <w:t>2个片组</w:t>
      </w:r>
      <w:r>
        <w:rPr>
          <w:rFonts w:hint="default" w:ascii="Times New Roman" w:hAnsi="Times New Roman" w:eastAsia="仿宋_GB2312" w:cs="Times New Roman"/>
          <w:b w:val="0"/>
          <w:bCs w:val="0"/>
          <w:kern w:val="2"/>
          <w:sz w:val="32"/>
          <w:szCs w:val="32"/>
          <w:lang w:val="en-US" w:eastAsia="zh-CN" w:bidi="ar-SA"/>
        </w:rPr>
        <w:t>，设备运行稳定，照明效果达标，超额完成预期目标。</w:t>
      </w:r>
    </w:p>
    <w:p w14:paraId="7BD00205">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4.</w:t>
      </w:r>
      <w:r>
        <w:rPr>
          <w:rFonts w:hint="default" w:ascii="Times New Roman" w:hAnsi="Times New Roman" w:eastAsia="仿宋_GB2312" w:cs="Times New Roman"/>
          <w:b w:val="0"/>
          <w:bCs w:val="0"/>
          <w:kern w:val="2"/>
          <w:sz w:val="32"/>
          <w:szCs w:val="32"/>
          <w:lang w:val="en-US" w:eastAsia="zh-CN" w:bidi="ar-SA"/>
        </w:rPr>
        <w:t>社会影响</w:t>
      </w:r>
    </w:p>
    <w:p w14:paraId="51B193B1">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项目显著改善区域夜间照明条件，交通事故率降低</w:t>
      </w:r>
      <w:r>
        <w:rPr>
          <w:rFonts w:hint="eastAsia" w:eastAsia="仿宋_GB2312" w:cs="Times New Roman"/>
          <w:b w:val="0"/>
          <w:bCs w:val="0"/>
          <w:kern w:val="2"/>
          <w:sz w:val="32"/>
          <w:szCs w:val="32"/>
          <w:lang w:val="en-US" w:eastAsia="zh-CN" w:bidi="ar-SA"/>
        </w:rPr>
        <w:t>8</w:t>
      </w:r>
      <w:r>
        <w:rPr>
          <w:rFonts w:hint="default" w:ascii="Times New Roman" w:hAnsi="Times New Roman" w:eastAsia="仿宋_GB2312" w:cs="Times New Roman"/>
          <w:b w:val="0"/>
          <w:bCs w:val="0"/>
          <w:kern w:val="2"/>
          <w:sz w:val="32"/>
          <w:szCs w:val="32"/>
          <w:lang w:val="en-US" w:eastAsia="zh-CN" w:bidi="ar-SA"/>
        </w:rPr>
        <w:t>%，居民安全感提升；推广节能灯具与智能控制技术，年节约电量</w:t>
      </w:r>
      <w:r>
        <w:rPr>
          <w:rFonts w:hint="eastAsia" w:eastAsia="仿宋_GB2312" w:cs="Times New Roman"/>
          <w:b w:val="0"/>
          <w:bCs w:val="0"/>
          <w:kern w:val="2"/>
          <w:sz w:val="32"/>
          <w:szCs w:val="32"/>
          <w:lang w:val="en-US" w:eastAsia="zh-CN" w:bidi="ar-SA"/>
        </w:rPr>
        <w:t>12500</w:t>
      </w:r>
      <w:r>
        <w:rPr>
          <w:rFonts w:hint="default" w:ascii="Times New Roman" w:hAnsi="Times New Roman" w:eastAsia="仿宋_GB2312" w:cs="Times New Roman"/>
          <w:b w:val="0"/>
          <w:bCs w:val="0"/>
          <w:kern w:val="2"/>
          <w:sz w:val="32"/>
          <w:szCs w:val="32"/>
          <w:lang w:val="en-US" w:eastAsia="zh-CN" w:bidi="ar-SA"/>
        </w:rPr>
        <w:t>度，节能减排效果显著，获得广泛社会认可。</w:t>
      </w:r>
    </w:p>
    <w:p w14:paraId="7C86AF5A">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7C6C77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EC9C3F3">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B81160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381501B">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B80E967">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7587185">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BACBC7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44D80D7">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0837011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11100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26F1B0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0D375E9">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F561B8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AF28BF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B07A0A4">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28D5EB5">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2B3C7F1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0525A4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48654A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8E1ACF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 xml:space="preserve">（一）成本效益分析法。是指将投入与产出、效益进行关联性分析的方法。 </w:t>
      </w:r>
    </w:p>
    <w:p w14:paraId="1ABF823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（二）比较法。是指将实施情况与绩效目标、历史情况、不同部门和地区同类支出情况进行比较的方法。</w:t>
      </w:r>
    </w:p>
    <w:p w14:paraId="6DEB5FD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（三）因素分析法。是指综合分析影响绩效目标实现、实施效果的内外部因素的方法。</w:t>
      </w:r>
    </w:p>
    <w:p w14:paraId="3769AE3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（四）最低成本法。是指在绩效目标确定的前提下，成本最小者为优的方法。</w:t>
      </w:r>
    </w:p>
    <w:p w14:paraId="6316429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（五）公众评判法。是指通过专家评估、公众问卷及抽样调查等方式进行评判的方法。</w:t>
      </w:r>
    </w:p>
    <w:p w14:paraId="4CDFA2C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4</w:t>
      </w:r>
      <w:r>
        <w:rPr>
          <w:rFonts w:hint="default" w:ascii="Times New Roman" w:hAnsi="Times New Roman" w:eastAsia="仿宋_GB2312" w:cs="Times New Roman"/>
          <w:color w:val="000000"/>
          <w:spacing w:val="17"/>
          <w:sz w:val="32"/>
          <w:szCs w:val="32"/>
          <w:lang w:val="en-US" w:eastAsia="zh-CN"/>
        </w:rPr>
        <w:t>.</w:t>
      </w:r>
      <w:r>
        <w:rPr>
          <w:rFonts w:hint="default" w:ascii="Times New Roman" w:hAnsi="Times New Roman" w:eastAsia="仿宋_GB2312" w:cs="Times New Roman"/>
          <w:color w:val="000000"/>
          <w:spacing w:val="17"/>
          <w:sz w:val="32"/>
          <w:szCs w:val="32"/>
        </w:rPr>
        <w:t>评价标准</w:t>
      </w:r>
    </w:p>
    <w:p w14:paraId="73F95B6E">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绩效评价标准通常包括计划标准、行业标准、历史标准等，用于对绩效指标完成情况进行比较、分析、评价。本次评价主要采用了因素分析法。</w:t>
      </w:r>
    </w:p>
    <w:p w14:paraId="5FA7136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1090182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6C91572F">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70CED58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5CDD9889">
      <w:pPr>
        <w:pStyle w:val="10"/>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E90A7A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lang w:val="en-US" w:eastAsia="zh-CN"/>
        </w:rPr>
        <w:t>1</w:t>
      </w: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rPr>
        <w:t>前期准备与规划</w:t>
      </w:r>
    </w:p>
    <w:p w14:paraId="393462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w:t>
      </w:r>
      <w:r>
        <w:rPr>
          <w:rFonts w:hint="eastAsia" w:ascii="Times New Roman" w:hAnsi="Times New Roman" w:eastAsia="仿宋_GB2312" w:cs="Times New Roman"/>
          <w:b w:val="0"/>
          <w:bCs w:val="0"/>
          <w:kern w:val="28"/>
          <w:sz w:val="32"/>
          <w:szCs w:val="32"/>
          <w:lang w:val="en-US" w:eastAsia="zh-CN" w:bidi="ar-SA"/>
        </w:rPr>
        <w:t>乡长</w:t>
      </w:r>
      <w:r>
        <w:rPr>
          <w:rFonts w:hint="default" w:ascii="Times New Roman" w:hAnsi="Times New Roman" w:eastAsia="仿宋_GB2312" w:cs="Times New Roman"/>
          <w:b w:val="0"/>
          <w:bCs w:val="0"/>
          <w:kern w:val="28"/>
          <w:sz w:val="32"/>
          <w:szCs w:val="32"/>
          <w:lang w:val="en-US" w:eastAsia="zh-CN" w:bidi="ar-SA"/>
        </w:rPr>
        <w:t>、项目管理</w:t>
      </w:r>
      <w:r>
        <w:rPr>
          <w:rFonts w:hint="eastAsia" w:ascii="Times New Roman" w:hAnsi="Times New Roman" w:eastAsia="仿宋_GB2312" w:cs="Times New Roman"/>
          <w:b w:val="0"/>
          <w:bCs w:val="0"/>
          <w:kern w:val="28"/>
          <w:sz w:val="32"/>
          <w:szCs w:val="32"/>
          <w:lang w:val="en-US" w:eastAsia="zh-CN" w:bidi="ar-SA"/>
        </w:rPr>
        <w:t>分管领导</w:t>
      </w:r>
      <w:r>
        <w:rPr>
          <w:rFonts w:hint="default" w:ascii="Times New Roman" w:hAnsi="Times New Roman" w:eastAsia="仿宋_GB2312" w:cs="Times New Roman"/>
          <w:b w:val="0"/>
          <w:bCs w:val="0"/>
          <w:kern w:val="28"/>
          <w:sz w:val="32"/>
          <w:szCs w:val="32"/>
          <w:lang w:val="en-US" w:eastAsia="zh-CN" w:bidi="ar-SA"/>
        </w:rPr>
        <w:t>及相关领域技术骨干组成，确保从多角度、全方位对项目绩效进行评价。同时，明确了评价工作的目标、范围、重点及时间安排，制定了详细的工作计划，为评价工作的顺利开展奠定了坚实基础。</w:t>
      </w:r>
    </w:p>
    <w:p w14:paraId="375F01C0">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（2）指标体系构建</w:t>
      </w:r>
    </w:p>
    <w:p w14:paraId="707B6D19">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3803079A">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lang w:val="en-US" w:eastAsia="zh-CN"/>
        </w:rPr>
        <w:t>3</w:t>
      </w:r>
      <w:r>
        <w:rPr>
          <w:rFonts w:hint="default" w:ascii="Times New Roman" w:hAnsi="Times New Roman" w:eastAsia="仿宋_GB2312" w:cs="Times New Roman"/>
          <w:color w:val="000000"/>
          <w:spacing w:val="17"/>
          <w:sz w:val="32"/>
          <w:szCs w:val="32"/>
          <w:lang w:eastAsia="zh-CN"/>
        </w:rPr>
        <w:t>）数据收集与整理</w:t>
      </w:r>
    </w:p>
    <w:p w14:paraId="6B30E3A3">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计划实施该项目前，乡村两级广泛听取民意，征求群众意见，</w:t>
      </w:r>
      <w:r>
        <w:rPr>
          <w:rFonts w:hint="default" w:ascii="Times New Roman" w:hAnsi="Times New Roman" w:eastAsia="仿宋_GB2312" w:cs="Times New Roman"/>
          <w:b w:val="0"/>
          <w:bCs w:val="0"/>
          <w:kern w:val="28"/>
          <w:sz w:val="32"/>
          <w:szCs w:val="32"/>
          <w:lang w:val="en-US" w:eastAsia="zh-CN" w:bidi="ar-SA"/>
        </w:rPr>
        <w:t>在数据收集过程中，注重数据的质量与完整性，</w:t>
      </w:r>
      <w:r>
        <w:rPr>
          <w:rFonts w:hint="eastAsia" w:ascii="Times New Roman" w:hAnsi="Times New Roman" w:eastAsia="仿宋_GB2312" w:cs="Times New Roman"/>
          <w:b w:val="0"/>
          <w:bCs w:val="0"/>
          <w:kern w:val="28"/>
          <w:sz w:val="32"/>
          <w:szCs w:val="32"/>
          <w:lang w:val="en-US" w:eastAsia="zh-CN" w:bidi="ar-SA"/>
        </w:rPr>
        <w:t>核实项目涉及片组、移民数量及户数、人数，路灯数量逐一核对，确保无误</w:t>
      </w:r>
      <w:r>
        <w:rPr>
          <w:rFonts w:hint="default" w:ascii="Times New Roman" w:hAnsi="Times New Roman" w:eastAsia="仿宋_GB2312" w:cs="Times New Roman"/>
          <w:b w:val="0"/>
          <w:bCs w:val="0"/>
          <w:kern w:val="28"/>
          <w:sz w:val="32"/>
          <w:szCs w:val="32"/>
          <w:lang w:val="en-US" w:eastAsia="zh-CN" w:bidi="ar-SA"/>
        </w:rPr>
        <w:t>。随后，对收集到的数据进行了系统的整理与分类，为后续的数据分析提供了有力支持。</w:t>
      </w:r>
    </w:p>
    <w:p w14:paraId="3FC82C0D">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lang w:val="en-US" w:eastAsia="zh-CN"/>
        </w:rPr>
        <w:t>4</w:t>
      </w:r>
      <w:r>
        <w:rPr>
          <w:rFonts w:hint="default" w:ascii="Times New Roman" w:hAnsi="Times New Roman" w:eastAsia="仿宋_GB2312" w:cs="Times New Roman"/>
          <w:color w:val="000000"/>
          <w:spacing w:val="17"/>
          <w:sz w:val="32"/>
          <w:szCs w:val="32"/>
          <w:lang w:eastAsia="zh-CN"/>
        </w:rPr>
        <w:t>）数据分析与评估</w:t>
      </w:r>
    </w:p>
    <w:p w14:paraId="4D0BAFBD">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路灯项目数据分析与评估从多维度展开。技术层面，分析路灯的照明亮度、覆盖范围、能耗数据，评估智能调光、远程控制等技术的应用效果与稳定性；经济层面，测算项目初期建设成本、长期运营维护费用，结合节能收益与政府补贴，进行成本效益分析；社会层面，调研居民满意度、夜间安全提升效果；环境层面，考量灯具能耗对碳排放的影响。综合以上数据，构建科学评估模型，为项目优化、后续推广提供决策依据，确保路灯项目实现经济效益与社会效益的双赢。</w:t>
      </w:r>
    </w:p>
    <w:p w14:paraId="29F13415">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（5）报告撰写与反馈</w:t>
      </w:r>
    </w:p>
    <w:p w14:paraId="390858F3">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根据数据分析与评估的结果，按照统一的格式和规范撰写项目预算绩效评价报告。结论部分总结项目成效与不足，并提出改进建议。报告完成后，及时向项目方、相关部门及居民收集反馈，关注对数据准确性、结论合理性的意见，结合反馈优化报告内容，为后续项目决策、经验推广提供有力支撑 。</w:t>
      </w:r>
    </w:p>
    <w:p w14:paraId="32B5E8DA">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（6）后续跟踪与改进</w:t>
      </w:r>
    </w:p>
    <w:p w14:paraId="4937F7C0">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56D41B5">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608CBB4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B9DD463">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本项目的综合评价基于对项目各方面绩效的深入分析与评估。从项目目标的达成情况来看，大泉塔塔尔族乡石门泉村道路亮化项目在时效指标、成本指标</w:t>
      </w:r>
      <w:r>
        <w:rPr>
          <w:rFonts w:hint="eastAsia" w:ascii="Times New Roman" w:hAnsi="Times New Roman" w:eastAsia="仿宋_GB2312" w:cs="Times New Roman"/>
          <w:b w:val="0"/>
          <w:bCs w:val="0"/>
          <w:kern w:val="28"/>
          <w:sz w:val="32"/>
          <w:szCs w:val="32"/>
          <w:lang w:val="en-US" w:eastAsia="zh-CN" w:bidi="ar-SA"/>
        </w:rPr>
        <w:t>、社会效益指标、服务对象满意度指标</w:t>
      </w:r>
      <w:r>
        <w:rPr>
          <w:rFonts w:hint="default" w:ascii="Times New Roman" w:hAnsi="Times New Roman" w:eastAsia="仿宋_GB2312" w:cs="Times New Roman"/>
          <w:b w:val="0"/>
          <w:bCs w:val="0"/>
          <w:kern w:val="28"/>
          <w:sz w:val="32"/>
          <w:szCs w:val="32"/>
          <w:lang w:val="en-US" w:eastAsia="zh-CN" w:bidi="ar-SA"/>
        </w:rPr>
        <w:t>等方面表现出色，达到了预期的标准与要求。同时，项目也在</w:t>
      </w:r>
      <w:r>
        <w:rPr>
          <w:rFonts w:hint="eastAsia" w:ascii="Times New Roman" w:hAnsi="Times New Roman" w:eastAsia="仿宋_GB2312" w:cs="Times New Roman"/>
          <w:b w:val="0"/>
          <w:bCs w:val="0"/>
          <w:kern w:val="28"/>
          <w:sz w:val="32"/>
          <w:szCs w:val="32"/>
          <w:lang w:val="en-US" w:eastAsia="zh-CN" w:bidi="ar-SA"/>
        </w:rPr>
        <w:t>成本控制和群众满意度</w:t>
      </w:r>
      <w:r>
        <w:rPr>
          <w:rFonts w:hint="default" w:ascii="Times New Roman" w:hAnsi="Times New Roman" w:eastAsia="仿宋_GB2312" w:cs="Times New Roman"/>
          <w:b w:val="0"/>
          <w:bCs w:val="0"/>
          <w:kern w:val="28"/>
          <w:sz w:val="32"/>
          <w:szCs w:val="32"/>
          <w:lang w:val="en-US" w:eastAsia="zh-CN" w:bidi="ar-SA"/>
        </w:rPr>
        <w:t>取得了显著的成效，如</w:t>
      </w:r>
      <w:r>
        <w:rPr>
          <w:rFonts w:hint="eastAsia" w:ascii="Times New Roman" w:hAnsi="Times New Roman" w:eastAsia="仿宋_GB2312" w:cs="Times New Roman"/>
          <w:b w:val="0"/>
          <w:bCs w:val="0"/>
          <w:kern w:val="28"/>
          <w:sz w:val="32"/>
          <w:szCs w:val="32"/>
          <w:lang w:val="en-US" w:eastAsia="zh-CN" w:bidi="ar-SA"/>
        </w:rPr>
        <w:t>切实为牛毛泉子和农业七片组群众夜间出行提供了方便</w:t>
      </w:r>
      <w:r>
        <w:rPr>
          <w:rFonts w:hint="default" w:ascii="Times New Roman" w:hAnsi="Times New Roman" w:eastAsia="仿宋_GB2312" w:cs="Times New Roman"/>
          <w:b w:val="0"/>
          <w:bCs w:val="0"/>
          <w:kern w:val="28"/>
          <w:sz w:val="32"/>
          <w:szCs w:val="32"/>
          <w:lang w:val="en-US" w:eastAsia="zh-CN" w:bidi="ar-SA"/>
        </w:rPr>
        <w:t>等。</w:t>
      </w:r>
    </w:p>
    <w:p w14:paraId="534988E2">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在项目管理方面，</w:t>
      </w:r>
      <w:r>
        <w:rPr>
          <w:rFonts w:hint="eastAsia" w:ascii="Times New Roman" w:hAnsi="Times New Roman" w:eastAsia="仿宋_GB2312" w:cs="Times New Roman"/>
          <w:b w:val="0"/>
          <w:bCs w:val="0"/>
          <w:kern w:val="28"/>
          <w:sz w:val="32"/>
          <w:szCs w:val="32"/>
          <w:lang w:val="en-US" w:eastAsia="zh-CN" w:bidi="ar-SA"/>
        </w:rPr>
        <w:t>大泉塔塔尔族乡人民政府</w:t>
      </w:r>
      <w:r>
        <w:rPr>
          <w:rFonts w:hint="default" w:ascii="Times New Roman" w:hAnsi="Times New Roman" w:eastAsia="仿宋_GB2312" w:cs="Times New Roman"/>
          <w:b w:val="0"/>
          <w:bCs w:val="0"/>
          <w:kern w:val="28"/>
          <w:sz w:val="32"/>
          <w:szCs w:val="32"/>
          <w:lang w:val="en-US" w:eastAsia="zh-CN" w:bidi="ar-SA"/>
        </w:rPr>
        <w:t>通过有效的规划、组织与协调，项目得以顺利实施，并在预算与时间上保持了良好的控制。</w:t>
      </w:r>
    </w:p>
    <w:p w14:paraId="03C4246C">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从项目效益的角度来看，本项目不仅实现了预期的社会效益生了积极的影响。具体而言，</w:t>
      </w:r>
      <w:r>
        <w:rPr>
          <w:rFonts w:hint="eastAsia" w:ascii="Times New Roman" w:hAnsi="Times New Roman" w:eastAsia="仿宋_GB2312" w:cs="Times New Roman"/>
          <w:b w:val="0"/>
          <w:bCs w:val="0"/>
          <w:kern w:val="28"/>
          <w:sz w:val="32"/>
          <w:szCs w:val="32"/>
          <w:lang w:val="en-US" w:eastAsia="zh-CN" w:bidi="ar-SA"/>
        </w:rPr>
        <w:t>在群众满意度及社会效益</w:t>
      </w:r>
      <w:r>
        <w:rPr>
          <w:rFonts w:hint="default" w:ascii="Times New Roman" w:hAnsi="Times New Roman" w:eastAsia="仿宋_GB2312" w:cs="Times New Roman"/>
          <w:b w:val="0"/>
          <w:bCs w:val="0"/>
          <w:kern w:val="28"/>
          <w:sz w:val="32"/>
          <w:szCs w:val="32"/>
          <w:lang w:val="en-US" w:eastAsia="zh-CN" w:bidi="ar-SA"/>
        </w:rPr>
        <w:t>等方面的提升，为项目的利益相关者带来了实实在在的利益。</w:t>
      </w:r>
    </w:p>
    <w:p w14:paraId="45A988F0">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综上所述，大泉塔塔尔族乡石门泉村道路亮化项目在绩效评价中表现出色，达到了项目的预期目标，并在多个方面取得了显著的成效。</w:t>
      </w:r>
    </w:p>
    <w:p w14:paraId="566D2DA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37FB649">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eastAsia="仿宋_GB2312" w:cs="Times New Roman"/>
          <w:b w:val="0"/>
          <w:bCs w:val="0"/>
          <w:kern w:val="28"/>
          <w:sz w:val="32"/>
          <w:szCs w:val="32"/>
          <w:lang w:val="en-US" w:eastAsia="zh-CN" w:bidi="ar-SA"/>
        </w:rPr>
        <w:t>100</w:t>
      </w:r>
      <w:r>
        <w:rPr>
          <w:rFonts w:hint="default" w:ascii="Times New Roman" w:hAnsi="Times New Roman" w:eastAsia="仿宋_GB2312" w:cs="Times New Roman"/>
          <w:b w:val="0"/>
          <w:bCs w:val="0"/>
          <w:kern w:val="28"/>
          <w:sz w:val="32"/>
          <w:szCs w:val="32"/>
          <w:lang w:val="en-US" w:eastAsia="zh-CN" w:bidi="ar-SA"/>
        </w:rPr>
        <w:t>分，属于优。其中，项目决策类指标权重为20分，得分为</w:t>
      </w:r>
      <w:r>
        <w:rPr>
          <w:rFonts w:hint="eastAsia" w:eastAsia="仿宋_GB2312" w:cs="Times New Roman"/>
          <w:b w:val="0"/>
          <w:bCs w:val="0"/>
          <w:kern w:val="28"/>
          <w:sz w:val="32"/>
          <w:szCs w:val="32"/>
          <w:lang w:val="en-US" w:eastAsia="zh-CN" w:bidi="ar-SA"/>
        </w:rPr>
        <w:t>20</w:t>
      </w:r>
      <w:r>
        <w:rPr>
          <w:rFonts w:hint="default" w:ascii="Times New Roman" w:hAnsi="Times New Roman" w:eastAsia="仿宋_GB2312" w:cs="Times New Roman"/>
          <w:b w:val="0"/>
          <w:bCs w:val="0"/>
          <w:kern w:val="28"/>
          <w:sz w:val="32"/>
          <w:szCs w:val="32"/>
          <w:lang w:val="en-US" w:eastAsia="zh-CN" w:bidi="ar-SA"/>
        </w:rPr>
        <w:t xml:space="preserve">分，得分率为 </w:t>
      </w:r>
      <w:r>
        <w:rPr>
          <w:rFonts w:hint="eastAsia" w:eastAsia="仿宋_GB2312" w:cs="Times New Roman"/>
          <w:b w:val="0"/>
          <w:bCs w:val="0"/>
          <w:kern w:val="28"/>
          <w:sz w:val="32"/>
          <w:szCs w:val="32"/>
          <w:lang w:val="en-US" w:eastAsia="zh-CN" w:bidi="ar-SA"/>
        </w:rPr>
        <w:t>100</w:t>
      </w:r>
      <w:r>
        <w:rPr>
          <w:rFonts w:hint="default" w:ascii="Times New Roman" w:hAnsi="Times New Roman" w:eastAsia="仿宋_GB2312" w:cs="Times New Roman"/>
          <w:b w:val="0"/>
          <w:bCs w:val="0"/>
          <w:kern w:val="28"/>
          <w:sz w:val="32"/>
          <w:szCs w:val="32"/>
          <w:lang w:val="en-US" w:eastAsia="zh-CN" w:bidi="ar-SA"/>
        </w:rPr>
        <w:t>%。项目过程类指标权重为20分，得分为</w:t>
      </w:r>
      <w:r>
        <w:rPr>
          <w:rFonts w:hint="eastAsia" w:eastAsia="仿宋_GB2312" w:cs="Times New Roman"/>
          <w:b w:val="0"/>
          <w:bCs w:val="0"/>
          <w:kern w:val="28"/>
          <w:sz w:val="32"/>
          <w:szCs w:val="32"/>
          <w:lang w:val="en-US" w:eastAsia="zh-CN" w:bidi="ar-SA"/>
        </w:rPr>
        <w:t>20</w:t>
      </w:r>
      <w:r>
        <w:rPr>
          <w:rFonts w:hint="default" w:ascii="Times New Roman" w:hAnsi="Times New Roman" w:eastAsia="仿宋_GB2312" w:cs="Times New Roman"/>
          <w:b w:val="0"/>
          <w:bCs w:val="0"/>
          <w:kern w:val="28"/>
          <w:sz w:val="32"/>
          <w:szCs w:val="32"/>
          <w:lang w:val="en-US" w:eastAsia="zh-CN" w:bidi="ar-SA"/>
        </w:rPr>
        <w:t xml:space="preserve">分，得分率为 </w:t>
      </w:r>
      <w:r>
        <w:rPr>
          <w:rFonts w:hint="eastAsia" w:eastAsia="仿宋_GB2312" w:cs="Times New Roman"/>
          <w:b w:val="0"/>
          <w:bCs w:val="0"/>
          <w:kern w:val="28"/>
          <w:sz w:val="32"/>
          <w:szCs w:val="32"/>
          <w:lang w:val="en-US" w:eastAsia="zh-CN" w:bidi="ar-SA"/>
        </w:rPr>
        <w:t>100</w:t>
      </w:r>
      <w:r>
        <w:rPr>
          <w:rFonts w:hint="default" w:ascii="Times New Roman" w:hAnsi="Times New Roman" w:eastAsia="仿宋_GB2312" w:cs="Times New Roman"/>
          <w:b w:val="0"/>
          <w:bCs w:val="0"/>
          <w:kern w:val="28"/>
          <w:sz w:val="32"/>
          <w:szCs w:val="32"/>
          <w:lang w:val="en-US" w:eastAsia="zh-CN" w:bidi="ar-SA"/>
        </w:rPr>
        <w:t>%。项目产出类指标权重为40分，得分为</w:t>
      </w:r>
      <w:r>
        <w:rPr>
          <w:rFonts w:hint="eastAsia" w:ascii="Times New Roman" w:hAnsi="Times New Roman" w:eastAsia="仿宋_GB2312" w:cs="Times New Roman"/>
          <w:b w:val="0"/>
          <w:bCs w:val="0"/>
          <w:kern w:val="28"/>
          <w:sz w:val="32"/>
          <w:szCs w:val="32"/>
          <w:lang w:val="en-US" w:eastAsia="zh-CN" w:bidi="ar-SA"/>
        </w:rPr>
        <w:t>40</w:t>
      </w:r>
      <w:r>
        <w:rPr>
          <w:rFonts w:hint="default" w:ascii="Times New Roman" w:hAnsi="Times New Roman" w:eastAsia="仿宋_GB2312" w:cs="Times New Roman"/>
          <w:b w:val="0"/>
          <w:bCs w:val="0"/>
          <w:kern w:val="28"/>
          <w:sz w:val="32"/>
          <w:szCs w:val="32"/>
          <w:lang w:val="en-US" w:eastAsia="zh-CN" w:bidi="ar-SA"/>
        </w:rPr>
        <w:t>分，得分率为</w:t>
      </w:r>
      <w:r>
        <w:rPr>
          <w:rFonts w:hint="eastAsia" w:ascii="Times New Roman" w:hAnsi="Times New Roman" w:eastAsia="仿宋_GB2312" w:cs="Times New Roman"/>
          <w:b w:val="0"/>
          <w:bCs w:val="0"/>
          <w:kern w:val="28"/>
          <w:sz w:val="32"/>
          <w:szCs w:val="32"/>
          <w:lang w:val="en-US" w:eastAsia="zh-CN" w:bidi="ar-SA"/>
        </w:rPr>
        <w:t>100</w:t>
      </w:r>
      <w:r>
        <w:rPr>
          <w:rFonts w:hint="default" w:ascii="Times New Roman" w:hAnsi="Times New Roman" w:eastAsia="仿宋_GB2312" w:cs="Times New Roman"/>
          <w:b w:val="0"/>
          <w:bCs w:val="0"/>
          <w:kern w:val="28"/>
          <w:sz w:val="32"/>
          <w:szCs w:val="32"/>
          <w:lang w:val="en-US" w:eastAsia="zh-CN" w:bidi="ar-SA"/>
        </w:rPr>
        <w:t>%。项目效益类指标权重为20分，得分为</w:t>
      </w:r>
      <w:r>
        <w:rPr>
          <w:rFonts w:hint="eastAsia" w:ascii="Times New Roman" w:hAnsi="Times New Roman" w:eastAsia="仿宋_GB2312" w:cs="Times New Roman"/>
          <w:b w:val="0"/>
          <w:bCs w:val="0"/>
          <w:kern w:val="28"/>
          <w:sz w:val="32"/>
          <w:szCs w:val="32"/>
          <w:lang w:val="en-US" w:eastAsia="zh-CN" w:bidi="ar-SA"/>
        </w:rPr>
        <w:t>20</w:t>
      </w:r>
      <w:r>
        <w:rPr>
          <w:rFonts w:hint="default" w:ascii="Times New Roman" w:hAnsi="Times New Roman" w:eastAsia="仿宋_GB2312" w:cs="Times New Roman"/>
          <w:b w:val="0"/>
          <w:bCs w:val="0"/>
          <w:kern w:val="28"/>
          <w:sz w:val="32"/>
          <w:szCs w:val="32"/>
          <w:lang w:val="en-US" w:eastAsia="zh-CN" w:bidi="ar-SA"/>
        </w:rPr>
        <w:t>分，得分率为</w:t>
      </w:r>
      <w:r>
        <w:rPr>
          <w:rFonts w:hint="eastAsia" w:ascii="Times New Roman" w:hAnsi="Times New Roman" w:eastAsia="仿宋_GB2312" w:cs="Times New Roman"/>
          <w:b w:val="0"/>
          <w:bCs w:val="0"/>
          <w:kern w:val="28"/>
          <w:sz w:val="32"/>
          <w:szCs w:val="32"/>
          <w:lang w:val="en-US" w:eastAsia="zh-CN" w:bidi="ar-SA"/>
        </w:rPr>
        <w:t>100</w:t>
      </w:r>
      <w:r>
        <w:rPr>
          <w:rFonts w:hint="default" w:ascii="Times New Roman" w:hAnsi="Times New Roman" w:eastAsia="仿宋_GB2312" w:cs="Times New Roman"/>
          <w:b w:val="0"/>
          <w:bCs w:val="0"/>
          <w:kern w:val="28"/>
          <w:sz w:val="32"/>
          <w:szCs w:val="32"/>
          <w:lang w:val="en-US" w:eastAsia="zh-CN" w:bidi="ar-SA"/>
        </w:rPr>
        <w:t>%。具体打分情况详见：附件1综合评分表。</w:t>
      </w:r>
    </w:p>
    <w:p w14:paraId="0C119997">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482D233">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A7BA63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1C44B8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0C182F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54691A2">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39D454F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A05FDD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10F3364F">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521677">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DA6B237">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609C087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1BC5ED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4D1EC28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8B45F6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F2059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23E69F7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095EF7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6F6C4E5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C4A809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EA103C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48CC125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765382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1E2DD77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777A02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BD240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00DC31C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98859D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D3F6129">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022B894">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07F9E96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color w:val="000000"/>
                <w:sz w:val="21"/>
                <w:szCs w:val="21"/>
                <w:lang w:val="en-US" w:eastAsia="zh-CN"/>
              </w:rPr>
              <w:t>100%</w:t>
            </w:r>
          </w:p>
        </w:tc>
      </w:tr>
    </w:tbl>
    <w:p w14:paraId="73F3AB9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9680682">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7E3DFC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1FB91B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991356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0F9CC07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该项目立项符合国家相关法律法规及发展政策，符合昌州财农[2023]56号2024年中央水库移民</w:t>
      </w:r>
      <w:r>
        <w:rPr>
          <w:rFonts w:hint="eastAsia" w:eastAsia="仿宋_GB2312" w:cs="Times New Roman"/>
          <w:sz w:val="32"/>
          <w:szCs w:val="32"/>
          <w:lang w:val="en-US" w:eastAsia="zh-CN"/>
        </w:rPr>
        <w:t>后扶资金支持范围</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p>
    <w:p w14:paraId="2F0D638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2734D9B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A79201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69AA14A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7B064BF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15015F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EAFFAA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F5F6FB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E2274D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7B286B5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983BAC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w:t>
      </w:r>
    </w:p>
    <w:p w14:paraId="56AB63B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4472274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与项目目标契合度：资金向设备采购和施工安装倾斜，确保路灯硬件设施质量与安装效果，为实现安全、节能、智能的目标奠定基础；设计规划资金保障路灯布局科学，避免资源浪费；维护保养资金可延长路灯使用寿命，维持项目长期效益。</w:t>
      </w:r>
    </w:p>
    <w:p w14:paraId="083148D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行业标准对比：参考同类路灯项目，本项目各环节资金占比处于合理区间。设备采购占比符合市场优质设备采购成本；施工安装费用与行业平均水平相符，保证施工质量；设计规划和维护保养资金投入比例合理，体现对项目全周期管理的重视。</w:t>
      </w:r>
    </w:p>
    <w:p w14:paraId="1D5CD95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 风险应对能力：预留不可预见费，可应对施工过程中可能出现的地质条件变化、材料价格波动等突发情况，降低项目风险；维护保养资金确保路灯出现故障时能及时维修，避免安全隐患。</w:t>
      </w:r>
    </w:p>
    <w:p w14:paraId="5B7D54B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综上所述，石门泉村道路亮化项目</w:t>
      </w:r>
      <w:r>
        <w:rPr>
          <w:rFonts w:hint="default" w:ascii="Times New Roman" w:hAnsi="Times New Roman" w:eastAsia="仿宋_GB2312" w:cs="Times New Roman"/>
          <w:sz w:val="32"/>
          <w:szCs w:val="32"/>
          <w:lang w:val="en-US" w:eastAsia="zh-CN"/>
        </w:rPr>
        <w:t>资金分配方案综合考虑项目目标、行业标准与风险因素，各环节资金分配合理，能够保障项目顺利实施与长期稳定运行，实现预期效益。项目过程情况</w:t>
      </w:r>
    </w:p>
    <w:p w14:paraId="55EFA00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2F48FF6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1.资金管理</w:t>
      </w:r>
    </w:p>
    <w:p w14:paraId="15937D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FFC4A4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32</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0B2C55B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155515B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32</w:t>
      </w:r>
      <w:r>
        <w:rPr>
          <w:rFonts w:hint="default" w:ascii="Times New Roman" w:hAnsi="Times New Roman" w:eastAsia="仿宋_GB2312" w:cs="Times New Roman"/>
          <w:sz w:val="32"/>
          <w:szCs w:val="32"/>
          <w:lang w:val="en-US" w:eastAsia="zh-CN"/>
        </w:rPr>
        <w:t>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08FCD7B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EF7235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本项目的资金使用严格遵循了路灯项目资金使用合规性是保障项目顺利推进、防范财务风险的核心要素，需从制度遵循、流程管控、监督审计等多维度严格把控。</w:t>
      </w:r>
    </w:p>
    <w:p w14:paraId="306F6CC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层面，项目严格遵循《中华人民共和国预算法》《政府采购法》及地方政府基础设施建设专项资金管理办法，确保资金使用全程有法可依。预算编制阶段，组织专业团队结合项目规模、技术方案及市场价格，经多轮论证形成预算草案，并提交财政部门、审计机构审核备案，确保预算编制科学合理、合法合规。</w:t>
      </w:r>
    </w:p>
    <w:p w14:paraId="54E6B2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使用过程中，严格执行专款专用原则。设备采购环节，通过公开招标方式选择供应商，严格审核投标方资质，评标过程全程录像存档，确保采购流程透明、公正；施工安装费用按工程进度分阶段支付，每笔款项均需施工方提供验收合格证明、发票等材料，经监理单位、项目管理部门双重审核后方可拨付，杜绝超付、错付问题。</w:t>
      </w:r>
    </w:p>
    <w:p w14:paraId="1E028B9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为强化监督，建立“内部审计 + 外部监管”双轨机制。内部成立专项审计小组，定期核查资金流向与使用用途，重点排查虚列支出、套取资金等违规行为；外部主动接受财政、审计部门及社会公众监督，定期公开资金使用明细与项目进展，确保资金使用阳光透明。通过全流程、多方位的管控，切实保障路灯项目资金使用合法合规、安全高效。</w:t>
      </w:r>
    </w:p>
    <w:p w14:paraId="3BA5072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24EFB01E">
      <w:pPr>
        <w:pStyle w:val="12"/>
        <w:numPr>
          <w:ilvl w:val="0"/>
          <w:numId w:val="0"/>
        </w:numPr>
        <w:spacing w:line="560" w:lineRule="exact"/>
        <w:ind w:firstLine="960" w:firstLineChars="3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石门泉村道路亮化建设项目</w:t>
      </w:r>
      <w:r>
        <w:rPr>
          <w:rFonts w:hint="default" w:ascii="Times New Roman" w:hAnsi="Times New Roman" w:eastAsia="仿宋_GB2312" w:cs="Times New Roman"/>
          <w:sz w:val="32"/>
          <w:szCs w:val="32"/>
          <w:lang w:val="en-US" w:eastAsia="zh-CN"/>
        </w:rPr>
        <w:t>实施构建</w:t>
      </w:r>
      <w:r>
        <w:rPr>
          <w:rFonts w:hint="eastAsia" w:eastAsia="仿宋_GB2312" w:cs="Times New Roman"/>
          <w:sz w:val="32"/>
          <w:szCs w:val="32"/>
          <w:lang w:val="en-US" w:eastAsia="zh-CN"/>
        </w:rPr>
        <w:t>了</w:t>
      </w:r>
      <w:r>
        <w:rPr>
          <w:rFonts w:hint="default" w:ascii="Times New Roman" w:hAnsi="Times New Roman" w:eastAsia="仿宋_GB2312" w:cs="Times New Roman"/>
          <w:sz w:val="32"/>
          <w:szCs w:val="32"/>
          <w:lang w:val="en-US" w:eastAsia="zh-CN"/>
        </w:rPr>
        <w:t>科学的管理体系，明确分工、规范流程，确保项目高效推进。</w:t>
      </w:r>
    </w:p>
    <w:p w14:paraId="6F315EEC">
      <w:pPr>
        <w:pStyle w:val="12"/>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1.组织架构</w:t>
      </w:r>
    </w:p>
    <w:p w14:paraId="645B0AE1">
      <w:pPr>
        <w:pStyle w:val="12"/>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组织架构上，成立项目领导小组，由政府相关部门负责人、行业专家组成，负责项目整体决策与协调，把控项目方向；下设技术组、施工组、采购组、财务组与监督组。技术组负责方案设计、技术指导及质量把控；施工组统筹现场施工，保障施工进度与安全；采购组依据技术标准完成设备、材料的招标采购；财务组管理资金预算、核算与支付；监督组全程监督项目各环节，确保合规有序。</w:t>
      </w:r>
    </w:p>
    <w:p w14:paraId="3D6FC475">
      <w:pPr>
        <w:pStyle w:val="12"/>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实施流程方面</w:t>
      </w:r>
    </w:p>
    <w:p w14:paraId="7C230028">
      <w:pPr>
        <w:pStyle w:val="12"/>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前期做好详尽规划，开展实地勘察、需求调研，结合城市规划与照明标准制定设计方案。中期严格按流程推进，施工前做好技术交底，施工中执行“日报 - 周报 - 月报”进度汇报机制，实时监控施工质量与进度；采购环节遵循公开招标流程，确保设备材料质量达标。后期组织专业团队进行竣工验收，对路灯照明效果、设备性能、工程资料等全面核查，发现问题及时整改。同时，建立完善的档案管理系统，将项目各阶段资料分类归档，为后续维护、评估提供依据。通过系统化的组织实施，保障路灯项目高质量落地。</w:t>
      </w:r>
    </w:p>
    <w:p w14:paraId="793A773C">
      <w:pPr>
        <w:pStyle w:val="12"/>
        <w:numPr>
          <w:ilvl w:val="0"/>
          <w:numId w:val="0"/>
        </w:numPr>
        <w:spacing w:line="560" w:lineRule="exact"/>
        <w:ind w:firstLine="643" w:firstLineChars="200"/>
        <w:rPr>
          <w:rFonts w:hint="default" w:ascii="Times New Roman" w:hAnsi="Times New Roman" w:eastAsia="楷体_GB2312" w:cs="Times New Roman"/>
          <w:b/>
          <w:bCs/>
          <w:sz w:val="32"/>
          <w:szCs w:val="32"/>
        </w:rPr>
      </w:pPr>
      <w:r>
        <w:rPr>
          <w:rFonts w:hint="eastAsia" w:eastAsia="楷体_GB2312" w:cs="Times New Roman"/>
          <w:b/>
          <w:bCs/>
          <w:sz w:val="32"/>
          <w:szCs w:val="32"/>
          <w:lang w:val="en-US" w:eastAsia="zh-CN"/>
        </w:rPr>
        <w:t>3.</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506CC5A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125A3F0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6C82682">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指标1：安装路灯数量，指标值：≥100盏，实际完成值：</w:t>
      </w:r>
      <w:r>
        <w:rPr>
          <w:rFonts w:hint="eastAsia" w:eastAsia="仿宋_GB2312" w:cs="Times New Roman"/>
          <w:sz w:val="32"/>
          <w:szCs w:val="32"/>
          <w:highlight w:val="none"/>
          <w:lang w:val="en-US" w:eastAsia="zh-CN"/>
        </w:rPr>
        <w:t>100盏</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702E8B76">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3D8EE9B5">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指标1：竣工验收合格率，</w:t>
      </w:r>
      <w:r>
        <w:rPr>
          <w:rFonts w:hint="default" w:ascii="Times New Roman" w:hAnsi="Times New Roman" w:eastAsia="仿宋_GB2312" w:cs="Times New Roman"/>
          <w:sz w:val="32"/>
          <w:szCs w:val="32"/>
          <w:highlight w:val="none"/>
        </w:rPr>
        <w:t>指标值：=100%，实际完成值：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167DB65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7E1941F0">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指标1：项目按计划开工时间，</w:t>
      </w:r>
      <w:r>
        <w:rPr>
          <w:rFonts w:hint="default" w:ascii="Times New Roman" w:hAnsi="Times New Roman" w:eastAsia="仿宋_GB2312" w:cs="Times New Roman"/>
          <w:sz w:val="32"/>
          <w:szCs w:val="32"/>
          <w:highlight w:val="none"/>
        </w:rPr>
        <w:t>指标值：=100%，实际完成值：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25904EC3">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指标2：项目按计划完工时间，</w:t>
      </w:r>
      <w:r>
        <w:rPr>
          <w:rFonts w:hint="default" w:ascii="Times New Roman" w:hAnsi="Times New Roman" w:eastAsia="仿宋_GB2312" w:cs="Times New Roman"/>
          <w:sz w:val="32"/>
          <w:szCs w:val="32"/>
          <w:highlight w:val="none"/>
        </w:rPr>
        <w:t>指标值：=100%，实际完成值：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1ABC32B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0ADD955">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指标1：安装路灯标准，</w:t>
      </w:r>
      <w:r>
        <w:rPr>
          <w:rFonts w:hint="default" w:ascii="Times New Roman" w:hAnsi="Times New Roman" w:eastAsia="仿宋_GB2312" w:cs="Times New Roman"/>
          <w:sz w:val="32"/>
          <w:szCs w:val="32"/>
          <w:highlight w:val="none"/>
        </w:rPr>
        <w:t>指标值：≤3200元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3200</w:t>
      </w:r>
      <w:r>
        <w:rPr>
          <w:rFonts w:hint="eastAsia" w:ascii="Times New Roman" w:hAnsi="Times New Roman" w:eastAsia="仿宋_GB2312" w:cs="Times New Roman"/>
          <w:sz w:val="32"/>
          <w:szCs w:val="32"/>
          <w:highlight w:val="none"/>
          <w:lang w:val="en-US" w:eastAsia="zh-CN"/>
        </w:rPr>
        <w:t>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3F4CF1E2">
      <w:pPr>
        <w:pStyle w:val="12"/>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FB97D5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w:t>
      </w:r>
      <w:r>
        <w:rPr>
          <w:rFonts w:hint="eastAsia" w:ascii="Times New Roman" w:hAnsi="Times New Roman" w:eastAsia="仿宋_GB2312" w:cs="Times New Roman"/>
          <w:sz w:val="32"/>
          <w:szCs w:val="32"/>
          <w:highlight w:val="none"/>
          <w:lang w:val="en-US" w:eastAsia="zh-CN"/>
        </w:rPr>
        <w:t>社会效益和服务对象满意度指标</w:t>
      </w:r>
      <w:r>
        <w:rPr>
          <w:rFonts w:hint="default" w:ascii="Times New Roman" w:hAnsi="Times New Roman" w:eastAsia="仿宋_GB2312" w:cs="Times New Roman"/>
          <w:sz w:val="32"/>
          <w:szCs w:val="32"/>
          <w:highlight w:val="none"/>
          <w:lang w:val="en-US" w:eastAsia="zh-CN"/>
        </w:rPr>
        <w:t>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1535734C">
      <w:pPr>
        <w:numPr>
          <w:ilvl w:val="0"/>
          <w:numId w:val="4"/>
        </w:num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58FD4DA9">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rPr>
        <w:t>受益的户数（户）</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指标值≥8户，实际完成值</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8户，指标完成率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30B2144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7213863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服务对象满意度</w:t>
      </w:r>
      <w:r>
        <w:rPr>
          <w:rFonts w:hint="default" w:ascii="Times New Roman" w:hAnsi="Times New Roman" w:eastAsia="仿宋_GB2312" w:cs="Times New Roman"/>
          <w:sz w:val="32"/>
          <w:szCs w:val="32"/>
          <w:highlight w:val="none"/>
          <w:lang w:val="en-US" w:eastAsia="zh-CN"/>
        </w:rPr>
        <w:t>指标：</w:t>
      </w:r>
    </w:p>
    <w:p w14:paraId="03248D2A">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rPr>
        <w:t>群众满意度</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指标值≥9</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90</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 xml:space="preserve"> </w:t>
      </w:r>
    </w:p>
    <w:p w14:paraId="1795786E">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1E7C2D8A">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大泉塔塔尔族乡石门泉村道路亮化项目项目年初预算</w:t>
      </w:r>
      <w:r>
        <w:rPr>
          <w:rFonts w:hint="eastAsia" w:ascii="Times New Roman" w:hAnsi="Times New Roman" w:eastAsia="仿宋_GB2312" w:cs="Times New Roman"/>
          <w:kern w:val="2"/>
          <w:sz w:val="32"/>
          <w:szCs w:val="32"/>
          <w:highlight w:val="none"/>
          <w:lang w:val="en-US" w:eastAsia="zh-CN" w:bidi="ar-SA"/>
        </w:rPr>
        <w:t>32</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32</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32</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p>
    <w:p w14:paraId="26F8A820">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76C3FD10">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399020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B663431">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0208D42">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022BCC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311A7E9">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3C7A4A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1EB06D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06DE18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A51ED48">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5CED3A7B">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324841A8">
      <w:pPr>
        <w:pStyle w:val="13"/>
        <w:spacing w:after="0" w:line="560" w:lineRule="exact"/>
        <w:ind w:left="0" w:leftChars="0" w:firstLine="0" w:firstLineChars="0"/>
        <w:rPr>
          <w:rFonts w:hint="default" w:ascii="Times New Roman" w:hAnsi="Times New Roman" w:eastAsia="仿宋_GB2312" w:cs="Times New Roman"/>
          <w:sz w:val="32"/>
          <w:szCs w:val="32"/>
        </w:rPr>
      </w:pPr>
    </w:p>
    <w:p w14:paraId="23457342">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BF39A34">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CB39780">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大泉塔塔尔族乡石门泉村道路亮化项目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D08A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68AE01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174262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1F9032D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0FC2396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6703A9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2A52AA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A649E7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6B4F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86FD1DE">
            <w:pPr>
              <w:widowControl/>
              <w:spacing w:line="0" w:lineRule="atLeast"/>
              <w:jc w:val="center"/>
              <w:rPr>
                <w:rFonts w:hint="default" w:ascii="Times New Roman" w:hAnsi="Times New Roman" w:eastAsia="仿宋_GB2312" w:cs="Times New Roman"/>
                <w:color w:val="000000"/>
                <w:kern w:val="0"/>
                <w:sz w:val="18"/>
                <w:szCs w:val="18"/>
              </w:rPr>
            </w:pPr>
          </w:p>
          <w:p w14:paraId="1CB9BE1B">
            <w:pPr>
              <w:widowControl/>
              <w:spacing w:line="0" w:lineRule="atLeast"/>
              <w:jc w:val="center"/>
              <w:rPr>
                <w:rFonts w:hint="default" w:ascii="Times New Roman" w:hAnsi="Times New Roman" w:eastAsia="仿宋_GB2312" w:cs="Times New Roman"/>
                <w:color w:val="000000"/>
                <w:kern w:val="0"/>
                <w:sz w:val="18"/>
                <w:szCs w:val="18"/>
              </w:rPr>
            </w:pPr>
          </w:p>
          <w:p w14:paraId="245F8593">
            <w:pPr>
              <w:widowControl/>
              <w:spacing w:line="0" w:lineRule="atLeast"/>
              <w:jc w:val="center"/>
              <w:rPr>
                <w:rFonts w:hint="default" w:ascii="Times New Roman" w:hAnsi="Times New Roman" w:eastAsia="仿宋_GB2312" w:cs="Times New Roman"/>
                <w:color w:val="000000"/>
                <w:kern w:val="0"/>
                <w:sz w:val="18"/>
                <w:szCs w:val="18"/>
              </w:rPr>
            </w:pPr>
          </w:p>
          <w:p w14:paraId="25748C99">
            <w:pPr>
              <w:widowControl/>
              <w:spacing w:line="0" w:lineRule="atLeast"/>
              <w:jc w:val="center"/>
              <w:rPr>
                <w:rFonts w:hint="default" w:ascii="Times New Roman" w:hAnsi="Times New Roman" w:eastAsia="仿宋_GB2312" w:cs="Times New Roman"/>
                <w:color w:val="000000"/>
                <w:kern w:val="0"/>
                <w:sz w:val="18"/>
                <w:szCs w:val="18"/>
              </w:rPr>
            </w:pPr>
          </w:p>
          <w:p w14:paraId="1B24E58F">
            <w:pPr>
              <w:widowControl/>
              <w:spacing w:line="0" w:lineRule="atLeast"/>
              <w:jc w:val="center"/>
              <w:rPr>
                <w:rFonts w:hint="default" w:ascii="Times New Roman" w:hAnsi="Times New Roman" w:eastAsia="仿宋_GB2312" w:cs="Times New Roman"/>
                <w:color w:val="000000"/>
                <w:kern w:val="0"/>
                <w:sz w:val="18"/>
                <w:szCs w:val="18"/>
              </w:rPr>
            </w:pPr>
          </w:p>
          <w:p w14:paraId="7AF95A84">
            <w:pPr>
              <w:widowControl/>
              <w:spacing w:line="0" w:lineRule="atLeast"/>
              <w:jc w:val="center"/>
              <w:rPr>
                <w:rFonts w:hint="default" w:ascii="Times New Roman" w:hAnsi="Times New Roman" w:eastAsia="仿宋_GB2312" w:cs="Times New Roman"/>
                <w:color w:val="000000"/>
                <w:kern w:val="0"/>
                <w:sz w:val="18"/>
                <w:szCs w:val="18"/>
              </w:rPr>
            </w:pPr>
          </w:p>
          <w:p w14:paraId="285727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2D36F4E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D7D681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303A82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21B97B2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C704F4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3C1DA1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8EDE1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F081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7F4FB2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FAFBEB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B0B50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29CD7C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5A22055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5B81BB4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7E039E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2A190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6E0E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F114F03">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8043FE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29921AF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4248F4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083B19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5370F18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738620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01B27E0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593D6F6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CF17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119B42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E37B91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6DE5A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49DF3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53931A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4D75B9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3A1C05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274FC49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377D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4788B4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1B122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4F6BE8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82549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4735E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5B412E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71B1C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15CB76F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314D696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0B0B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3D8D38D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BB9153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781F6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B488B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5C339D1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66224B8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42BE66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E7CD7B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F5A1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164C61C">
            <w:pPr>
              <w:spacing w:line="0" w:lineRule="atLeast"/>
              <w:jc w:val="center"/>
              <w:rPr>
                <w:rFonts w:hint="default" w:ascii="Times New Roman" w:hAnsi="Times New Roman" w:eastAsia="仿宋_GB2312" w:cs="Times New Roman"/>
                <w:color w:val="000000"/>
                <w:kern w:val="0"/>
                <w:sz w:val="18"/>
                <w:szCs w:val="18"/>
              </w:rPr>
            </w:pPr>
          </w:p>
          <w:p w14:paraId="1270AAEB">
            <w:pPr>
              <w:spacing w:line="0" w:lineRule="atLeast"/>
              <w:jc w:val="center"/>
              <w:rPr>
                <w:rFonts w:hint="default" w:ascii="Times New Roman" w:hAnsi="Times New Roman" w:eastAsia="仿宋_GB2312" w:cs="Times New Roman"/>
                <w:color w:val="000000"/>
                <w:kern w:val="0"/>
                <w:sz w:val="18"/>
                <w:szCs w:val="18"/>
              </w:rPr>
            </w:pPr>
          </w:p>
          <w:p w14:paraId="294B57F5">
            <w:pPr>
              <w:spacing w:line="0" w:lineRule="atLeast"/>
              <w:jc w:val="center"/>
              <w:rPr>
                <w:rFonts w:hint="default" w:ascii="Times New Roman" w:hAnsi="Times New Roman" w:eastAsia="仿宋_GB2312" w:cs="Times New Roman"/>
                <w:color w:val="000000"/>
                <w:kern w:val="0"/>
                <w:sz w:val="18"/>
                <w:szCs w:val="18"/>
              </w:rPr>
            </w:pPr>
          </w:p>
          <w:p w14:paraId="1F7B96FE">
            <w:pPr>
              <w:spacing w:line="0" w:lineRule="atLeast"/>
              <w:jc w:val="center"/>
              <w:rPr>
                <w:rFonts w:hint="default" w:ascii="Times New Roman" w:hAnsi="Times New Roman" w:eastAsia="仿宋_GB2312" w:cs="Times New Roman"/>
                <w:color w:val="000000"/>
                <w:kern w:val="0"/>
                <w:sz w:val="18"/>
                <w:szCs w:val="18"/>
              </w:rPr>
            </w:pPr>
          </w:p>
          <w:p w14:paraId="3125F518">
            <w:pPr>
              <w:spacing w:line="0" w:lineRule="atLeast"/>
              <w:jc w:val="center"/>
              <w:rPr>
                <w:rFonts w:hint="default" w:ascii="Times New Roman" w:hAnsi="Times New Roman" w:eastAsia="仿宋_GB2312" w:cs="Times New Roman"/>
                <w:color w:val="000000"/>
                <w:kern w:val="0"/>
                <w:sz w:val="18"/>
                <w:szCs w:val="18"/>
              </w:rPr>
            </w:pPr>
          </w:p>
          <w:p w14:paraId="0035C29C">
            <w:pPr>
              <w:spacing w:line="0" w:lineRule="atLeast"/>
              <w:jc w:val="center"/>
              <w:rPr>
                <w:rFonts w:hint="default" w:ascii="Times New Roman" w:hAnsi="Times New Roman" w:eastAsia="仿宋_GB2312" w:cs="Times New Roman"/>
                <w:color w:val="000000"/>
                <w:kern w:val="0"/>
                <w:sz w:val="18"/>
                <w:szCs w:val="18"/>
              </w:rPr>
            </w:pPr>
          </w:p>
          <w:p w14:paraId="5F1B9AC6">
            <w:pPr>
              <w:spacing w:line="0" w:lineRule="atLeast"/>
              <w:jc w:val="center"/>
              <w:rPr>
                <w:rFonts w:hint="default" w:ascii="Times New Roman" w:hAnsi="Times New Roman" w:eastAsia="仿宋_GB2312" w:cs="Times New Roman"/>
                <w:color w:val="000000"/>
                <w:kern w:val="0"/>
                <w:sz w:val="18"/>
                <w:szCs w:val="18"/>
              </w:rPr>
            </w:pPr>
          </w:p>
          <w:p w14:paraId="3E40F611">
            <w:pPr>
              <w:spacing w:line="0" w:lineRule="atLeast"/>
              <w:jc w:val="center"/>
              <w:rPr>
                <w:rFonts w:hint="default" w:ascii="Times New Roman" w:hAnsi="Times New Roman" w:eastAsia="仿宋_GB2312" w:cs="Times New Roman"/>
                <w:color w:val="000000"/>
                <w:kern w:val="0"/>
                <w:sz w:val="18"/>
                <w:szCs w:val="18"/>
              </w:rPr>
            </w:pPr>
          </w:p>
          <w:p w14:paraId="1A4170AF">
            <w:pPr>
              <w:spacing w:line="0" w:lineRule="atLeast"/>
              <w:jc w:val="center"/>
              <w:rPr>
                <w:rFonts w:hint="default" w:ascii="Times New Roman" w:hAnsi="Times New Roman" w:eastAsia="仿宋_GB2312" w:cs="Times New Roman"/>
                <w:color w:val="000000"/>
                <w:kern w:val="0"/>
                <w:sz w:val="18"/>
                <w:szCs w:val="18"/>
              </w:rPr>
            </w:pPr>
          </w:p>
          <w:p w14:paraId="5BD3B23A">
            <w:pPr>
              <w:spacing w:line="0" w:lineRule="atLeast"/>
              <w:jc w:val="center"/>
              <w:rPr>
                <w:rFonts w:hint="default" w:ascii="Times New Roman" w:hAnsi="Times New Roman" w:eastAsia="仿宋_GB2312" w:cs="Times New Roman"/>
                <w:color w:val="000000"/>
                <w:kern w:val="0"/>
                <w:sz w:val="18"/>
                <w:szCs w:val="18"/>
              </w:rPr>
            </w:pPr>
          </w:p>
          <w:p w14:paraId="31DE6BC7">
            <w:pPr>
              <w:spacing w:line="0" w:lineRule="atLeast"/>
              <w:jc w:val="center"/>
              <w:rPr>
                <w:rFonts w:hint="default" w:ascii="Times New Roman" w:hAnsi="Times New Roman" w:eastAsia="仿宋_GB2312" w:cs="Times New Roman"/>
                <w:color w:val="000000"/>
                <w:kern w:val="0"/>
                <w:sz w:val="18"/>
                <w:szCs w:val="18"/>
              </w:rPr>
            </w:pPr>
          </w:p>
          <w:p w14:paraId="211492D2">
            <w:pPr>
              <w:spacing w:line="0" w:lineRule="atLeast"/>
              <w:jc w:val="center"/>
              <w:rPr>
                <w:rFonts w:hint="default" w:ascii="Times New Roman" w:hAnsi="Times New Roman" w:eastAsia="仿宋_GB2312" w:cs="Times New Roman"/>
                <w:color w:val="000000"/>
                <w:kern w:val="0"/>
                <w:sz w:val="18"/>
                <w:szCs w:val="18"/>
              </w:rPr>
            </w:pPr>
          </w:p>
          <w:p w14:paraId="012C24C4">
            <w:pPr>
              <w:spacing w:line="0" w:lineRule="atLeast"/>
              <w:jc w:val="center"/>
              <w:rPr>
                <w:rFonts w:hint="default" w:ascii="Times New Roman" w:hAnsi="Times New Roman" w:eastAsia="仿宋_GB2312" w:cs="Times New Roman"/>
                <w:color w:val="000000"/>
                <w:kern w:val="0"/>
                <w:sz w:val="18"/>
                <w:szCs w:val="18"/>
              </w:rPr>
            </w:pPr>
          </w:p>
          <w:p w14:paraId="0355B9F2">
            <w:pPr>
              <w:spacing w:line="0" w:lineRule="atLeast"/>
              <w:jc w:val="center"/>
              <w:rPr>
                <w:rFonts w:hint="default" w:ascii="Times New Roman" w:hAnsi="Times New Roman" w:eastAsia="仿宋_GB2312" w:cs="Times New Roman"/>
                <w:color w:val="000000"/>
                <w:kern w:val="0"/>
                <w:sz w:val="18"/>
                <w:szCs w:val="18"/>
              </w:rPr>
            </w:pPr>
          </w:p>
          <w:p w14:paraId="72A634A3">
            <w:pPr>
              <w:spacing w:line="0" w:lineRule="atLeast"/>
              <w:jc w:val="center"/>
              <w:rPr>
                <w:rFonts w:hint="default" w:ascii="Times New Roman" w:hAnsi="Times New Roman" w:eastAsia="仿宋_GB2312" w:cs="Times New Roman"/>
                <w:color w:val="000000"/>
                <w:kern w:val="0"/>
                <w:sz w:val="18"/>
                <w:szCs w:val="18"/>
              </w:rPr>
            </w:pPr>
          </w:p>
          <w:p w14:paraId="60FDA38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3526BC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2AF14E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85D581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7EC35D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2DC13E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4D683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0ACB9D2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5F4B52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1D2309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5822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C87DFC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44D7148">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CAC53D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1E7B178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1EAA76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6DDA635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B13CE6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bookmarkStart w:id="3" w:name="_GoBack"/>
            <w:bookmarkEnd w:id="3"/>
          </w:p>
        </w:tc>
      </w:tr>
      <w:tr w14:paraId="1A1F2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6D12B2C">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0B60D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466927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8F0E9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518B7A2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10655F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6F99EE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2247F6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7139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9E978B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8D2147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7AA069F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B81D6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1F3672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10D68A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2248489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5CB6CD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D20239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B61C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1426EEFB">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E9CD0D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9F258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3DAF3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1B9BA0A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56303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7B1F7B7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83B029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179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19991C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3E4C7BA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5D05A2A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5959E55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58C647B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3B6B2B2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420427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B8AE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250BD05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11F1405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499530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635F0C9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479FBC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7A70AE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23474DF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0CD0F1B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9D9B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0BA39F1">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4DA07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49CA01E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4E9E237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60DAA7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49A3789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E8A725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FB88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F320D7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AB716D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5B4B5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5DF552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770D05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7278C5D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E836DF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DA18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13C12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4F2E26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7D1A4D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2F2515C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108D984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3657BC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4E82B3F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598F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66CD67C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DF7386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0BA2BE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635ADF3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1C601EE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2C83EF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A1FD3F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0D75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5A2F26C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4ED6D9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1CE06E33">
            <w:pPr>
              <w:widowControl/>
              <w:spacing w:line="0" w:lineRule="atLeast"/>
              <w:jc w:val="center"/>
              <w:rPr>
                <w:rFonts w:hint="default" w:ascii="Times New Roman" w:hAnsi="Times New Roman" w:eastAsia="仿宋_GB2312" w:cs="Times New Roman"/>
                <w:b/>
                <w:bCs/>
                <w:color w:val="000000"/>
                <w:kern w:val="0"/>
                <w:sz w:val="18"/>
                <w:szCs w:val="18"/>
                <w:highlight w:val="yellow"/>
                <w:lang w:val="en-US" w:eastAsia="zh-CN"/>
              </w:rPr>
            </w:pPr>
            <w:r>
              <w:rPr>
                <w:rFonts w:hint="eastAsia" w:eastAsia="仿宋_GB2312" w:cs="Times New Roman"/>
                <w:b/>
                <w:bCs/>
                <w:color w:val="000000"/>
                <w:kern w:val="0"/>
                <w:sz w:val="18"/>
                <w:szCs w:val="18"/>
                <w:highlight w:val="none"/>
                <w:lang w:val="en-US" w:eastAsia="zh-CN"/>
              </w:rPr>
              <w:t>100</w:t>
            </w:r>
          </w:p>
        </w:tc>
      </w:tr>
    </w:tbl>
    <w:p w14:paraId="5E6687B4">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256B70B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25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989"/>
        <w:gridCol w:w="990"/>
        <w:gridCol w:w="990"/>
        <w:gridCol w:w="921"/>
        <w:gridCol w:w="578"/>
        <w:gridCol w:w="1375"/>
        <w:gridCol w:w="1224"/>
        <w:gridCol w:w="798"/>
        <w:gridCol w:w="715"/>
        <w:gridCol w:w="811"/>
        <w:gridCol w:w="564"/>
        <w:gridCol w:w="646"/>
        <w:gridCol w:w="990"/>
      </w:tblGrid>
      <w:tr w14:paraId="7024D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82" w:type="dxa"/>
            <w:gridSpan w:val="14"/>
            <w:tcBorders>
              <w:top w:val="nil"/>
              <w:left w:val="nil"/>
              <w:bottom w:val="nil"/>
              <w:right w:val="nil"/>
            </w:tcBorders>
            <w:shd w:val="clear" w:color="auto" w:fill="auto"/>
            <w:vAlign w:val="center"/>
          </w:tcPr>
          <w:p w14:paraId="466D139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0ADD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2582" w:type="dxa"/>
            <w:gridSpan w:val="14"/>
            <w:tcBorders>
              <w:top w:val="nil"/>
              <w:left w:val="nil"/>
              <w:bottom w:val="nil"/>
              <w:right w:val="nil"/>
            </w:tcBorders>
            <w:shd w:val="clear" w:color="auto" w:fill="auto"/>
            <w:vAlign w:val="center"/>
          </w:tcPr>
          <w:p w14:paraId="478EA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72F2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47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060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DC9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昌州财农[2023]56号2024年中央水库移民-大泉塔塔尔族乡石门泉村道路亮化项目</w:t>
            </w:r>
          </w:p>
        </w:tc>
      </w:tr>
      <w:tr w14:paraId="4CB01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07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92F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奇台县大泉塔塔尔族乡人民政府</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08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F18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奇台县大泉塔塔尔族乡人民政府</w:t>
            </w:r>
          </w:p>
        </w:tc>
      </w:tr>
      <w:tr w14:paraId="65DF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D07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C6F90">
            <w:pPr>
              <w:jc w:val="center"/>
              <w:rPr>
                <w:rFonts w:hint="eastAsia" w:ascii="宋体" w:hAnsi="宋体" w:eastAsia="宋体" w:cs="宋体"/>
                <w:i w:val="0"/>
                <w:iCs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2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F6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2C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D8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8F8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32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A70C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F2259">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FA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6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7C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0E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A6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4D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3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10FC3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2D544">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DD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50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9E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D76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D0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B6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4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224A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84450">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7D7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7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4C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9DD104">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0.00</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0B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2A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B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6B4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29987">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AAA41">
            <w:pPr>
              <w:jc w:val="center"/>
              <w:rPr>
                <w:rFonts w:hint="eastAsia" w:ascii="宋体" w:hAnsi="宋体" w:eastAsia="宋体" w:cs="宋体"/>
                <w:i w:val="0"/>
                <w:iCs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BBAD">
            <w:pPr>
              <w:jc w:val="center"/>
              <w:rPr>
                <w:rFonts w:hint="eastAsia" w:ascii="宋体" w:hAnsi="宋体" w:eastAsia="宋体" w:cs="宋体"/>
                <w:i w:val="0"/>
                <w:iCs w:val="0"/>
                <w:color w:val="000000"/>
                <w:sz w:val="20"/>
                <w:szCs w:val="20"/>
                <w:u w:val="none"/>
              </w:rPr>
            </w:pP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CDA57">
            <w:pPr>
              <w:jc w:val="center"/>
              <w:rPr>
                <w:rFonts w:hint="eastAsia" w:ascii="宋体" w:hAnsi="宋体" w:eastAsia="宋体" w:cs="宋体"/>
                <w:i w:val="0"/>
                <w:iCs w:val="0"/>
                <w:color w:val="000000"/>
                <w:sz w:val="20"/>
                <w:szCs w:val="20"/>
                <w:u w:val="none"/>
              </w:rPr>
            </w:pP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79344">
            <w:pPr>
              <w:jc w:val="center"/>
              <w:rPr>
                <w:rFonts w:hint="eastAsia" w:ascii="宋体" w:hAnsi="宋体" w:eastAsia="宋体" w:cs="宋体"/>
                <w:i w:val="0"/>
                <w:iCs w:val="0"/>
                <w:color w:val="000000"/>
                <w:sz w:val="20"/>
                <w:szCs w:val="20"/>
                <w:u w:val="none"/>
              </w:rPr>
            </w:pP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03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76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8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50CC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9B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22E1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7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1C5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66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44DA9">
            <w:pPr>
              <w:jc w:val="center"/>
              <w:rPr>
                <w:rFonts w:hint="eastAsia" w:ascii="宋体" w:hAnsi="宋体" w:eastAsia="宋体" w:cs="宋体"/>
                <w:i w:val="0"/>
                <w:iCs w:val="0"/>
                <w:color w:val="000000"/>
                <w:sz w:val="20"/>
                <w:szCs w:val="20"/>
                <w:u w:val="none"/>
              </w:rPr>
            </w:pPr>
          </w:p>
        </w:tc>
        <w:tc>
          <w:tcPr>
            <w:tcW w:w="5844"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66EDE8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改善大泉塔塔尔族乡石门泉村村容村貌，解决农牧民群众夜间出行困难，夜间道路照明缺失的情况，根据自治区下发的《关于提前下达2024年中央水库移民扶持基金预算的通知》（新财农12023186号）文件要求，为奇台县下发80万元基础设施建设与经济发展项目资金，现申请32万元，实施奇台县大泉塔塔尔族乡石门泉村道路亮化项目，在石门泉村安装灯杆高6米，60瓦太阳能路灯100盏。通过不断完善基础设施，将热切回应农牧民群众的诉求，进一步为当地的经济发展奠定基础，提升政府公信力和农牧民群众幸福感</w:t>
            </w:r>
          </w:p>
        </w:tc>
        <w:tc>
          <w:tcPr>
            <w:tcW w:w="5748"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0C8C6F7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在石门泉村安装灯杆高6米，60瓦太阳能路灯100盏。通过不断完善基础设施，将热切回应农牧民群众的诉求，进一步为当地的经济发展奠定基础，提升政府公信力和农牧民群众幸福感</w:t>
            </w:r>
          </w:p>
        </w:tc>
      </w:tr>
      <w:tr w14:paraId="3B8B0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69285">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19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D2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4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2D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CA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11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AC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52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9C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674C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BEC70">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6A4A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09D49">
            <w:pPr>
              <w:jc w:val="center"/>
              <w:rPr>
                <w:rFonts w:hint="eastAsia" w:ascii="宋体" w:hAnsi="宋体" w:eastAsia="宋体" w:cs="宋体"/>
                <w:i w:val="0"/>
                <w:iCs w:val="0"/>
                <w:color w:val="000000"/>
                <w:sz w:val="20"/>
                <w:szCs w:val="20"/>
                <w:u w:val="none"/>
              </w:rPr>
            </w:pPr>
          </w:p>
        </w:tc>
        <w:tc>
          <w:tcPr>
            <w:tcW w:w="24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D5C33">
            <w:pPr>
              <w:jc w:val="center"/>
              <w:rPr>
                <w:rFonts w:hint="eastAsia" w:ascii="宋体" w:hAnsi="宋体" w:eastAsia="宋体" w:cs="宋体"/>
                <w:i w:val="0"/>
                <w:iCs w:val="0"/>
                <w:color w:val="000000"/>
                <w:sz w:val="20"/>
                <w:szCs w:val="20"/>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FFE38">
            <w:pPr>
              <w:jc w:val="center"/>
              <w:rPr>
                <w:rFonts w:hint="eastAsia" w:ascii="宋体" w:hAnsi="宋体" w:eastAsia="宋体" w:cs="宋体"/>
                <w:i w:val="0"/>
                <w:iCs w:val="0"/>
                <w:color w:val="000000"/>
                <w:sz w:val="20"/>
                <w:szCs w:val="20"/>
                <w:u w:val="none"/>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D5FF3">
            <w:pPr>
              <w:jc w:val="center"/>
              <w:rPr>
                <w:rFonts w:hint="eastAsia" w:ascii="宋体" w:hAnsi="宋体" w:eastAsia="宋体" w:cs="宋体"/>
                <w:i w:val="0"/>
                <w:iCs w:val="0"/>
                <w:color w:val="000000"/>
                <w:sz w:val="20"/>
                <w:szCs w:val="20"/>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24FAD">
            <w:pPr>
              <w:jc w:val="center"/>
              <w:rPr>
                <w:rFonts w:hint="eastAsia" w:ascii="宋体" w:hAnsi="宋体" w:eastAsia="宋体" w:cs="宋体"/>
                <w:i w:val="0"/>
                <w:iCs w:val="0"/>
                <w:color w:val="000000"/>
                <w:sz w:val="20"/>
                <w:szCs w:val="20"/>
                <w:u w:val="none"/>
              </w:rPr>
            </w:pPr>
          </w:p>
        </w:tc>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7EB66">
            <w:pPr>
              <w:jc w:val="center"/>
              <w:rPr>
                <w:rFonts w:hint="eastAsia" w:ascii="宋体" w:hAnsi="宋体" w:eastAsia="宋体" w:cs="宋体"/>
                <w:i w:val="0"/>
                <w:iCs w:val="0"/>
                <w:color w:val="000000"/>
                <w:sz w:val="20"/>
                <w:szCs w:val="20"/>
                <w:u w:val="none"/>
              </w:rPr>
            </w:pPr>
          </w:p>
        </w:tc>
        <w:tc>
          <w:tcPr>
            <w:tcW w:w="1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2A1E8">
            <w:pPr>
              <w:jc w:val="center"/>
              <w:rPr>
                <w:rFonts w:hint="eastAsia" w:ascii="宋体" w:hAnsi="宋体" w:eastAsia="宋体" w:cs="宋体"/>
                <w:i w:val="0"/>
                <w:iCs w:val="0"/>
                <w:color w:val="000000"/>
                <w:sz w:val="20"/>
                <w:szCs w:val="20"/>
                <w:u w:val="none"/>
              </w:rPr>
            </w:pPr>
          </w:p>
        </w:tc>
      </w:tr>
      <w:tr w14:paraId="3BF2E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31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A8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6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18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安装路灯数量</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8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C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=100盏</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40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46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30524">
            <w:pPr>
              <w:jc w:val="center"/>
              <w:rPr>
                <w:rFonts w:hint="eastAsia" w:ascii="宋体" w:hAnsi="宋体" w:eastAsia="宋体" w:cs="宋体"/>
                <w:i w:val="0"/>
                <w:iCs w:val="0"/>
                <w:color w:val="000000"/>
                <w:sz w:val="20"/>
                <w:szCs w:val="20"/>
                <w:u w:val="none"/>
              </w:rPr>
            </w:pPr>
          </w:p>
        </w:tc>
      </w:tr>
      <w:tr w14:paraId="4034C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6B106">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0FC40">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F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A5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竣工验收合格率（%）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D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5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A0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A4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4280F">
            <w:pPr>
              <w:jc w:val="center"/>
              <w:rPr>
                <w:rFonts w:hint="eastAsia" w:ascii="宋体" w:hAnsi="宋体" w:eastAsia="宋体" w:cs="宋体"/>
                <w:i w:val="0"/>
                <w:iCs w:val="0"/>
                <w:color w:val="000000"/>
                <w:sz w:val="20"/>
                <w:szCs w:val="20"/>
                <w:u w:val="none"/>
              </w:rPr>
            </w:pPr>
          </w:p>
        </w:tc>
      </w:tr>
      <w:tr w14:paraId="01F9B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84292">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36500">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4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58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项目计划开工时间</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8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2024年5月1日</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F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=2024年5月1日</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776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0E8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B91E9">
            <w:pPr>
              <w:jc w:val="center"/>
              <w:rPr>
                <w:rFonts w:hint="eastAsia" w:ascii="宋体" w:hAnsi="宋体" w:eastAsia="宋体" w:cs="宋体"/>
                <w:i w:val="0"/>
                <w:iCs w:val="0"/>
                <w:color w:val="000000"/>
                <w:sz w:val="20"/>
                <w:szCs w:val="20"/>
                <w:u w:val="none"/>
              </w:rPr>
            </w:pPr>
          </w:p>
        </w:tc>
      </w:tr>
      <w:tr w14:paraId="31502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75612">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86A44">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A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6D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项目计划完工时间</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0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2024年6月30日</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5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2024年6月27日</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79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8D1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008B8">
            <w:pPr>
              <w:jc w:val="center"/>
              <w:rPr>
                <w:rFonts w:hint="eastAsia" w:ascii="宋体" w:hAnsi="宋体" w:eastAsia="宋体" w:cs="宋体"/>
                <w:i w:val="0"/>
                <w:iCs w:val="0"/>
                <w:color w:val="000000"/>
                <w:sz w:val="20"/>
                <w:szCs w:val="20"/>
                <w:u w:val="none"/>
              </w:rPr>
            </w:pPr>
          </w:p>
        </w:tc>
      </w:tr>
      <w:tr w14:paraId="5DB2C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16E3">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F8E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1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A2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安装路灯等标准</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2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3200元/盏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A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=3200元/盏</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3F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CC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A1EDE6">
            <w:pPr>
              <w:jc w:val="center"/>
              <w:rPr>
                <w:rFonts w:hint="eastAsia" w:ascii="宋体" w:hAnsi="宋体" w:eastAsia="宋体" w:cs="宋体"/>
                <w:i w:val="0"/>
                <w:iCs w:val="0"/>
                <w:color w:val="000000"/>
                <w:sz w:val="20"/>
                <w:szCs w:val="20"/>
                <w:u w:val="none"/>
              </w:rPr>
            </w:pPr>
          </w:p>
        </w:tc>
      </w:tr>
      <w:tr w14:paraId="51EFD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35EC3">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B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5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86D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受益户数</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3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&gt;=8户</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0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=8户</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A5C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9F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1E62E">
            <w:pPr>
              <w:jc w:val="center"/>
              <w:rPr>
                <w:rFonts w:hint="eastAsia" w:ascii="宋体" w:hAnsi="宋体" w:eastAsia="宋体" w:cs="宋体"/>
                <w:i w:val="0"/>
                <w:iCs w:val="0"/>
                <w:color w:val="000000"/>
                <w:sz w:val="20"/>
                <w:szCs w:val="20"/>
                <w:u w:val="none"/>
              </w:rPr>
            </w:pPr>
          </w:p>
        </w:tc>
      </w:tr>
      <w:tr w14:paraId="57358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513A1">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5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5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072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6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A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4C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3C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F22EB">
            <w:pPr>
              <w:jc w:val="center"/>
              <w:rPr>
                <w:rFonts w:hint="eastAsia" w:ascii="宋体" w:hAnsi="宋体" w:eastAsia="宋体" w:cs="宋体"/>
                <w:i w:val="0"/>
                <w:iCs w:val="0"/>
                <w:color w:val="000000"/>
                <w:sz w:val="20"/>
                <w:szCs w:val="20"/>
                <w:u w:val="none"/>
              </w:rPr>
            </w:pPr>
          </w:p>
        </w:tc>
      </w:tr>
      <w:tr w14:paraId="3D70C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0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7BEC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82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2D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90分</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24B32">
            <w:pPr>
              <w:jc w:val="center"/>
              <w:rPr>
                <w:rFonts w:hint="eastAsia" w:ascii="宋体" w:hAnsi="宋体" w:eastAsia="宋体" w:cs="宋体"/>
                <w:i w:val="0"/>
                <w:iCs w:val="0"/>
                <w:color w:val="000000"/>
                <w:sz w:val="20"/>
                <w:szCs w:val="20"/>
                <w:u w:val="none"/>
              </w:rPr>
            </w:pPr>
          </w:p>
        </w:tc>
      </w:tr>
      <w:tr w14:paraId="48D6D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980" w:type="dxa"/>
            <w:gridSpan w:val="2"/>
            <w:tcBorders>
              <w:top w:val="single" w:color="000000" w:sz="4" w:space="0"/>
              <w:left w:val="nil"/>
              <w:bottom w:val="nil"/>
              <w:right w:val="nil"/>
            </w:tcBorders>
            <w:shd w:val="clear" w:color="auto" w:fill="auto"/>
            <w:vAlign w:val="center"/>
          </w:tcPr>
          <w:p w14:paraId="72FEEEFE">
            <w:pPr>
              <w:jc w:val="right"/>
              <w:rPr>
                <w:rFonts w:hint="eastAsia" w:ascii="宋体" w:hAnsi="宋体" w:eastAsia="宋体" w:cs="宋体"/>
                <w:i w:val="0"/>
                <w:iCs w:val="0"/>
                <w:color w:val="000000"/>
                <w:sz w:val="20"/>
                <w:szCs w:val="20"/>
                <w:u w:val="none"/>
              </w:rPr>
            </w:pPr>
          </w:p>
        </w:tc>
        <w:tc>
          <w:tcPr>
            <w:tcW w:w="2901" w:type="dxa"/>
            <w:gridSpan w:val="3"/>
            <w:tcBorders>
              <w:top w:val="single" w:color="000000" w:sz="4" w:space="0"/>
              <w:left w:val="nil"/>
              <w:bottom w:val="nil"/>
              <w:right w:val="nil"/>
            </w:tcBorders>
            <w:shd w:val="clear" w:color="auto" w:fill="auto"/>
            <w:vAlign w:val="center"/>
          </w:tcPr>
          <w:p w14:paraId="49F70E27">
            <w:pPr>
              <w:jc w:val="left"/>
              <w:rPr>
                <w:rFonts w:hint="eastAsia" w:ascii="宋体" w:hAnsi="宋体" w:eastAsia="宋体" w:cs="宋体"/>
                <w:i w:val="0"/>
                <w:iCs w:val="0"/>
                <w:color w:val="000000"/>
                <w:sz w:val="20"/>
                <w:szCs w:val="20"/>
                <w:u w:val="none"/>
              </w:rPr>
            </w:pPr>
          </w:p>
        </w:tc>
        <w:tc>
          <w:tcPr>
            <w:tcW w:w="3975" w:type="dxa"/>
            <w:gridSpan w:val="4"/>
            <w:tcBorders>
              <w:top w:val="single" w:color="000000" w:sz="4" w:space="0"/>
              <w:left w:val="nil"/>
              <w:bottom w:val="nil"/>
              <w:right w:val="nil"/>
            </w:tcBorders>
            <w:shd w:val="clear" w:color="auto" w:fill="auto"/>
            <w:vAlign w:val="center"/>
          </w:tcPr>
          <w:p w14:paraId="74DECCC1">
            <w:pPr>
              <w:jc w:val="right"/>
              <w:rPr>
                <w:rFonts w:hint="eastAsia" w:ascii="宋体" w:hAnsi="宋体" w:eastAsia="宋体" w:cs="宋体"/>
                <w:i w:val="0"/>
                <w:iCs w:val="0"/>
                <w:color w:val="000000"/>
                <w:sz w:val="20"/>
                <w:szCs w:val="20"/>
                <w:u w:val="none"/>
              </w:rPr>
            </w:pPr>
          </w:p>
        </w:tc>
        <w:tc>
          <w:tcPr>
            <w:tcW w:w="3726" w:type="dxa"/>
            <w:gridSpan w:val="5"/>
            <w:tcBorders>
              <w:top w:val="single" w:color="000000" w:sz="4" w:space="0"/>
              <w:left w:val="nil"/>
              <w:bottom w:val="nil"/>
              <w:right w:val="nil"/>
            </w:tcBorders>
            <w:shd w:val="clear" w:color="auto" w:fill="auto"/>
            <w:vAlign w:val="center"/>
          </w:tcPr>
          <w:p w14:paraId="35273F0F">
            <w:pPr>
              <w:jc w:val="left"/>
              <w:rPr>
                <w:rFonts w:hint="eastAsia" w:ascii="宋体" w:hAnsi="宋体" w:eastAsia="宋体" w:cs="宋体"/>
                <w:i w:val="0"/>
                <w:iCs w:val="0"/>
                <w:color w:val="000000"/>
                <w:sz w:val="20"/>
                <w:szCs w:val="20"/>
                <w:u w:val="none"/>
              </w:rPr>
            </w:pPr>
          </w:p>
        </w:tc>
      </w:tr>
      <w:tr w14:paraId="0BF3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gridSpan w:val="2"/>
            <w:tcBorders>
              <w:top w:val="nil"/>
              <w:left w:val="nil"/>
              <w:bottom w:val="nil"/>
              <w:right w:val="nil"/>
            </w:tcBorders>
            <w:shd w:val="clear" w:color="auto" w:fill="auto"/>
            <w:noWrap/>
            <w:vAlign w:val="center"/>
          </w:tcPr>
          <w:p w14:paraId="5E61E924">
            <w:pPr>
              <w:jc w:val="right"/>
              <w:rPr>
                <w:rFonts w:hint="eastAsia" w:ascii="宋体" w:hAnsi="宋体" w:eastAsia="宋体" w:cs="宋体"/>
                <w:i w:val="0"/>
                <w:iCs w:val="0"/>
                <w:color w:val="000000"/>
                <w:sz w:val="20"/>
                <w:szCs w:val="20"/>
                <w:u w:val="none"/>
              </w:rPr>
            </w:pPr>
          </w:p>
        </w:tc>
        <w:tc>
          <w:tcPr>
            <w:tcW w:w="0" w:type="auto"/>
            <w:gridSpan w:val="3"/>
            <w:tcBorders>
              <w:top w:val="nil"/>
              <w:left w:val="nil"/>
              <w:bottom w:val="nil"/>
              <w:right w:val="nil"/>
            </w:tcBorders>
            <w:shd w:val="clear" w:color="auto" w:fill="auto"/>
            <w:noWrap/>
            <w:vAlign w:val="center"/>
          </w:tcPr>
          <w:p w14:paraId="76A589A3">
            <w:pPr>
              <w:jc w:val="left"/>
              <w:rPr>
                <w:rFonts w:hint="eastAsia" w:ascii="宋体" w:hAnsi="宋体" w:eastAsia="宋体" w:cs="宋体"/>
                <w:i w:val="0"/>
                <w:iCs w:val="0"/>
                <w:color w:val="000000"/>
                <w:sz w:val="20"/>
                <w:szCs w:val="20"/>
                <w:u w:val="none"/>
              </w:rPr>
            </w:pPr>
          </w:p>
        </w:tc>
        <w:tc>
          <w:tcPr>
            <w:tcW w:w="0" w:type="auto"/>
            <w:gridSpan w:val="4"/>
            <w:tcBorders>
              <w:top w:val="nil"/>
              <w:left w:val="nil"/>
              <w:bottom w:val="nil"/>
              <w:right w:val="nil"/>
            </w:tcBorders>
            <w:shd w:val="clear" w:color="auto" w:fill="auto"/>
            <w:noWrap/>
            <w:vAlign w:val="center"/>
          </w:tcPr>
          <w:p w14:paraId="545CE564">
            <w:pPr>
              <w:jc w:val="right"/>
              <w:rPr>
                <w:rFonts w:hint="eastAsia" w:ascii="宋体" w:hAnsi="宋体" w:eastAsia="宋体" w:cs="宋体"/>
                <w:i w:val="0"/>
                <w:iCs w:val="0"/>
                <w:color w:val="000000"/>
                <w:sz w:val="20"/>
                <w:szCs w:val="20"/>
                <w:u w:val="none"/>
              </w:rPr>
            </w:pPr>
          </w:p>
        </w:tc>
        <w:tc>
          <w:tcPr>
            <w:tcW w:w="0" w:type="auto"/>
            <w:gridSpan w:val="5"/>
            <w:tcBorders>
              <w:top w:val="nil"/>
              <w:left w:val="nil"/>
              <w:bottom w:val="nil"/>
              <w:right w:val="nil"/>
            </w:tcBorders>
            <w:shd w:val="clear" w:color="auto" w:fill="auto"/>
            <w:noWrap/>
            <w:vAlign w:val="center"/>
          </w:tcPr>
          <w:p w14:paraId="2BB09F3C">
            <w:pPr>
              <w:jc w:val="left"/>
              <w:rPr>
                <w:rFonts w:hint="eastAsia" w:ascii="宋体" w:hAnsi="宋体" w:eastAsia="宋体" w:cs="宋体"/>
                <w:i w:val="0"/>
                <w:iCs w:val="0"/>
                <w:color w:val="000000"/>
                <w:sz w:val="20"/>
                <w:szCs w:val="20"/>
                <w:u w:val="none"/>
              </w:rPr>
            </w:pPr>
          </w:p>
        </w:tc>
      </w:tr>
    </w:tbl>
    <w:p w14:paraId="195A191B">
      <w:pPr>
        <w:rPr>
          <w:rFonts w:hint="eastAsia" w:ascii="Times New Roman" w:hAnsi="Times New Roman" w:eastAsia="宋体" w:cs="Times New Roman"/>
          <w:lang w:eastAsia="zh-C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0B2750B">
        <w:pPr>
          <w:pStyle w:val="7"/>
          <w:jc w:val="center"/>
        </w:pPr>
        <w:r>
          <w:fldChar w:fldCharType="begin"/>
        </w:r>
        <w:r>
          <w:instrText xml:space="preserve">PAGE   \* MERGEFORMAT</w:instrText>
        </w:r>
        <w:r>
          <w:fldChar w:fldCharType="separate"/>
        </w:r>
        <w:r>
          <w:rPr>
            <w:lang w:val="zh-CN"/>
          </w:rPr>
          <w:t>13</w:t>
        </w:r>
        <w:r>
          <w:fldChar w:fldCharType="end"/>
        </w:r>
      </w:p>
    </w:sdtContent>
  </w:sdt>
  <w:p w14:paraId="7B935C7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EB88BA"/>
    <w:multiLevelType w:val="singleLevel"/>
    <w:tmpl w:val="A7EB88BA"/>
    <w:lvl w:ilvl="0" w:tentative="0">
      <w:start w:val="1"/>
      <w:numFmt w:val="decimal"/>
      <w:lvlText w:val="%1."/>
      <w:lvlJc w:val="left"/>
      <w:pPr>
        <w:tabs>
          <w:tab w:val="left" w:pos="312"/>
        </w:tabs>
      </w:p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3C619F"/>
    <w:rsid w:val="0F6273CA"/>
    <w:rsid w:val="100F38EC"/>
    <w:rsid w:val="11170296"/>
    <w:rsid w:val="12C66037"/>
    <w:rsid w:val="12CD1ABC"/>
    <w:rsid w:val="13471461"/>
    <w:rsid w:val="13B90F01"/>
    <w:rsid w:val="155E4C4D"/>
    <w:rsid w:val="17A96FF0"/>
    <w:rsid w:val="181066D2"/>
    <w:rsid w:val="18AD2B2C"/>
    <w:rsid w:val="1B04778F"/>
    <w:rsid w:val="1C671E73"/>
    <w:rsid w:val="1D322C47"/>
    <w:rsid w:val="1F36617D"/>
    <w:rsid w:val="212A043A"/>
    <w:rsid w:val="22290DFD"/>
    <w:rsid w:val="23616034"/>
    <w:rsid w:val="23696C97"/>
    <w:rsid w:val="24480FA2"/>
    <w:rsid w:val="25227A45"/>
    <w:rsid w:val="26AC3A6A"/>
    <w:rsid w:val="2B9D7E25"/>
    <w:rsid w:val="2C7C7A3B"/>
    <w:rsid w:val="2F364819"/>
    <w:rsid w:val="2FD63906"/>
    <w:rsid w:val="353409E0"/>
    <w:rsid w:val="37215DAE"/>
    <w:rsid w:val="38CA40DD"/>
    <w:rsid w:val="395F2B56"/>
    <w:rsid w:val="3B482032"/>
    <w:rsid w:val="3BBA0580"/>
    <w:rsid w:val="3BECE841"/>
    <w:rsid w:val="3CDE204C"/>
    <w:rsid w:val="3D363C36"/>
    <w:rsid w:val="3E9C3F6D"/>
    <w:rsid w:val="3FF7797D"/>
    <w:rsid w:val="42F16CBA"/>
    <w:rsid w:val="46690BD8"/>
    <w:rsid w:val="49F70BF1"/>
    <w:rsid w:val="4B4340EE"/>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175904"/>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1480</Words>
  <Characters>1524</Characters>
  <Lines>58</Lines>
  <Paragraphs>16</Paragraphs>
  <TotalTime>6</TotalTime>
  <ScaleCrop>false</ScaleCrop>
  <LinksUpToDate>false</LinksUpToDate>
  <CharactersWithSpaces>1527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2025-05-08T03:37:59Z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2E409AB917FC41BDB63774A3B97F2151_13</vt:lpwstr>
  </property>
  <property fmtid="{D5CDD505-2E9C-101B-9397-08002B2CF9AE}" pid="4" name="KSOTemplateDocerSaveRecord">
    <vt:lpwstr>eyJoZGlkIjoiZGU2OWVkNjVhNTc2NTNjNjZhOGJlZWQ2NTc3Njc5NGQiLCJ1c2VySWQiOiIzODQzMzMyOTcifQ==</vt:lpwstr>
  </property>
</Properties>
</file>