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9116D">
      <w:pPr>
        <w:spacing w:line="540" w:lineRule="exact"/>
        <w:jc w:val="both"/>
        <w:rPr>
          <w:rFonts w:hint="default" w:ascii="Times New Roman" w:hAnsi="Times New Roman" w:eastAsia="华文中宋" w:cs="Times New Roman"/>
          <w:b/>
          <w:color w:val="auto"/>
          <w:kern w:val="0"/>
          <w:sz w:val="52"/>
          <w:szCs w:val="52"/>
          <w:highlight w:val="none"/>
        </w:rPr>
      </w:pPr>
    </w:p>
    <w:p w14:paraId="2303182A">
      <w:pPr>
        <w:spacing w:line="540" w:lineRule="exact"/>
        <w:jc w:val="center"/>
        <w:rPr>
          <w:rFonts w:hint="default" w:ascii="Times New Roman" w:hAnsi="Times New Roman" w:eastAsia="华文中宋" w:cs="Times New Roman"/>
          <w:b/>
          <w:color w:val="auto"/>
          <w:kern w:val="0"/>
          <w:sz w:val="52"/>
          <w:szCs w:val="52"/>
          <w:highlight w:val="none"/>
        </w:rPr>
      </w:pPr>
    </w:p>
    <w:p w14:paraId="20B942A2">
      <w:pPr>
        <w:spacing w:line="540" w:lineRule="exact"/>
        <w:rPr>
          <w:rFonts w:hint="default" w:ascii="Times New Roman" w:hAnsi="Times New Roman" w:eastAsia="华文中宋" w:cs="Times New Roman"/>
          <w:b/>
          <w:color w:val="auto"/>
          <w:kern w:val="0"/>
          <w:sz w:val="52"/>
          <w:szCs w:val="52"/>
          <w:highlight w:val="none"/>
        </w:rPr>
      </w:pPr>
    </w:p>
    <w:p w14:paraId="565F0283">
      <w:pPr>
        <w:spacing w:line="540" w:lineRule="exact"/>
        <w:jc w:val="center"/>
        <w:rPr>
          <w:rFonts w:hint="default" w:ascii="Times New Roman" w:hAnsi="Times New Roman" w:eastAsia="华文中宋" w:cs="Times New Roman"/>
          <w:b/>
          <w:color w:val="auto"/>
          <w:kern w:val="0"/>
          <w:sz w:val="52"/>
          <w:szCs w:val="52"/>
          <w:highlight w:val="none"/>
        </w:rPr>
      </w:pPr>
    </w:p>
    <w:p w14:paraId="0CD26391">
      <w:pPr>
        <w:spacing w:line="540" w:lineRule="exact"/>
        <w:jc w:val="center"/>
        <w:rPr>
          <w:rFonts w:hint="default" w:ascii="Times New Roman" w:hAnsi="Times New Roman" w:eastAsia="华文中宋" w:cs="Times New Roman"/>
          <w:b/>
          <w:color w:val="auto"/>
          <w:kern w:val="0"/>
          <w:sz w:val="52"/>
          <w:szCs w:val="52"/>
          <w:highlight w:val="none"/>
        </w:rPr>
      </w:pPr>
    </w:p>
    <w:p w14:paraId="72E23548">
      <w:pPr>
        <w:spacing w:line="540" w:lineRule="exact"/>
        <w:jc w:val="center"/>
        <w:rPr>
          <w:rFonts w:hint="eastAsia" w:ascii="微软雅黑" w:hAnsi="微软雅黑" w:eastAsia="微软雅黑" w:cs="微软雅黑"/>
          <w:color w:val="auto"/>
          <w:kern w:val="0"/>
          <w:sz w:val="48"/>
          <w:szCs w:val="48"/>
          <w:highlight w:val="none"/>
          <w:lang w:val="en-US" w:eastAsia="zh-CN"/>
        </w:rPr>
      </w:pPr>
      <w:r>
        <w:rPr>
          <w:rFonts w:hint="eastAsia" w:ascii="微软雅黑" w:hAnsi="微软雅黑" w:eastAsia="微软雅黑" w:cs="微软雅黑"/>
          <w:color w:val="auto"/>
          <w:kern w:val="0"/>
          <w:sz w:val="48"/>
          <w:szCs w:val="48"/>
          <w:highlight w:val="none"/>
          <w:lang w:val="en-US" w:eastAsia="zh-CN"/>
        </w:rPr>
        <w:t>2024年城乡义务教育补助经费-小学公用经</w:t>
      </w:r>
    </w:p>
    <w:p w14:paraId="0FB78116">
      <w:pPr>
        <w:spacing w:line="540" w:lineRule="exact"/>
        <w:jc w:val="center"/>
        <w:rPr>
          <w:rFonts w:hint="default" w:ascii="Times New Roman" w:hAnsi="Times New Roman" w:eastAsia="方正小标宋_GBK" w:cs="Times New Roman"/>
          <w:color w:val="auto"/>
          <w:kern w:val="0"/>
          <w:sz w:val="48"/>
          <w:szCs w:val="48"/>
          <w:highlight w:val="none"/>
        </w:rPr>
      </w:pPr>
      <w:r>
        <w:rPr>
          <w:rFonts w:hint="eastAsia" w:ascii="微软雅黑" w:hAnsi="微软雅黑" w:eastAsia="微软雅黑" w:cs="微软雅黑"/>
          <w:color w:val="auto"/>
          <w:kern w:val="0"/>
          <w:sz w:val="48"/>
          <w:szCs w:val="48"/>
          <w:highlight w:val="none"/>
        </w:rPr>
        <w:t>项目支出绩效评价报告</w:t>
      </w:r>
    </w:p>
    <w:p w14:paraId="39356497">
      <w:pPr>
        <w:spacing w:line="540" w:lineRule="exact"/>
        <w:jc w:val="center"/>
        <w:rPr>
          <w:rFonts w:hint="default" w:ascii="Times New Roman" w:hAnsi="Times New Roman" w:eastAsia="华文中宋" w:cs="Times New Roman"/>
          <w:b/>
          <w:color w:val="auto"/>
          <w:kern w:val="0"/>
          <w:sz w:val="52"/>
          <w:szCs w:val="52"/>
          <w:highlight w:val="none"/>
        </w:rPr>
      </w:pPr>
    </w:p>
    <w:p w14:paraId="36C8D43A">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7BEF1BC8">
      <w:pPr>
        <w:spacing w:line="540" w:lineRule="exact"/>
        <w:jc w:val="center"/>
        <w:rPr>
          <w:rFonts w:hint="default" w:ascii="Times New Roman" w:hAnsi="Times New Roman" w:eastAsia="仿宋_GB2312" w:cs="Times New Roman"/>
          <w:color w:val="auto"/>
          <w:kern w:val="0"/>
          <w:sz w:val="30"/>
          <w:szCs w:val="30"/>
          <w:highlight w:val="none"/>
        </w:rPr>
      </w:pPr>
    </w:p>
    <w:p w14:paraId="3AEE5A52">
      <w:pPr>
        <w:spacing w:line="540" w:lineRule="exact"/>
        <w:jc w:val="center"/>
        <w:rPr>
          <w:rFonts w:hint="default" w:ascii="Times New Roman" w:hAnsi="Times New Roman" w:eastAsia="仿宋_GB2312" w:cs="Times New Roman"/>
          <w:color w:val="auto"/>
          <w:kern w:val="0"/>
          <w:sz w:val="30"/>
          <w:szCs w:val="30"/>
          <w:highlight w:val="none"/>
        </w:rPr>
      </w:pPr>
    </w:p>
    <w:p w14:paraId="58136807">
      <w:pPr>
        <w:spacing w:line="540" w:lineRule="exact"/>
        <w:rPr>
          <w:rFonts w:hint="default" w:ascii="Times New Roman" w:hAnsi="Times New Roman" w:eastAsia="仿宋_GB2312" w:cs="Times New Roman"/>
          <w:color w:val="auto"/>
          <w:kern w:val="0"/>
          <w:sz w:val="30"/>
          <w:szCs w:val="30"/>
          <w:highlight w:val="none"/>
        </w:rPr>
      </w:pPr>
    </w:p>
    <w:p w14:paraId="2D461257">
      <w:pPr>
        <w:spacing w:line="700" w:lineRule="exact"/>
        <w:ind w:left="3958" w:leftChars="342" w:hanging="3240" w:hangingChars="9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项目名称：</w:t>
      </w:r>
      <w:bookmarkStart w:id="3" w:name="_GoBack"/>
      <w:r>
        <w:rPr>
          <w:rFonts w:hint="eastAsia" w:ascii="Times New Roman" w:hAnsi="Times New Roman" w:eastAsia="仿宋_GB2312" w:cs="Times New Roman"/>
          <w:color w:val="auto"/>
          <w:kern w:val="0"/>
          <w:sz w:val="36"/>
          <w:szCs w:val="36"/>
          <w:highlight w:val="none"/>
          <w:lang w:val="en-US" w:eastAsia="zh-CN"/>
        </w:rPr>
        <w:t>2024年城乡义务教育补助经费-小学公用</w:t>
      </w:r>
      <w:r>
        <w:rPr>
          <w:rFonts w:hint="eastAsia" w:eastAsia="仿宋_GB2312" w:cs="Times New Roman"/>
          <w:color w:val="auto"/>
          <w:kern w:val="0"/>
          <w:sz w:val="36"/>
          <w:szCs w:val="36"/>
          <w:highlight w:val="none"/>
          <w:lang w:val="en-US" w:eastAsia="zh-CN"/>
        </w:rPr>
        <w:t>经费</w:t>
      </w:r>
    </w:p>
    <w:bookmarkEnd w:id="3"/>
    <w:p w14:paraId="4F87F20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720" w:firstLineChars="200"/>
        <w:textAlignment w:val="auto"/>
        <w:outlineLvl w:val="9"/>
        <w:rPr>
          <w:rFonts w:hint="default"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实施单位（公章）：</w:t>
      </w:r>
      <w:r>
        <w:rPr>
          <w:rFonts w:hint="default" w:eastAsia="仿宋_GB2312" w:cs="Times New Roman"/>
          <w:color w:val="auto"/>
          <w:kern w:val="0"/>
          <w:sz w:val="36"/>
          <w:szCs w:val="36"/>
          <w:highlight w:val="none"/>
          <w:lang w:eastAsia="zh-CN"/>
        </w:rPr>
        <w:t>奇台县</w:t>
      </w:r>
      <w:r>
        <w:rPr>
          <w:rFonts w:hint="eastAsia" w:eastAsia="仿宋_GB2312" w:cs="Times New Roman"/>
          <w:color w:val="auto"/>
          <w:kern w:val="0"/>
          <w:sz w:val="36"/>
          <w:szCs w:val="36"/>
          <w:highlight w:val="none"/>
          <w:lang w:eastAsia="zh-CN"/>
        </w:rPr>
        <w:t>大泉塔塔尔族乡</w:t>
      </w:r>
      <w:r>
        <w:rPr>
          <w:rFonts w:hint="default" w:eastAsia="仿宋_GB2312" w:cs="Times New Roman"/>
          <w:color w:val="auto"/>
          <w:kern w:val="0"/>
          <w:sz w:val="36"/>
          <w:szCs w:val="36"/>
          <w:highlight w:val="none"/>
          <w:lang w:eastAsia="zh-CN"/>
        </w:rPr>
        <w:t>中心学校</w:t>
      </w:r>
    </w:p>
    <w:p w14:paraId="19998BB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720" w:firstLineChars="200"/>
        <w:textAlignment w:val="auto"/>
        <w:outlineLvl w:val="9"/>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主管部门（公章）：</w:t>
      </w:r>
      <w:r>
        <w:rPr>
          <w:rFonts w:hint="eastAsia" w:ascii="Times New Roman" w:hAnsi="Times New Roman" w:eastAsia="仿宋_GB2312" w:cs="Times New Roman"/>
          <w:color w:val="auto"/>
          <w:kern w:val="0"/>
          <w:sz w:val="36"/>
          <w:szCs w:val="36"/>
          <w:highlight w:val="none"/>
          <w:lang w:val="en-US" w:eastAsia="zh-CN"/>
        </w:rPr>
        <w:t>奇台县教育局</w:t>
      </w:r>
    </w:p>
    <w:p w14:paraId="68B3A92D">
      <w:pPr>
        <w:spacing w:line="700" w:lineRule="exact"/>
        <w:ind w:firstLine="720" w:firstLineChars="200"/>
        <w:jc w:val="left"/>
        <w:rPr>
          <w:rFonts w:hint="eastAsia"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eastAsia="zh-CN"/>
        </w:rPr>
        <w:t>李阳</w:t>
      </w:r>
    </w:p>
    <w:p w14:paraId="3E1E105E">
      <w:pPr>
        <w:spacing w:line="700" w:lineRule="exact"/>
        <w:ind w:firstLine="720" w:firstLineChars="2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5</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6</w:t>
      </w:r>
      <w:r>
        <w:rPr>
          <w:rFonts w:hint="default" w:ascii="Times New Roman" w:hAnsi="Times New Roman" w:eastAsia="仿宋_GB2312" w:cs="Times New Roman"/>
          <w:color w:val="auto"/>
          <w:kern w:val="0"/>
          <w:sz w:val="36"/>
          <w:szCs w:val="36"/>
          <w:highlight w:val="none"/>
        </w:rPr>
        <w:t>日</w:t>
      </w:r>
    </w:p>
    <w:p w14:paraId="3165ED1E">
      <w:pPr>
        <w:spacing w:line="540" w:lineRule="exact"/>
        <w:jc w:val="center"/>
        <w:rPr>
          <w:rFonts w:hint="default" w:ascii="Times New Roman" w:hAnsi="Times New Roman" w:eastAsia="仿宋_GB2312" w:cs="Times New Roman"/>
          <w:color w:val="auto"/>
          <w:kern w:val="0"/>
          <w:sz w:val="30"/>
          <w:szCs w:val="30"/>
          <w:highlight w:val="none"/>
        </w:rPr>
      </w:pPr>
    </w:p>
    <w:p w14:paraId="1D1C157F">
      <w:pPr>
        <w:spacing w:line="540" w:lineRule="exact"/>
        <w:rPr>
          <w:rStyle w:val="16"/>
          <w:rFonts w:hint="default" w:ascii="Times New Roman" w:hAnsi="Times New Roman" w:eastAsia="黑体" w:cs="Times New Roman"/>
          <w:b w:val="0"/>
          <w:color w:val="auto"/>
          <w:spacing w:val="-4"/>
          <w:sz w:val="32"/>
          <w:szCs w:val="32"/>
          <w:highlight w:val="none"/>
        </w:rPr>
      </w:pPr>
    </w:p>
    <w:p w14:paraId="1194B7D0">
      <w:pPr>
        <w:spacing w:line="540" w:lineRule="exact"/>
        <w:ind w:firstLine="640"/>
        <w:rPr>
          <w:rStyle w:val="16"/>
          <w:rFonts w:hint="default" w:ascii="Times New Roman" w:hAnsi="Times New Roman" w:eastAsia="黑体" w:cs="Times New Roman"/>
          <w:b w:val="0"/>
          <w:color w:val="auto"/>
          <w:spacing w:val="-4"/>
          <w:sz w:val="32"/>
          <w:szCs w:val="32"/>
          <w:highlight w:val="none"/>
        </w:rPr>
      </w:pPr>
    </w:p>
    <w:p w14:paraId="7AD63A23">
      <w:pPr>
        <w:spacing w:line="540" w:lineRule="exact"/>
        <w:rPr>
          <w:rStyle w:val="16"/>
          <w:rFonts w:hint="default" w:ascii="Times New Roman" w:hAnsi="Times New Roman" w:eastAsia="黑体" w:cs="Times New Roman"/>
          <w:b w:val="0"/>
          <w:color w:val="auto"/>
          <w:spacing w:val="-4"/>
          <w:sz w:val="32"/>
          <w:szCs w:val="32"/>
          <w:highlight w:val="none"/>
        </w:rPr>
      </w:pPr>
    </w:p>
    <w:p w14:paraId="59610BB4">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14:paraId="5C17F8B3">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3FCF0B06">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16F24590">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78B903D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昌州财教【2023】90号《关于提前下达2024年城乡义务教育补助经费预算[中央直达资金]的通知》，昌州财教【2023】95号《关于提前下达2024年城乡义务教育补助经费[自治区直达资金]的通知》</w:t>
      </w:r>
      <w:r>
        <w:rPr>
          <w:rFonts w:hint="eastAsia" w:eastAsia="仿宋_GB2312" w:cs="Times New Roman"/>
          <w:color w:val="auto"/>
          <w:sz w:val="32"/>
          <w:szCs w:val="32"/>
          <w:highlight w:val="none"/>
          <w:lang w:val="en-US" w:eastAsia="zh-CN"/>
        </w:rPr>
        <w:t>-小学公用经费</w:t>
      </w:r>
      <w:r>
        <w:rPr>
          <w:rFonts w:hint="eastAsia" w:ascii="Times New Roman" w:hAnsi="Times New Roman" w:eastAsia="仿宋_GB2312" w:cs="Times New Roman"/>
          <w:color w:val="auto"/>
          <w:sz w:val="32"/>
          <w:szCs w:val="32"/>
          <w:highlight w:val="none"/>
          <w:lang w:val="en-US" w:eastAsia="zh-CN"/>
        </w:rPr>
        <w:t>用于改善学校办学条件， 拟投入</w:t>
      </w:r>
      <w:r>
        <w:rPr>
          <w:rFonts w:hint="eastAsia" w:eastAsia="仿宋_GB2312" w:cs="Times New Roman"/>
          <w:color w:val="auto"/>
          <w:sz w:val="32"/>
          <w:szCs w:val="32"/>
          <w:highlight w:val="none"/>
          <w:lang w:val="en-US" w:eastAsia="zh-CN"/>
        </w:rPr>
        <w:t>28.37</w:t>
      </w:r>
      <w:r>
        <w:rPr>
          <w:rFonts w:hint="eastAsia" w:ascii="Times New Roman" w:hAnsi="Times New Roman" w:eastAsia="仿宋_GB2312" w:cs="Times New Roman"/>
          <w:color w:val="auto"/>
          <w:sz w:val="32"/>
          <w:szCs w:val="32"/>
          <w:highlight w:val="none"/>
          <w:lang w:val="en-US" w:eastAsia="zh-CN"/>
        </w:rPr>
        <w:t>元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可持续影响，属于财政资金支持范围。，广大师生员工的教学环境得到改善 校舍安全工程项目可行性报告，为了改善教学环境，保证师生生活质量，建设此项目.</w:t>
      </w:r>
    </w:p>
    <w:p w14:paraId="79038CB4">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4345A6E7">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昌州财教【2023】90号《关于提前下达2024年城乡义务教育补助经费预算[中央直达资金]的通知》</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昌州财教【2023】95号《关于提前下达2024年城乡义务教育补助经费[自治区直达资金]的通知》</w:t>
      </w:r>
      <w:r>
        <w:rPr>
          <w:rFonts w:hint="eastAsia" w:eastAsia="仿宋_GB2312" w:cs="Times New Roman"/>
          <w:color w:val="auto"/>
          <w:sz w:val="32"/>
          <w:szCs w:val="32"/>
          <w:highlight w:val="none"/>
          <w:lang w:val="en-US" w:eastAsia="zh-CN"/>
        </w:rPr>
        <w:t>-小学公用经费</w:t>
      </w:r>
      <w:r>
        <w:rPr>
          <w:rFonts w:hint="eastAsia" w:ascii="Times New Roman" w:hAnsi="Times New Roman" w:eastAsia="仿宋_GB2312" w:cs="Times New Roman"/>
          <w:color w:val="auto"/>
          <w:sz w:val="32"/>
          <w:szCs w:val="32"/>
          <w:highlight w:val="none"/>
          <w:lang w:val="en-US" w:eastAsia="zh-CN"/>
        </w:rPr>
        <w:t>，维修工程数量</w:t>
      </w:r>
      <w:r>
        <w:rPr>
          <w:rFonts w:hint="eastAsia" w:eastAsia="仿宋_GB2312" w:cs="Times New Roman"/>
          <w:color w:val="auto"/>
          <w:sz w:val="32"/>
          <w:szCs w:val="32"/>
          <w:highlight w:val="none"/>
          <w:lang w:val="en-US" w:eastAsia="zh-CN"/>
        </w:rPr>
        <w:t>5次</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主要用于奇台县大泉塔塔尔族乡中心学校日常办公开支、设备维修，水、电、网费等。</w:t>
      </w:r>
    </w:p>
    <w:p w14:paraId="478EF216">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项目实施情况：</w:t>
      </w:r>
      <w:r>
        <w:rPr>
          <w:rFonts w:hint="eastAsia" w:eastAsia="仿宋_GB2312" w:cs="Times New Roman"/>
          <w:color w:val="auto"/>
          <w:sz w:val="32"/>
          <w:szCs w:val="32"/>
          <w:highlight w:val="none"/>
          <w:lang w:val="en-US" w:eastAsia="zh-CN"/>
        </w:rPr>
        <w:t>维修次数共5次</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维修</w:t>
      </w:r>
      <w:r>
        <w:rPr>
          <w:rFonts w:hint="eastAsia" w:ascii="Times New Roman" w:hAnsi="Times New Roman" w:eastAsia="仿宋_GB2312" w:cs="Times New Roman"/>
          <w:color w:val="auto"/>
          <w:sz w:val="32"/>
          <w:szCs w:val="32"/>
          <w:highlight w:val="none"/>
          <w:lang w:val="en-US" w:eastAsia="zh-CN"/>
        </w:rPr>
        <w:t>完成合格率100%；</w:t>
      </w:r>
      <w:r>
        <w:rPr>
          <w:rFonts w:hint="eastAsia" w:eastAsia="仿宋_GB2312" w:cs="Times New Roman"/>
          <w:color w:val="auto"/>
          <w:sz w:val="32"/>
          <w:szCs w:val="32"/>
          <w:highlight w:val="none"/>
          <w:lang w:val="en-US" w:eastAsia="zh-CN"/>
        </w:rPr>
        <w:t>维修质量达标</w:t>
      </w:r>
      <w:r>
        <w:rPr>
          <w:rFonts w:hint="eastAsia" w:ascii="Times New Roman" w:hAnsi="Times New Roman" w:eastAsia="仿宋_GB2312" w:cs="Times New Roman"/>
          <w:color w:val="auto"/>
          <w:sz w:val="32"/>
          <w:szCs w:val="32"/>
          <w:highlight w:val="none"/>
          <w:lang w:val="en-US" w:eastAsia="zh-CN"/>
        </w:rPr>
        <w:t>合格率100%；按计划时间完工</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项目支付率</w:t>
      </w:r>
      <w:r>
        <w:rPr>
          <w:rFonts w:hint="eastAsia" w:ascii="Times New Roman" w:hAnsi="Times New Roman" w:eastAsia="仿宋_GB2312" w:cs="Times New Roman"/>
          <w:color w:val="auto"/>
          <w:sz w:val="32"/>
          <w:szCs w:val="32"/>
          <w:highlight w:val="none"/>
          <w:lang w:val="en-US" w:eastAsia="zh-CN"/>
        </w:rPr>
        <w:t>100%</w:t>
      </w:r>
    </w:p>
    <w:p w14:paraId="666CF93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3.资金投入和使用情况</w:t>
      </w:r>
    </w:p>
    <w:p w14:paraId="75363D5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6F52778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28.37</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28.37</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（财政拨款或其他资金）</w:t>
      </w:r>
    </w:p>
    <w:p w14:paraId="2FE7158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28B169EF">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28.37</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28.37</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28.37</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 xml:space="preserve"> 维修工程数量</w:t>
      </w:r>
      <w:r>
        <w:rPr>
          <w:rFonts w:hint="eastAsia" w:eastAsia="仿宋_GB2312" w:cs="Times New Roman"/>
          <w:color w:val="auto"/>
          <w:sz w:val="32"/>
          <w:szCs w:val="32"/>
          <w:highlight w:val="none"/>
          <w:lang w:val="en-US" w:eastAsia="zh-CN"/>
        </w:rPr>
        <w:t>5次</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主要用于大泉塔塔尔族乡中心学校日常办公开支、设备维修，水、电、网费等。</w:t>
      </w:r>
    </w:p>
    <w:p w14:paraId="4304299A">
      <w:pPr>
        <w:spacing w:line="560" w:lineRule="exact"/>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16E5C544">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14:paraId="592454DE">
      <w:pPr>
        <w:widowControl/>
        <w:ind w:firstLine="640" w:firstLineChars="200"/>
        <w:jc w:val="left"/>
        <w:rPr>
          <w:rFonts w:hint="default"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昌州财教【2023】90号《关于提前下达2024年城乡义务教育补助经费预算[中央直达资金]的通知》，昌州财教【2023】95号《关于提前下达2024年城乡义务教育补助经费[自治区直达资金]的通知》</w:t>
      </w:r>
      <w:r>
        <w:rPr>
          <w:rFonts w:hint="eastAsia" w:eastAsia="仿宋_GB2312" w:cs="Times New Roman"/>
          <w:color w:val="auto"/>
          <w:sz w:val="32"/>
          <w:szCs w:val="32"/>
          <w:highlight w:val="none"/>
          <w:lang w:val="en-US" w:eastAsia="zh-CN"/>
        </w:rPr>
        <w:t>-小学公用经费，</w:t>
      </w:r>
      <w:r>
        <w:rPr>
          <w:rFonts w:hint="eastAsia" w:ascii="Times New Roman" w:hAnsi="Times New Roman" w:eastAsia="仿宋_GB2312" w:cs="Times New Roman"/>
          <w:color w:val="auto"/>
          <w:sz w:val="32"/>
          <w:szCs w:val="32"/>
          <w:highlight w:val="none"/>
          <w:lang w:eastAsia="zh-CN"/>
        </w:rPr>
        <w:t>项目</w:t>
      </w:r>
      <w:r>
        <w:rPr>
          <w:rFonts w:hint="eastAsia" w:ascii="Times New Roman" w:hAnsi="Times New Roman" w:eastAsia="仿宋_GB2312" w:cs="Times New Roman"/>
          <w:color w:val="auto"/>
          <w:sz w:val="32"/>
          <w:szCs w:val="32"/>
          <w:highlight w:val="none"/>
          <w:lang w:val="en-US" w:eastAsia="zh-CN"/>
        </w:rPr>
        <w:t>绩效总体目标为：本项目拟投入</w:t>
      </w:r>
      <w:r>
        <w:rPr>
          <w:rFonts w:hint="eastAsia" w:eastAsia="仿宋_GB2312" w:cs="Times New Roman"/>
          <w:color w:val="auto"/>
          <w:sz w:val="32"/>
          <w:szCs w:val="32"/>
          <w:highlight w:val="none"/>
          <w:lang w:val="en-US" w:eastAsia="zh-CN"/>
        </w:rPr>
        <w:t>28.73</w:t>
      </w:r>
      <w:r>
        <w:rPr>
          <w:rFonts w:hint="eastAsia" w:ascii="Times New Roman" w:hAnsi="Times New Roman" w:eastAsia="仿宋_GB2312" w:cs="Times New Roman"/>
          <w:color w:val="auto"/>
          <w:sz w:val="32"/>
          <w:szCs w:val="32"/>
          <w:highlight w:val="none"/>
          <w:lang w:val="en-US" w:eastAsia="zh-CN"/>
        </w:rPr>
        <w:t>万元用于（项目），主要建设（实施）内容为：1.</w:t>
      </w:r>
      <w:r>
        <w:rPr>
          <w:rFonts w:hint="default" w:eastAsia="仿宋_GB2312" w:cs="Times New Roman"/>
          <w:color w:val="auto"/>
          <w:sz w:val="32"/>
          <w:szCs w:val="32"/>
          <w:highlight w:val="none"/>
          <w:lang w:eastAsia="zh-CN"/>
        </w:rPr>
        <w:t>奇台县</w:t>
      </w:r>
      <w:r>
        <w:rPr>
          <w:rFonts w:hint="eastAsia" w:eastAsia="仿宋_GB2312" w:cs="Times New Roman"/>
          <w:color w:val="auto"/>
          <w:sz w:val="32"/>
          <w:szCs w:val="32"/>
          <w:highlight w:val="none"/>
          <w:lang w:eastAsia="zh-CN"/>
        </w:rPr>
        <w:t>大泉塔塔尔族乡</w:t>
      </w:r>
      <w:r>
        <w:rPr>
          <w:rFonts w:hint="default" w:eastAsia="仿宋_GB2312" w:cs="Times New Roman"/>
          <w:color w:val="auto"/>
          <w:sz w:val="32"/>
          <w:szCs w:val="32"/>
          <w:highlight w:val="none"/>
          <w:lang w:eastAsia="zh-CN"/>
        </w:rPr>
        <w:t>中心学校</w:t>
      </w:r>
      <w:r>
        <w:rPr>
          <w:rFonts w:ascii="宋体" w:hAnsi="宋体" w:cs="宋体"/>
          <w:kern w:val="0"/>
          <w:sz w:val="24"/>
        </w:rPr>
        <w:t>最</w:t>
      </w:r>
      <w:r>
        <w:rPr>
          <w:rFonts w:hint="default" w:eastAsia="仿宋_GB2312" w:cs="Times New Roman"/>
          <w:color w:val="auto"/>
          <w:sz w:val="32"/>
          <w:szCs w:val="32"/>
          <w:highlight w:val="none"/>
          <w:lang w:eastAsia="zh-CN"/>
        </w:rPr>
        <w:t>终提高教育经费使用效益。本项目的实施与国家政策和规划相关，与自治区行业发展规划相关，与主管部门职能、规划及当年重点工作相关，具有现实需求，具有确定的收益对象，有明显的经济、社会、生态效益和可持续影响，属于财政资金支持范围。</w:t>
      </w:r>
    </w:p>
    <w:p w14:paraId="5C8B1CA9">
      <w:pPr>
        <w:widowControl/>
        <w:ind w:firstLine="640" w:firstLineChars="200"/>
        <w:jc w:val="left"/>
        <w:rPr>
          <w:rFonts w:hint="default" w:ascii="Times New Roman" w:hAnsi="Times New Roman" w:eastAsia="仿宋_GB2312" w:cs="Times New Roman"/>
          <w:color w:val="auto"/>
          <w:sz w:val="32"/>
          <w:szCs w:val="32"/>
          <w:highlight w:val="none"/>
          <w:lang w:eastAsia="zh-CN"/>
        </w:rPr>
      </w:pPr>
      <w:r>
        <w:rPr>
          <w:rFonts w:hint="default" w:eastAsia="仿宋_GB2312" w:cs="Times New Roman"/>
          <w:color w:val="auto"/>
          <w:sz w:val="32"/>
          <w:szCs w:val="32"/>
          <w:highlight w:val="none"/>
          <w:lang w:eastAsia="zh-CN"/>
        </w:rPr>
        <w:t>实际完成目标：截止2024年12月31日，本项目投入</w:t>
      </w:r>
      <w:r>
        <w:rPr>
          <w:rFonts w:hint="eastAsia" w:eastAsia="仿宋_GB2312" w:cs="Times New Roman"/>
          <w:color w:val="auto"/>
          <w:sz w:val="32"/>
          <w:szCs w:val="32"/>
          <w:highlight w:val="none"/>
          <w:lang w:val="en-US" w:eastAsia="zh-CN"/>
        </w:rPr>
        <w:t>28.73</w:t>
      </w:r>
      <w:r>
        <w:rPr>
          <w:rFonts w:hint="default" w:eastAsia="仿宋_GB2312" w:cs="Times New Roman"/>
          <w:color w:val="auto"/>
          <w:sz w:val="32"/>
          <w:szCs w:val="32"/>
          <w:highlight w:val="none"/>
          <w:lang w:eastAsia="zh-CN"/>
        </w:rPr>
        <w:t>万元用于发放2024年义务教育保障机制经费，此项目已完成公用经费享受学生数</w:t>
      </w:r>
      <w:r>
        <w:rPr>
          <w:rFonts w:hint="eastAsia" w:eastAsia="仿宋_GB2312" w:cs="Times New Roman"/>
          <w:color w:val="auto"/>
          <w:sz w:val="32"/>
          <w:szCs w:val="32"/>
          <w:highlight w:val="none"/>
          <w:lang w:val="en-US" w:eastAsia="zh-CN"/>
        </w:rPr>
        <w:t>282</w:t>
      </w:r>
      <w:r>
        <w:rPr>
          <w:rFonts w:hint="default" w:eastAsia="仿宋_GB2312" w:cs="Times New Roman"/>
          <w:color w:val="auto"/>
          <w:sz w:val="32"/>
          <w:szCs w:val="32"/>
          <w:highlight w:val="none"/>
          <w:lang w:eastAsia="zh-CN"/>
        </w:rPr>
        <w:t>人，维修次数5次，公用经费享受比例100%，资金发放及时率100%，通过项目的实施保障了学校的正常运转，促进了</w:t>
      </w:r>
      <w:r>
        <w:rPr>
          <w:rFonts w:hint="eastAsia" w:eastAsia="仿宋_GB2312" w:cs="Times New Roman"/>
          <w:color w:val="auto"/>
          <w:sz w:val="32"/>
          <w:szCs w:val="32"/>
          <w:highlight w:val="none"/>
          <w:lang w:val="en-US" w:eastAsia="zh-CN"/>
        </w:rPr>
        <w:t>282</w:t>
      </w:r>
      <w:r>
        <w:rPr>
          <w:rFonts w:hint="default" w:eastAsia="仿宋_GB2312" w:cs="Times New Roman"/>
          <w:color w:val="auto"/>
          <w:sz w:val="32"/>
          <w:szCs w:val="32"/>
          <w:highlight w:val="none"/>
          <w:lang w:eastAsia="zh-CN"/>
        </w:rPr>
        <w:t>人学生受益。</w:t>
      </w:r>
      <w:r>
        <w:rPr>
          <w:rFonts w:hint="eastAsia" w:ascii="Times New Roman" w:hAnsi="Times New Roman" w:eastAsia="仿宋_GB2312" w:cs="Times New Roman"/>
          <w:color w:val="auto"/>
          <w:sz w:val="32"/>
          <w:szCs w:val="32"/>
          <w:highlight w:val="none"/>
          <w:lang w:val="en-US" w:eastAsia="zh-CN"/>
        </w:rPr>
        <w:t>通过本项目的实施，加强和改善了</w:t>
      </w:r>
      <w:r>
        <w:rPr>
          <w:rFonts w:hint="eastAsia" w:eastAsia="仿宋_GB2312" w:cs="Times New Roman"/>
          <w:color w:val="auto"/>
          <w:sz w:val="32"/>
          <w:szCs w:val="32"/>
          <w:highlight w:val="none"/>
          <w:lang w:val="en-US" w:eastAsia="zh-CN"/>
        </w:rPr>
        <w:t>奇台县大泉塔塔尔族乡中心学校</w:t>
      </w:r>
      <w:r>
        <w:rPr>
          <w:rFonts w:hint="eastAsia" w:ascii="Times New Roman" w:hAnsi="Times New Roman" w:eastAsia="仿宋_GB2312" w:cs="Times New Roman"/>
          <w:color w:val="auto"/>
          <w:sz w:val="32"/>
          <w:szCs w:val="32"/>
          <w:highlight w:val="none"/>
          <w:lang w:val="en-US" w:eastAsia="zh-CN"/>
        </w:rPr>
        <w:t>的教学硬件条件建设需要，促进</w:t>
      </w:r>
      <w:r>
        <w:rPr>
          <w:rFonts w:hint="eastAsia" w:eastAsia="仿宋_GB2312" w:cs="Times New Roman"/>
          <w:color w:val="auto"/>
          <w:sz w:val="32"/>
          <w:szCs w:val="32"/>
          <w:highlight w:val="none"/>
          <w:lang w:val="en-US" w:eastAsia="zh-CN"/>
        </w:rPr>
        <w:t>奇台县大泉塔塔尔族乡中心学校</w:t>
      </w:r>
      <w:r>
        <w:rPr>
          <w:rFonts w:hint="eastAsia" w:ascii="Times New Roman" w:hAnsi="Times New Roman" w:eastAsia="仿宋_GB2312" w:cs="Times New Roman"/>
          <w:color w:val="auto"/>
          <w:sz w:val="32"/>
          <w:szCs w:val="32"/>
          <w:highlight w:val="none"/>
          <w:lang w:val="en-US" w:eastAsia="zh-CN"/>
        </w:rPr>
        <w:t>教育教学的发展，使学生、家长、社会满意度达到</w:t>
      </w:r>
      <w:r>
        <w:rPr>
          <w:rFonts w:hint="eastAsia" w:eastAsia="仿宋_GB2312" w:cs="Times New Roman"/>
          <w:color w:val="auto"/>
          <w:sz w:val="32"/>
          <w:szCs w:val="32"/>
          <w:highlight w:val="none"/>
          <w:lang w:val="en-US" w:eastAsia="zh-CN"/>
        </w:rPr>
        <w:t>90</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以上</w:t>
      </w:r>
      <w:r>
        <w:rPr>
          <w:rFonts w:hint="eastAsia" w:ascii="Times New Roman" w:hAnsi="Times New Roman" w:eastAsia="仿宋_GB2312" w:cs="Times New Roman"/>
          <w:color w:val="auto"/>
          <w:sz w:val="32"/>
          <w:szCs w:val="32"/>
          <w:highlight w:val="none"/>
          <w:lang w:val="en-US" w:eastAsia="zh-CN"/>
        </w:rPr>
        <w:t>.</w:t>
      </w:r>
    </w:p>
    <w:p w14:paraId="7607126F">
      <w:pPr>
        <w:numPr>
          <w:ilvl w:val="0"/>
          <w:numId w:val="1"/>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阶段性目标</w:t>
      </w:r>
    </w:p>
    <w:p w14:paraId="747C33CA">
      <w:pPr>
        <w:widowControl/>
        <w:ind w:firstLine="640" w:firstLineChars="200"/>
        <w:jc w:val="left"/>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color w:val="auto"/>
          <w:sz w:val="32"/>
          <w:szCs w:val="32"/>
          <w:highlight w:val="none"/>
          <w:lang w:val="en-US" w:eastAsia="zh-CN"/>
        </w:rPr>
        <w:t>昌州财教【2023】90号《关于提前下达2024年城乡义务教育补助经费预算[中央直达资金]的通知》，昌州财教【2023】95号《关于提前下达2024年城乡义务教育补助经费[自治区直达资金]的通知》</w:t>
      </w:r>
      <w:r>
        <w:rPr>
          <w:rFonts w:hint="eastAsia" w:eastAsia="仿宋_GB2312" w:cs="Times New Roman"/>
          <w:color w:val="auto"/>
          <w:sz w:val="32"/>
          <w:szCs w:val="32"/>
          <w:highlight w:val="none"/>
          <w:lang w:val="en-US" w:eastAsia="zh-CN"/>
        </w:rPr>
        <w:t>-小学公用经费，最终提高教育经费使用效益。本项目的实施与国家政策和规划相关，与自治区行业发展规划相关，与主管部门职能、规划及当年重点工作相关，具有现实需求，具有确定的收益对象，有明显的经济、社会、生态效益和可持续影响，属于财政资金支持范围。实际完成目标：截止2024年12月31日，本项目投入28.37万元用于发放2024年义务教育保障机制经费，此项目已完成公用经费享受学生数282人，维修次数5次，公用经费享受比例100%，资金发放及时率100%，通过项目的实施保障了学校的正常运转，促进了282人学生受益。</w:t>
      </w:r>
      <w:r>
        <w:rPr>
          <w:rFonts w:hint="default" w:ascii="Times New Roman" w:hAnsi="Times New Roman" w:eastAsia="仿宋_GB2312" w:cs="Times New Roman"/>
          <w:color w:val="auto"/>
          <w:sz w:val="30"/>
          <w:szCs w:val="30"/>
          <w:highlight w:val="none"/>
          <w:lang w:val="en-US" w:eastAsia="zh-CN"/>
        </w:rPr>
        <w:t>按计划时间完工</w:t>
      </w:r>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提高义务教育教学质量，保障教师和学生的学习环境。</w:t>
      </w:r>
    </w:p>
    <w:p w14:paraId="2701146A">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3601D807">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385A9DC9">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14:paraId="1D8A9334">
      <w:pPr>
        <w:spacing w:line="560" w:lineRule="exact"/>
        <w:ind w:firstLine="640" w:firstLineChars="200"/>
        <w:rPr>
          <w:rFonts w:eastAsia="仿宋_GB2312"/>
          <w:sz w:val="32"/>
          <w:szCs w:val="32"/>
        </w:rPr>
      </w:pPr>
      <w:r>
        <w:rPr>
          <w:rFonts w:hint="eastAsia" w:eastAsia="仿宋_GB2312"/>
          <w:sz w:val="32"/>
          <w:szCs w:val="32"/>
        </w:rPr>
        <w:t>在评价指标</w:t>
      </w:r>
      <w:r>
        <w:rPr>
          <w:rFonts w:eastAsia="仿宋_GB2312"/>
          <w:sz w:val="32"/>
          <w:szCs w:val="32"/>
        </w:rPr>
        <w:t>体系的构建上，充分考虑了项目的性质、目标以及预期成果，选取了具有代表性和可衡量性的关键指标，涵盖了产出指标、成本指标</w:t>
      </w:r>
      <w:r>
        <w:rPr>
          <w:rFonts w:hint="eastAsia" w:eastAsia="仿宋_GB2312"/>
          <w:sz w:val="32"/>
          <w:szCs w:val="32"/>
        </w:rPr>
        <w:t>、</w:t>
      </w:r>
      <w:r>
        <w:rPr>
          <w:rFonts w:eastAsia="仿宋_GB2312"/>
          <w:sz w:val="32"/>
          <w:szCs w:val="32"/>
        </w:rPr>
        <w:t>效益指标、</w:t>
      </w:r>
      <w:r>
        <w:rPr>
          <w:rFonts w:hint="eastAsia" w:eastAsia="仿宋_GB2312"/>
          <w:sz w:val="32"/>
          <w:szCs w:val="32"/>
        </w:rPr>
        <w:t>满意度指标</w:t>
      </w:r>
      <w:r>
        <w:rPr>
          <w:rFonts w:eastAsia="仿宋_GB2312"/>
          <w:sz w:val="32"/>
          <w:szCs w:val="32"/>
        </w:rPr>
        <w:t>等多个维度，力求全方位反映项目的绩效状况。同时，对于每个指标的评价标准和数据来源均进行了明确说明，确保评价结果的客观性和可追溯性</w:t>
      </w:r>
      <w:r>
        <w:rPr>
          <w:rFonts w:hint="eastAsia" w:eastAsia="仿宋_GB2312"/>
          <w:sz w:val="32"/>
          <w:szCs w:val="32"/>
        </w:rPr>
        <w:t>,</w:t>
      </w:r>
      <w:r>
        <w:rPr>
          <w:rFonts w:eastAsia="仿宋_GB2312"/>
          <w:sz w:val="32"/>
          <w:szCs w:val="32"/>
        </w:rPr>
        <w:t>在报告的撰写结构上，按照统一的格式和规范进行编排，内容层次分明、条理清晰</w:t>
      </w:r>
      <w:r>
        <w:rPr>
          <w:rFonts w:hint="eastAsia" w:eastAsia="仿宋_GB2312"/>
          <w:sz w:val="32"/>
          <w:szCs w:val="32"/>
        </w:rPr>
        <w:t>,</w:t>
      </w:r>
      <w:r>
        <w:rPr>
          <w:rFonts w:eastAsia="仿宋_GB2312"/>
          <w:sz w:val="32"/>
          <w:szCs w:val="32"/>
        </w:rPr>
        <w:t>并提出了相应的改进建议；最后对整个项目的绩效状况进行了综合总结，给出了明确的评价结论和后续工作的建议，为项目的持续改进和决策提供了有</w:t>
      </w:r>
    </w:p>
    <w:p w14:paraId="64656D2E">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w:t>
      </w:r>
      <w:r>
        <w:rPr>
          <w:rFonts w:hint="eastAsia" w:eastAsia="仿宋_GB2312"/>
          <w:sz w:val="32"/>
          <w:szCs w:val="32"/>
        </w:rPr>
        <w:t>的优化。</w:t>
      </w:r>
    </w:p>
    <w:p w14:paraId="50687EF4">
      <w:pPr>
        <w:spacing w:line="560" w:lineRule="exact"/>
        <w:ind w:firstLine="640" w:firstLineChars="200"/>
        <w:rPr>
          <w:rFonts w:eastAsia="仿宋_GB2312"/>
          <w:sz w:val="32"/>
          <w:szCs w:val="32"/>
        </w:rPr>
      </w:pPr>
      <w:r>
        <w:rPr>
          <w:rFonts w:eastAsia="仿宋_GB2312"/>
          <w:sz w:val="32"/>
          <w:szCs w:val="32"/>
        </w:rPr>
        <w:t>2.绩效评价的目的</w:t>
      </w:r>
    </w:p>
    <w:p w14:paraId="068058BF">
      <w:pPr>
        <w:spacing w:line="560" w:lineRule="exact"/>
        <w:ind w:firstLine="640" w:firstLineChars="200"/>
        <w:rPr>
          <w:rFonts w:eastAsia="仿宋_GB2312"/>
          <w:sz w:val="32"/>
          <w:szCs w:val="32"/>
        </w:rPr>
      </w:pPr>
      <w:r>
        <w:rPr>
          <w:rFonts w:eastAsia="仿宋_GB2312"/>
          <w:sz w:val="32"/>
          <w:szCs w:val="32"/>
        </w:rPr>
        <w:t>（1）评估项目实施效果</w:t>
      </w:r>
    </w:p>
    <w:p w14:paraId="2C559325">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通过对项目预算执行情况及各项绩效目标达成程度的系统性分析，全面、客观地评估项目在预定周期内的实施效果，包括产出指标、成本指标</w:t>
      </w:r>
      <w:r>
        <w:rPr>
          <w:rFonts w:hint="eastAsia" w:eastAsia="仿宋_GB2312"/>
          <w:sz w:val="32"/>
          <w:szCs w:val="32"/>
        </w:rPr>
        <w:t>、</w:t>
      </w:r>
      <w:r>
        <w:rPr>
          <w:rFonts w:eastAsia="仿宋_GB2312"/>
          <w:sz w:val="32"/>
          <w:szCs w:val="32"/>
        </w:rPr>
        <w:t>效益指标、</w:t>
      </w:r>
      <w:r>
        <w:rPr>
          <w:rFonts w:hint="eastAsia" w:eastAsia="仿宋_GB2312"/>
          <w:sz w:val="32"/>
          <w:szCs w:val="32"/>
        </w:rPr>
        <w:t>满意度指标</w:t>
      </w:r>
      <w:r>
        <w:rPr>
          <w:rFonts w:eastAsia="仿宋_GB2312"/>
          <w:sz w:val="32"/>
          <w:szCs w:val="32"/>
        </w:rPr>
        <w:t>等多维度指标，为项目后续的改进与优化提供科学依据。</w:t>
      </w:r>
    </w:p>
    <w:p w14:paraId="3F7EF6BC">
      <w:pPr>
        <w:spacing w:line="560" w:lineRule="exact"/>
        <w:ind w:firstLine="640" w:firstLineChars="200"/>
        <w:rPr>
          <w:rFonts w:eastAsia="仿宋_GB2312"/>
          <w:sz w:val="32"/>
          <w:szCs w:val="32"/>
        </w:rPr>
      </w:pPr>
      <w:r>
        <w:rPr>
          <w:rFonts w:eastAsia="仿宋_GB2312"/>
          <w:sz w:val="32"/>
          <w:szCs w:val="32"/>
        </w:rPr>
        <w:t>（2）提升资源利用效率</w:t>
      </w:r>
    </w:p>
    <w:p w14:paraId="408EDE34">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2E9E038">
      <w:pPr>
        <w:spacing w:line="560" w:lineRule="exact"/>
        <w:ind w:firstLine="640" w:firstLineChars="200"/>
        <w:rPr>
          <w:rFonts w:eastAsia="仿宋_GB2312"/>
          <w:sz w:val="32"/>
          <w:szCs w:val="32"/>
        </w:rPr>
      </w:pPr>
      <w:r>
        <w:rPr>
          <w:rFonts w:eastAsia="仿宋_GB2312"/>
          <w:sz w:val="32"/>
          <w:szCs w:val="32"/>
        </w:rPr>
        <w:t>（3）强化项目管理责任</w:t>
      </w:r>
    </w:p>
    <w:p w14:paraId="6EDC92AC">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DE39547">
      <w:pPr>
        <w:spacing w:line="560" w:lineRule="exact"/>
        <w:ind w:firstLine="640" w:firstLineChars="200"/>
        <w:rPr>
          <w:rFonts w:eastAsia="仿宋_GB2312"/>
          <w:sz w:val="32"/>
          <w:szCs w:val="32"/>
        </w:rPr>
      </w:pPr>
      <w:r>
        <w:rPr>
          <w:rFonts w:eastAsia="仿宋_GB2312"/>
          <w:sz w:val="32"/>
          <w:szCs w:val="32"/>
        </w:rPr>
        <w:t>（4）为决策提供支持</w:t>
      </w:r>
    </w:p>
    <w:p w14:paraId="553A2850">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EF3D588">
      <w:pPr>
        <w:spacing w:line="560" w:lineRule="exact"/>
        <w:ind w:firstLine="640" w:firstLineChars="200"/>
        <w:rPr>
          <w:rFonts w:eastAsia="仿宋_GB2312"/>
          <w:sz w:val="32"/>
          <w:szCs w:val="32"/>
        </w:rPr>
      </w:pPr>
      <w:r>
        <w:rPr>
          <w:rFonts w:eastAsia="仿宋_GB2312"/>
          <w:sz w:val="32"/>
          <w:szCs w:val="32"/>
        </w:rPr>
        <w:t>（5）促进项目持续改进</w:t>
      </w:r>
    </w:p>
    <w:p w14:paraId="1D20929B">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3A81C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9A11D7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28D25F4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w:t>
      </w:r>
      <w:r>
        <w:rPr>
          <w:rFonts w:hint="eastAsia" w:ascii="Times New Roman" w:hAnsi="Times New Roman" w:eastAsia="仿宋_GB2312" w:cs="Times New Roman"/>
          <w:b w:val="0"/>
          <w:bCs w:val="0"/>
          <w:color w:val="auto"/>
          <w:highlight w:val="none"/>
          <w:lang w:val="en-US" w:eastAsia="zh-CN"/>
        </w:rPr>
        <w:t>昌州财教【2023】90号《关于提前下达2024年城乡义务教育补助经费预算[中央直达资金]的通知》</w:t>
      </w:r>
      <w:r>
        <w:rPr>
          <w:rFonts w:hint="eastAsia" w:ascii="Times New Roman" w:hAnsi="Times New Roman" w:eastAsia="仿宋_GB2312" w:cs="Times New Roman"/>
          <w:b w:val="0"/>
          <w:bCs w:val="0"/>
          <w:color w:val="auto"/>
          <w:sz w:val="32"/>
          <w:szCs w:val="32"/>
          <w:highlight w:val="none"/>
          <w:lang w:val="en-US" w:eastAsia="zh-CN"/>
        </w:rPr>
        <w:t>昌州财教【2023】95号《关于提前下达2024年城乡义务教育补助经费[自治区直达资金]的通知》</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b w:val="0"/>
          <w:bCs w:val="0"/>
          <w:color w:val="auto"/>
          <w:highlight w:val="none"/>
          <w:lang w:val="en-US" w:eastAsia="zh-CN"/>
        </w:rPr>
        <w:t>小学公用经费</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b w:val="0"/>
          <w:bCs w:val="0"/>
          <w:color w:val="000000" w:themeColor="text1"/>
          <w:highlight w:val="none"/>
          <w14:textFill>
            <w14:solidFill>
              <w14:schemeClr w14:val="tx1"/>
            </w14:solidFill>
          </w14:textFill>
        </w:rPr>
        <w:t>及</w:t>
      </w:r>
      <w:r>
        <w:rPr>
          <w:rFonts w:hint="default" w:ascii="Times New Roman" w:hAnsi="Times New Roman" w:eastAsia="仿宋_GB2312" w:cs="Times New Roman"/>
          <w:b w:val="0"/>
          <w:bCs w:val="0"/>
          <w:color w:val="auto"/>
          <w:highlight w:val="none"/>
        </w:rPr>
        <w:t>其预算执行情况。该项目由</w:t>
      </w:r>
      <w:r>
        <w:rPr>
          <w:rFonts w:hint="default" w:ascii="Times New Roman" w:hAnsi="Times New Roman" w:eastAsia="仿宋_GB2312" w:cs="Times New Roman"/>
          <w:b w:val="0"/>
          <w:bCs w:val="0"/>
          <w:color w:val="auto"/>
          <w:highlight w:val="none"/>
          <w:lang w:eastAsia="zh-CN"/>
        </w:rPr>
        <w:t>奇台县</w:t>
      </w:r>
      <w:r>
        <w:rPr>
          <w:rFonts w:hint="eastAsia" w:eastAsia="仿宋_GB2312" w:cs="Times New Roman"/>
          <w:b w:val="0"/>
          <w:bCs w:val="0"/>
          <w:color w:val="auto"/>
          <w:sz w:val="32"/>
          <w:szCs w:val="32"/>
          <w:highlight w:val="none"/>
          <w:lang w:val="en-US" w:eastAsia="zh-CN"/>
        </w:rPr>
        <w:t>大泉塔塔尔族乡</w:t>
      </w:r>
      <w:r>
        <w:rPr>
          <w:rFonts w:hint="default" w:ascii="Times New Roman" w:hAnsi="Times New Roman" w:eastAsia="仿宋_GB2312" w:cs="Times New Roman"/>
          <w:b w:val="0"/>
          <w:bCs w:val="0"/>
          <w:color w:val="auto"/>
          <w:highlight w:val="none"/>
          <w:lang w:eastAsia="zh-CN"/>
        </w:rPr>
        <w:t>中心学校</w:t>
      </w:r>
      <w:r>
        <w:rPr>
          <w:rFonts w:hint="default" w:ascii="Times New Roman" w:hAnsi="Times New Roman" w:eastAsia="仿宋_GB2312" w:cs="Times New Roman"/>
          <w:b w:val="0"/>
          <w:bCs w:val="0"/>
          <w:color w:val="auto"/>
          <w:highlight w:val="none"/>
        </w:rPr>
        <w:t>负责实施，旨在</w:t>
      </w:r>
      <w:r>
        <w:rPr>
          <w:rFonts w:hint="eastAsia" w:ascii="Times New Roman" w:hAnsi="Times New Roman" w:eastAsia="仿宋_GB2312" w:cs="Times New Roman"/>
          <w:b w:val="0"/>
          <w:bCs w:val="0"/>
          <w:color w:val="auto"/>
          <w:highlight w:val="none"/>
          <w:lang w:val="en-US" w:eastAsia="zh-CN"/>
        </w:rPr>
        <w:t>提高义务教育教学质量，保障教师和学生的学习环境。</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2024年3月1</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28.37</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6FF0BA1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14:paraId="607C16B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3AC4BB92">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5AF28BEF">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2EC624FA">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089319E9">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rPr>
        <w:t>、经济等方面的综合影响。</w:t>
      </w:r>
    </w:p>
    <w:p w14:paraId="0E3816C4">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501282F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768020AC">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52DDEE53">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71559777">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0F4F51DB">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3CFB52DD">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55616EE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5B0E33C6">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2CA44F9A">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06A7D17B">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B3E358A">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7C197AAB">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AAB89F1">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493DDB76">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18A1EB6C">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5F79E7A0">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1EE75C2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5B7C8B9E">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67DF4493">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6A0401B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p>
    <w:p w14:paraId="3D00FEB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（二）比较法。是指将实施情况与绩效目标、历史情况、不同部门和地区同类支出情况进行比较的方法。</w:t>
      </w:r>
    </w:p>
    <w:p w14:paraId="6D40234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（三）因素分析法。是指综合分析影响绩效目标实现、实施效果的内外部因素的方法。</w:t>
      </w:r>
    </w:p>
    <w:p w14:paraId="52DDEC7E">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（四）最低成本法。是指在绩效目标确定的前提下，成本最小者为优的方法。</w:t>
      </w:r>
    </w:p>
    <w:p w14:paraId="5A072511">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（五）公众评判法。是指通过专家评估、公众问卷及抽样调查等方式进行评判的方法。</w:t>
      </w:r>
    </w:p>
    <w:p w14:paraId="65BB7853">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（六）标杆管理法。是指以国内外同行业中较高的绩效水平为标杆进行评判的方法。</w:t>
      </w:r>
    </w:p>
    <w:p w14:paraId="6980A77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（七）其他评价方法。</w:t>
      </w:r>
    </w:p>
    <w:p w14:paraId="20DBFE9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0C20879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绩效评价标准通常包括计划标准、行业标准、历史标准等，用于对绩效指标完成情况进行比较、分析、评价。本次评价主要采用了计划标准。</w:t>
      </w:r>
    </w:p>
    <w:p w14:paraId="7A79221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计划标准。指以预先制定的目标、计划、预算、定额等作为评价标准。</w:t>
      </w:r>
    </w:p>
    <w:p w14:paraId="66AEEABA">
      <w:pPr>
        <w:pStyle w:val="10"/>
        <w:numPr>
          <w:ilvl w:val="0"/>
          <w:numId w:val="3"/>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74FCE4CD">
      <w:pPr>
        <w:spacing w:line="560" w:lineRule="exact"/>
        <w:ind w:firstLine="320" w:firstLineChars="100"/>
        <w:rPr>
          <w:rFonts w:eastAsia="仿宋_GB2312"/>
          <w:sz w:val="32"/>
          <w:szCs w:val="32"/>
        </w:rPr>
      </w:pPr>
      <w:r>
        <w:rPr>
          <w:rFonts w:eastAsia="仿宋_GB2312"/>
          <w:sz w:val="32"/>
          <w:szCs w:val="32"/>
        </w:rPr>
        <w:t>（</w:t>
      </w:r>
      <w:r>
        <w:rPr>
          <w:rFonts w:hint="eastAsia" w:eastAsia="仿宋_GB2312"/>
          <w:sz w:val="32"/>
          <w:szCs w:val="32"/>
        </w:rPr>
        <w:t>1</w:t>
      </w:r>
      <w:r>
        <w:rPr>
          <w:rFonts w:eastAsia="仿宋_GB2312"/>
          <w:sz w:val="32"/>
          <w:szCs w:val="32"/>
        </w:rPr>
        <w:t>）指标体系构建</w:t>
      </w:r>
    </w:p>
    <w:p w14:paraId="049EE057">
      <w:pPr>
        <w:spacing w:line="560" w:lineRule="exact"/>
        <w:ind w:firstLine="640" w:firstLineChars="200"/>
        <w:rPr>
          <w:rFonts w:eastAsia="仿宋_GB2312"/>
          <w:sz w:val="32"/>
          <w:szCs w:val="32"/>
        </w:rPr>
      </w:pPr>
      <w:r>
        <w:rPr>
          <w:rFonts w:eastAsia="仿宋_GB2312"/>
          <w:sz w:val="32"/>
          <w:szCs w:val="32"/>
        </w:rPr>
        <w:t>依据项目的性质、选取了具有代表性和可衡量性的关键指标，并为每个指标设定了明确的评价标准与权重，确保评价结果能够全面、准确地反映项目的绩效状况。</w:t>
      </w:r>
    </w:p>
    <w:p w14:paraId="0C02342F">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w:t>
      </w:r>
      <w:r>
        <w:rPr>
          <w:rFonts w:eastAsia="仿宋_GB2312"/>
          <w:sz w:val="32"/>
          <w:szCs w:val="32"/>
        </w:rPr>
        <w:t>）数据收集与整理</w:t>
      </w:r>
    </w:p>
    <w:p w14:paraId="3F4B59B1">
      <w:pPr>
        <w:spacing w:line="560" w:lineRule="exact"/>
        <w:ind w:firstLine="640" w:firstLineChars="200"/>
        <w:rPr>
          <w:rFonts w:eastAsia="仿宋_GB2312"/>
          <w:sz w:val="32"/>
          <w:szCs w:val="32"/>
        </w:rPr>
      </w:pPr>
      <w:r>
        <w:rPr>
          <w:rFonts w:eastAsia="仿宋_GB2312"/>
          <w:sz w:val="32"/>
          <w:szCs w:val="32"/>
        </w:rPr>
        <w:t>在数据收集过程中，注重数据的质量与完整性，对缺失或异常的数据进行了合理的处理和补充。随后，对收集到的数据进行了系统的整理与分类，为后续的数据分析提供了有力支持。</w:t>
      </w:r>
    </w:p>
    <w:p w14:paraId="0EC1CCE1">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3</w:t>
      </w:r>
      <w:r>
        <w:rPr>
          <w:rFonts w:eastAsia="仿宋_GB2312"/>
          <w:sz w:val="32"/>
          <w:szCs w:val="32"/>
        </w:rPr>
        <w:t>）数据分析与评估</w:t>
      </w:r>
    </w:p>
    <w:p w14:paraId="4D9A91F4">
      <w:pPr>
        <w:spacing w:line="560" w:lineRule="exact"/>
        <w:ind w:firstLine="960" w:firstLineChars="300"/>
        <w:rPr>
          <w:rFonts w:eastAsia="仿宋_GB2312"/>
          <w:sz w:val="32"/>
          <w:szCs w:val="32"/>
        </w:rPr>
      </w:pPr>
      <w:r>
        <w:rPr>
          <w:rFonts w:eastAsia="仿宋_GB2312"/>
          <w:sz w:val="32"/>
          <w:szCs w:val="32"/>
        </w:rPr>
        <w:t>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179961E">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4</w:t>
      </w:r>
      <w:r>
        <w:rPr>
          <w:rFonts w:eastAsia="仿宋_GB2312"/>
          <w:sz w:val="32"/>
          <w:szCs w:val="32"/>
        </w:rPr>
        <w:t>）报告撰写与反馈</w:t>
      </w:r>
    </w:p>
    <w:p w14:paraId="2923C2DA">
      <w:pPr>
        <w:spacing w:line="560" w:lineRule="exact"/>
        <w:ind w:firstLine="960" w:firstLineChars="300"/>
        <w:rPr>
          <w:rFonts w:eastAsia="仿宋_GB2312"/>
          <w:sz w:val="32"/>
          <w:szCs w:val="32"/>
        </w:rPr>
      </w:pPr>
      <w:r>
        <w:rPr>
          <w:rFonts w:eastAsia="仿宋_GB2312"/>
          <w:sz w:val="32"/>
          <w:szCs w:val="32"/>
        </w:rPr>
        <w:t>在报告撰写完成后，及时向项目实施主体及相关利益相关者进行反馈，充分听取各方意见与建议，对报告内容进行进一步的完善与优化，确保评价报告的质量与实用性。</w:t>
      </w:r>
    </w:p>
    <w:p w14:paraId="44BDA511">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5</w:t>
      </w:r>
      <w:r>
        <w:rPr>
          <w:rFonts w:eastAsia="仿宋_GB2312"/>
          <w:sz w:val="32"/>
          <w:szCs w:val="32"/>
        </w:rPr>
        <w:t>）后续跟踪与改进</w:t>
      </w:r>
    </w:p>
    <w:p w14:paraId="45C922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r>
        <w:rPr>
          <w:rFonts w:hint="eastAsia" w:eastAsia="仿宋_GB2312"/>
          <w:sz w:val="32"/>
          <w:szCs w:val="32"/>
        </w:rPr>
        <w:t>。</w:t>
      </w:r>
    </w:p>
    <w:p w14:paraId="5798ECD1">
      <w:pPr>
        <w:numPr>
          <w:ilvl w:val="0"/>
          <w:numId w:val="4"/>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67A3B64D">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7C438A0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本项目的综合评价基于对项目各方面绩效的深入分析与评估。从项目目标的达成情况来看，2024年城乡义务教育补助经费预算[中央直达资金]-</w:t>
      </w:r>
      <w:r>
        <w:rPr>
          <w:rFonts w:hint="eastAsia" w:eastAsia="仿宋_GB2312" w:cs="Times New Roman"/>
          <w:color w:val="auto"/>
          <w:sz w:val="32"/>
          <w:szCs w:val="32"/>
          <w:highlight w:val="none"/>
          <w:lang w:val="en-US" w:eastAsia="zh-CN"/>
        </w:rPr>
        <w:t>-小学公用经费</w:t>
      </w:r>
      <w:r>
        <w:rPr>
          <w:rFonts w:hint="default" w:ascii="Times New Roman" w:hAnsi="Times New Roman" w:eastAsia="仿宋_GB2312" w:cs="Times New Roman"/>
          <w:color w:val="auto"/>
          <w:sz w:val="32"/>
          <w:szCs w:val="32"/>
          <w:highlight w:val="none"/>
        </w:rPr>
        <w:t>校舍安全在产出指标、成本指</w:t>
      </w:r>
      <w:r>
        <w:rPr>
          <w:rFonts w:hint="eastAsia" w:eastAsia="仿宋_GB2312" w:cs="Times New Roman"/>
          <w:color w:val="auto"/>
          <w:sz w:val="32"/>
          <w:szCs w:val="32"/>
          <w:highlight w:val="none"/>
          <w:lang w:eastAsia="zh-CN"/>
        </w:rPr>
        <w:t>标</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效益指</w:t>
      </w:r>
      <w:r>
        <w:rPr>
          <w:rFonts w:hint="default" w:ascii="Times New Roman" w:hAnsi="Times New Roman" w:eastAsia="仿宋_GB2312" w:cs="Times New Roman"/>
          <w:color w:val="auto"/>
          <w:sz w:val="32"/>
          <w:szCs w:val="32"/>
          <w:highlight w:val="none"/>
        </w:rPr>
        <w:t>标、</w:t>
      </w:r>
      <w:r>
        <w:rPr>
          <w:rFonts w:hint="eastAsia" w:eastAsia="仿宋_GB2312" w:cs="Times New Roman"/>
          <w:color w:val="auto"/>
          <w:sz w:val="32"/>
          <w:szCs w:val="32"/>
          <w:highlight w:val="none"/>
          <w:lang w:eastAsia="zh-CN"/>
        </w:rPr>
        <w:t>满意度指标这几</w:t>
      </w:r>
      <w:r>
        <w:rPr>
          <w:rFonts w:hint="default" w:ascii="Times New Roman" w:hAnsi="Times New Roman" w:eastAsia="仿宋_GB2312" w:cs="Times New Roman"/>
          <w:color w:val="auto"/>
          <w:sz w:val="32"/>
          <w:szCs w:val="32"/>
          <w:highlight w:val="none"/>
        </w:rPr>
        <w:t>方面表现出色，达到了预期的标准与要求。同时，项目也在效益指标满意度指标取得了显著的成效，如受益学生数</w:t>
      </w:r>
      <w:r>
        <w:rPr>
          <w:rFonts w:hint="eastAsia" w:eastAsia="仿宋_GB2312" w:cs="Times New Roman"/>
          <w:color w:val="auto"/>
          <w:sz w:val="32"/>
          <w:szCs w:val="32"/>
          <w:highlight w:val="none"/>
          <w:lang w:val="en-US" w:eastAsia="zh-CN"/>
        </w:rPr>
        <w:t>282人</w:t>
      </w:r>
      <w:r>
        <w:rPr>
          <w:rFonts w:hint="default" w:ascii="Times New Roman" w:hAnsi="Times New Roman" w:eastAsia="仿宋_GB2312" w:cs="Times New Roman"/>
          <w:color w:val="auto"/>
          <w:sz w:val="32"/>
          <w:szCs w:val="32"/>
          <w:highlight w:val="none"/>
        </w:rPr>
        <w:t>、学生满意度</w:t>
      </w:r>
      <w:r>
        <w:rPr>
          <w:rFonts w:hint="eastAsia" w:eastAsia="仿宋_GB2312" w:cs="Times New Roman"/>
          <w:color w:val="auto"/>
          <w:sz w:val="32"/>
          <w:szCs w:val="32"/>
          <w:highlight w:val="none"/>
          <w:lang w:val="en-US" w:eastAsia="zh-CN"/>
        </w:rPr>
        <w:t>90%以上</w:t>
      </w:r>
      <w:r>
        <w:rPr>
          <w:rFonts w:hint="default" w:ascii="Times New Roman" w:hAnsi="Times New Roman" w:eastAsia="仿宋_GB2312" w:cs="Times New Roman"/>
          <w:color w:val="auto"/>
          <w:sz w:val="32"/>
          <w:szCs w:val="32"/>
          <w:highlight w:val="none"/>
        </w:rPr>
        <w:t>等。</w:t>
      </w:r>
    </w:p>
    <w:p w14:paraId="2461C1FE">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在</w:t>
      </w:r>
      <w:r>
        <w:rPr>
          <w:rFonts w:hint="default" w:ascii="Times New Roman" w:hAnsi="Times New Roman" w:eastAsia="仿宋_GB2312" w:cs="Times New Roman"/>
          <w:color w:val="auto"/>
          <w:sz w:val="32"/>
          <w:szCs w:val="32"/>
          <w:highlight w:val="none"/>
        </w:rPr>
        <w:t>项目管理方面，</w:t>
      </w:r>
      <w:r>
        <w:rPr>
          <w:rFonts w:hint="default" w:eastAsia="仿宋_GB2312" w:cs="Times New Roman"/>
          <w:color w:val="auto"/>
          <w:sz w:val="32"/>
          <w:szCs w:val="32"/>
          <w:highlight w:val="none"/>
          <w:lang w:eastAsia="zh-CN"/>
        </w:rPr>
        <w:t>奇台县</w:t>
      </w:r>
      <w:r>
        <w:rPr>
          <w:rFonts w:hint="eastAsia" w:eastAsia="仿宋_GB2312" w:cs="Times New Roman"/>
          <w:color w:val="auto"/>
          <w:sz w:val="32"/>
          <w:szCs w:val="32"/>
          <w:highlight w:val="none"/>
          <w:lang w:eastAsia="zh-CN"/>
        </w:rPr>
        <w:t>大泉塔塔尔族乡</w:t>
      </w:r>
      <w:r>
        <w:rPr>
          <w:rFonts w:hint="default" w:eastAsia="仿宋_GB2312" w:cs="Times New Roman"/>
          <w:color w:val="auto"/>
          <w:sz w:val="32"/>
          <w:szCs w:val="32"/>
          <w:highlight w:val="none"/>
          <w:lang w:eastAsia="zh-CN"/>
        </w:rPr>
        <w:t>中心学校</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6D7D053E">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eastAsia"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rPr>
        <w:t>效益</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经济效益</w:t>
      </w:r>
      <w:r>
        <w:rPr>
          <w:rFonts w:hint="default" w:ascii="Times New Roman" w:hAnsi="Times New Roman" w:eastAsia="仿宋_GB2312" w:cs="Times New Roman"/>
          <w:color w:val="auto"/>
          <w:sz w:val="32"/>
          <w:szCs w:val="32"/>
          <w:highlight w:val="none"/>
        </w:rPr>
        <w:t>等方面产生了积极的影响。具体而言，受益学生数</w:t>
      </w:r>
      <w:r>
        <w:rPr>
          <w:rFonts w:hint="eastAsia" w:eastAsia="仿宋_GB2312" w:cs="Times New Roman"/>
          <w:color w:val="auto"/>
          <w:sz w:val="32"/>
          <w:szCs w:val="32"/>
          <w:highlight w:val="none"/>
          <w:lang w:val="en-US" w:eastAsia="zh-CN"/>
        </w:rPr>
        <w:t>282人</w:t>
      </w:r>
      <w:r>
        <w:rPr>
          <w:rFonts w:hint="default" w:ascii="Times New Roman" w:hAnsi="Times New Roman" w:eastAsia="仿宋_GB2312" w:cs="Times New Roman"/>
          <w:color w:val="auto"/>
          <w:sz w:val="32"/>
          <w:szCs w:val="32"/>
          <w:highlight w:val="none"/>
        </w:rPr>
        <w:t>、学生满意度</w:t>
      </w:r>
      <w:r>
        <w:rPr>
          <w:rFonts w:hint="eastAsia" w:eastAsia="仿宋_GB2312" w:cs="Times New Roman"/>
          <w:color w:val="auto"/>
          <w:sz w:val="32"/>
          <w:szCs w:val="32"/>
          <w:highlight w:val="none"/>
          <w:lang w:val="en-US" w:eastAsia="zh-CN"/>
        </w:rPr>
        <w:t>90%以上</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5A5DE399">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综</w:t>
      </w:r>
      <w:r>
        <w:rPr>
          <w:rFonts w:hint="default" w:ascii="Times New Roman" w:hAnsi="Times New Roman" w:eastAsia="仿宋_GB2312" w:cs="Times New Roman"/>
          <w:color w:val="auto"/>
          <w:sz w:val="32"/>
          <w:szCs w:val="32"/>
          <w:highlight w:val="none"/>
        </w:rPr>
        <w:t>上所述，</w:t>
      </w:r>
      <w:r>
        <w:rPr>
          <w:rFonts w:hint="eastAsia" w:ascii="Times New Roman" w:hAnsi="Times New Roman" w:eastAsia="仿宋_GB2312" w:cs="Times New Roman"/>
          <w:color w:val="auto"/>
          <w:sz w:val="32"/>
          <w:szCs w:val="32"/>
          <w:highlight w:val="none"/>
          <w:lang w:val="en-US" w:eastAsia="zh-CN"/>
        </w:rPr>
        <w:t>昌州财教【2023】90号《关于提前下达2024年城乡义务教育补助经费预算[中央直达资金]的通知》昌州财教【2023】95号《关于提前下达2024年城乡义务教育补助经费[自治区直达资金]的通知》</w:t>
      </w:r>
      <w:r>
        <w:rPr>
          <w:rFonts w:hint="eastAsia" w:eastAsia="仿宋_GB2312" w:cs="Times New Roman"/>
          <w:color w:val="auto"/>
          <w:sz w:val="32"/>
          <w:szCs w:val="32"/>
          <w:highlight w:val="none"/>
          <w:lang w:val="en-US" w:eastAsia="zh-CN"/>
        </w:rPr>
        <w:t>-小学公用经费，</w:t>
      </w:r>
      <w:r>
        <w:rPr>
          <w:rFonts w:hint="default" w:ascii="Times New Roman" w:hAnsi="Times New Roman" w:eastAsia="仿宋_GB2312" w:cs="Times New Roman"/>
          <w:color w:val="auto"/>
          <w:sz w:val="32"/>
          <w:szCs w:val="32"/>
          <w:highlight w:val="none"/>
        </w:rPr>
        <w:t>预期目标，并在多个方面取得了显著的成效。</w:t>
      </w:r>
    </w:p>
    <w:p w14:paraId="4A1EE34D">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17E600B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分，属于“优（良/中/差）”。其中，项目决策类指标权重为20分，得分为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10884D83">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74F79344">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6B58CD7">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F1B59E4">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F2663ED">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E4AEFB9">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5FBB880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D7FC206">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07EFDC11">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F99506D">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8501100">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043D132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E910CA7">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1317B332">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850589E">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B30F554">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7E7BAFC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F8AC05F">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53FAE0FE">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5A4D6469">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276424CD">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08C811B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F51671C">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094077A0">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B0BE562">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DC52873">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7452293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5879842">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222147F5">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53C62B7">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31F1305">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r>
    </w:tbl>
    <w:p w14:paraId="4B061FC3">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38F4AEA5">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7C23C88A">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78AE955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_GB2312" w:cs="Times New Roman"/>
          <w:b/>
          <w:bCs/>
          <w:color w:val="auto"/>
          <w:sz w:val="32"/>
          <w:szCs w:val="32"/>
          <w:highlight w:val="none"/>
          <w:lang w:val="en-US" w:eastAsia="zh-CN"/>
        </w:rPr>
        <w:t>项目立项</w:t>
      </w:r>
    </w:p>
    <w:p w14:paraId="473F284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1936837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38D55E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6AC1873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43043E2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14AEFC6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79B1836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F54CF7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74B3488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1CF5B80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52A311A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6DEAB9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A70A43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01C3CF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57FB1A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33CA1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42FD4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DCFFA1">
      <w:pPr>
        <w:pStyle w:val="10"/>
        <w:numPr>
          <w:ilvl w:val="0"/>
          <w:numId w:val="5"/>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15261CAD">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EE235B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_GB2312" w:cs="Times New Roman"/>
          <w:b/>
          <w:bCs/>
          <w:color w:val="auto"/>
          <w:sz w:val="32"/>
          <w:szCs w:val="32"/>
          <w:highlight w:val="none"/>
          <w:lang w:val="en-US" w:eastAsia="zh-CN"/>
        </w:rPr>
        <w:t>.资金管理</w:t>
      </w:r>
    </w:p>
    <w:p w14:paraId="229A718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429A567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28.37</w:t>
      </w:r>
      <w:r>
        <w:rPr>
          <w:rFonts w:hint="default" w:ascii="Times New Roman" w:hAnsi="Times New Roman" w:eastAsia="仿宋_GB2312" w:cs="Times New Roman"/>
          <w:color w:val="auto"/>
          <w:sz w:val="32"/>
          <w:szCs w:val="32"/>
          <w:highlight w:val="none"/>
          <w:lang w:val="en-US" w:eastAsia="zh-CN"/>
        </w:rPr>
        <w:t>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1E4F183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77805E6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28.37</w:t>
      </w:r>
      <w:r>
        <w:rPr>
          <w:rFonts w:hint="default" w:ascii="Times New Roman" w:hAnsi="Times New Roman" w:eastAsia="仿宋_GB2312" w:cs="Times New Roman"/>
          <w:color w:val="auto"/>
          <w:sz w:val="32"/>
          <w:szCs w:val="32"/>
          <w:highlight w:val="none"/>
          <w:lang w:val="en-US" w:eastAsia="zh-CN"/>
        </w:rPr>
        <w:t>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BAD697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13BC4D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59FDB2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55781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73C265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19204588">
      <w:pPr>
        <w:spacing w:line="600" w:lineRule="exact"/>
        <w:ind w:firstLine="640" w:firstLineChars="200"/>
        <w:outlineLvl w:val="0"/>
        <w:rPr>
          <w:rFonts w:eastAsia="仿宋_GB2312"/>
          <w:sz w:val="32"/>
          <w:szCs w:val="32"/>
        </w:rPr>
      </w:pPr>
      <w:r>
        <w:rPr>
          <w:rFonts w:eastAsia="仿宋_GB2312"/>
          <w:sz w:val="32"/>
          <w:szCs w:val="32"/>
        </w:rPr>
        <w:t>（1）管理制度健全性</w:t>
      </w:r>
    </w:p>
    <w:p w14:paraId="39096B4E">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6CFE3A03">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37DC1532">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09E43E0">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3EB81772">
      <w:pPr>
        <w:spacing w:line="600" w:lineRule="exact"/>
        <w:ind w:firstLine="640" w:firstLineChars="200"/>
        <w:outlineLvl w:val="0"/>
        <w:rPr>
          <w:rFonts w:eastAsia="仿宋_GB2312"/>
          <w:sz w:val="32"/>
          <w:szCs w:val="32"/>
        </w:rPr>
      </w:pPr>
      <w:r>
        <w:rPr>
          <w:rFonts w:eastAsia="仿宋_GB2312"/>
          <w:sz w:val="32"/>
          <w:szCs w:val="32"/>
        </w:rPr>
        <w:t>（2）制度执行有效性</w:t>
      </w:r>
    </w:p>
    <w:p w14:paraId="595BD3BC">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227D38DD">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4A3FF547">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eastAsia="仿宋_GB2312"/>
          <w:sz w:val="32"/>
          <w:szCs w:val="32"/>
        </w:rPr>
        <w:t>综上所述，本项目的管理制度在执行过程中表现出了高度的有效性，既确保了项目的顺利进行，又实现了项目目标的有效达成</w:t>
      </w:r>
    </w:p>
    <w:p w14:paraId="4DD9C7A3">
      <w:pPr>
        <w:pStyle w:val="12"/>
        <w:numPr>
          <w:ilvl w:val="0"/>
          <w:numId w:val="5"/>
        </w:numPr>
        <w:tabs>
          <w:tab w:val="center" w:pos="4274"/>
        </w:tabs>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r>
        <w:rPr>
          <w:rFonts w:hint="eastAsia" w:eastAsia="楷体_GB2312" w:cs="Times New Roman"/>
          <w:b/>
          <w:bCs/>
          <w:color w:val="auto"/>
          <w:sz w:val="32"/>
          <w:szCs w:val="32"/>
          <w:highlight w:val="none"/>
          <w:lang w:val="en-US" w:eastAsia="zh-CN"/>
        </w:rPr>
        <w:tab/>
      </w:r>
    </w:p>
    <w:p w14:paraId="3C35723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5C49A71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54568DA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公用经费享受学生人</w:t>
      </w:r>
      <w:r>
        <w:rPr>
          <w:rFonts w:hint="default" w:ascii="Times New Roman" w:hAnsi="Times New Roman" w:eastAsia="仿宋_GB2312" w:cs="Times New Roman"/>
          <w:color w:val="auto"/>
          <w:sz w:val="32"/>
          <w:szCs w:val="32"/>
          <w:highlight w:val="none"/>
        </w:rPr>
        <w:t>数，指标值：</w:t>
      </w:r>
      <w:r>
        <w:rPr>
          <w:rFonts w:hint="eastAsia" w:eastAsia="仿宋_GB2312" w:cs="Times New Roman"/>
          <w:color w:val="auto"/>
          <w:sz w:val="32"/>
          <w:szCs w:val="32"/>
          <w:highlight w:val="none"/>
          <w:lang w:val="en-US" w:eastAsia="zh-CN"/>
        </w:rPr>
        <w:t>286人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282人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eastAsia" w:eastAsia="仿宋_GB2312" w:cs="Times New Roman"/>
          <w:color w:val="auto"/>
          <w:sz w:val="32"/>
          <w:szCs w:val="32"/>
          <w:highlight w:val="none"/>
          <w:lang w:eastAsia="zh-CN"/>
        </w:rPr>
        <w:t>。</w:t>
      </w:r>
    </w:p>
    <w:p w14:paraId="32ED09B2">
      <w:pPr>
        <w:shd w:val="clear"/>
        <w:spacing w:line="600" w:lineRule="exact"/>
        <w:ind w:firstLine="640" w:firstLineChars="200"/>
        <w:outlineLvl w:val="0"/>
        <w:rPr>
          <w:rFonts w:hint="default"/>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：维修次数，指标值：</w:t>
      </w:r>
      <w:r>
        <w:rPr>
          <w:rFonts w:hint="eastAsia" w:eastAsia="仿宋_GB2312" w:cs="Times New Roman"/>
          <w:color w:val="auto"/>
          <w:sz w:val="32"/>
          <w:szCs w:val="32"/>
          <w:highlight w:val="none"/>
          <w:lang w:val="en-US" w:eastAsia="zh-CN"/>
        </w:rPr>
        <w:t>=5次</w:t>
      </w:r>
      <w:r>
        <w:rPr>
          <w:rFonts w:hint="default" w:ascii="Times New Roman" w:hAnsi="Times New Roman" w:eastAsia="仿宋_GB2312" w:cs="Times New Roman"/>
          <w:color w:val="auto"/>
          <w:sz w:val="32"/>
          <w:szCs w:val="32"/>
          <w:highlight w:val="none"/>
        </w:rPr>
        <w:t>，实际完成值：5</w:t>
      </w:r>
      <w:r>
        <w:rPr>
          <w:rFonts w:hint="eastAsia" w:eastAsia="仿宋_GB2312" w:cs="Times New Roman"/>
          <w:color w:val="auto"/>
          <w:sz w:val="32"/>
          <w:szCs w:val="32"/>
          <w:highlight w:val="none"/>
          <w:lang w:eastAsia="zh-CN"/>
        </w:rPr>
        <w:t>次</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eastAsia" w:eastAsia="仿宋_GB2312" w:cs="Times New Roman"/>
          <w:color w:val="auto"/>
          <w:sz w:val="32"/>
          <w:szCs w:val="32"/>
          <w:highlight w:val="none"/>
          <w:lang w:eastAsia="zh-CN"/>
        </w:rPr>
        <w:t>。</w:t>
      </w:r>
    </w:p>
    <w:p w14:paraId="4577063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7B8943C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指标</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维修验收合格率，指标值：</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 xml:space="preserve"> ，实际完成值：100%，指标完成率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6BD923DD">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③</w:t>
      </w:r>
      <w:r>
        <w:rPr>
          <w:rFonts w:hint="eastAsia" w:eastAsia="仿宋_GB2312" w:cs="Times New Roman"/>
          <w:color w:val="auto"/>
          <w:sz w:val="32"/>
          <w:szCs w:val="32"/>
          <w:highlight w:val="none"/>
          <w:lang w:val="en-US" w:eastAsia="zh-CN"/>
        </w:rPr>
        <w:t>时效</w:t>
      </w:r>
      <w:r>
        <w:rPr>
          <w:rFonts w:hint="default" w:ascii="Times New Roman" w:hAnsi="Times New Roman" w:eastAsia="仿宋_GB2312" w:cs="Times New Roman"/>
          <w:color w:val="auto"/>
          <w:sz w:val="32"/>
          <w:szCs w:val="32"/>
          <w:highlight w:val="none"/>
          <w:lang w:val="en-US" w:eastAsia="zh-CN"/>
        </w:rPr>
        <w:t>指标</w:t>
      </w:r>
    </w:p>
    <w:p w14:paraId="5FAB6ECD">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维修完成及时率</w:t>
      </w:r>
      <w:r>
        <w:rPr>
          <w:rFonts w:hint="default" w:ascii="Times New Roman" w:hAnsi="Times New Roman" w:eastAsia="仿宋_GB2312" w:cs="Times New Roman"/>
          <w:b w:val="0"/>
          <w:bCs w:val="0"/>
          <w:color w:val="auto"/>
          <w:sz w:val="32"/>
          <w:szCs w:val="32"/>
          <w:highlight w:val="none"/>
        </w:rPr>
        <w:t>，指标值：</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，实际完成值：</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，指标完成率</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 xml:space="preserve"> %</w:t>
      </w:r>
      <w:r>
        <w:rPr>
          <w:rFonts w:hint="eastAsia" w:eastAsia="仿宋_GB2312" w:cs="Times New Roman"/>
          <w:b w:val="0"/>
          <w:bCs w:val="0"/>
          <w:color w:val="auto"/>
          <w:sz w:val="32"/>
          <w:szCs w:val="32"/>
          <w:highlight w:val="none"/>
          <w:lang w:eastAsia="zh-CN"/>
        </w:rPr>
        <w:t>。</w:t>
      </w:r>
    </w:p>
    <w:p w14:paraId="5EC289C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14:paraId="18E9028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指标1：项目预算控制率（%），指标值：</w:t>
      </w:r>
      <w:r>
        <w:rPr>
          <w:rFonts w:hint="eastAsia" w:eastAsia="仿宋_GB2312" w:cs="Times New Roman"/>
          <w:color w:val="auto"/>
          <w:sz w:val="32"/>
          <w:szCs w:val="32"/>
          <w:highlight w:val="none"/>
          <w:lang w:val="en-US" w:eastAsia="zh-CN"/>
        </w:rPr>
        <w:t>&lt;=100%</w:t>
      </w:r>
      <w:r>
        <w:rPr>
          <w:rFonts w:hint="default" w:ascii="Times New Roman" w:hAnsi="Times New Roman" w:eastAsia="仿宋_GB2312" w:cs="Times New Roman"/>
          <w:color w:val="auto"/>
          <w:sz w:val="32"/>
          <w:szCs w:val="32"/>
          <w:highlight w:val="none"/>
        </w:rPr>
        <w:t>，实际完成值：=100%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 xml:space="preserve"> </w:t>
      </w:r>
    </w:p>
    <w:p w14:paraId="1247CECF">
      <w:pPr>
        <w:pStyle w:val="12"/>
        <w:numPr>
          <w:ilvl w:val="0"/>
          <w:numId w:val="5"/>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2C7F909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081EB62D">
      <w:pPr>
        <w:numPr>
          <w:ilvl w:val="0"/>
          <w:numId w:val="6"/>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实施效益</w:t>
      </w:r>
    </w:p>
    <w:p w14:paraId="05809813">
      <w:pPr>
        <w:numPr>
          <w:ilvl w:val="0"/>
          <w:numId w:val="0"/>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14:paraId="37F7948F">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提高学生的学习环境</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:有效提高</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eastAsia="zh-CN"/>
        </w:rPr>
        <w:t>有效提高</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141EE12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14:paraId="13EABA37">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指标1：学生</w:t>
      </w:r>
      <w:r>
        <w:rPr>
          <w:rFonts w:hint="eastAsia" w:eastAsia="仿宋_GB2312" w:cs="Times New Roman"/>
          <w:color w:val="auto"/>
          <w:sz w:val="32"/>
          <w:szCs w:val="32"/>
          <w:highlight w:val="none"/>
          <w:lang w:eastAsia="zh-CN"/>
        </w:rPr>
        <w:t>和老师</w:t>
      </w:r>
      <w:r>
        <w:rPr>
          <w:rFonts w:hint="default" w:ascii="Times New Roman" w:hAnsi="Times New Roman" w:eastAsia="仿宋_GB2312" w:cs="Times New Roman"/>
          <w:color w:val="auto"/>
          <w:sz w:val="32"/>
          <w:szCs w:val="32"/>
          <w:highlight w:val="none"/>
        </w:rPr>
        <w:t>满意度（%），指标值：</w:t>
      </w:r>
      <w:r>
        <w:rPr>
          <w:rFonts w:hint="eastAsia" w:eastAsia="仿宋_GB2312" w:cs="Times New Roman"/>
          <w:color w:val="auto"/>
          <w:sz w:val="32"/>
          <w:szCs w:val="32"/>
          <w:highlight w:val="none"/>
          <w:lang w:val="en-US" w:eastAsia="zh-CN"/>
        </w:rPr>
        <w:t>&gt;=90%</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rPr>
        <w:t xml:space="preserve">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1ECD43C6">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14:paraId="720BCD9F">
      <w:pPr>
        <w:shd w:val="clear"/>
        <w:spacing w:line="600" w:lineRule="exact"/>
        <w:ind w:firstLine="640" w:firstLineChars="200"/>
        <w:outlineLvl w:val="0"/>
        <w:rPr>
          <w:rFonts w:hint="default" w:ascii="Times New Roman" w:hAnsi="Times New Roman" w:eastAsia="方正仿宋_GBK"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昌州财教【2023】90号《关于提前下达2024年城乡义务教育补助经费预算[中央直达资金]的通知》，</w:t>
      </w:r>
      <w:r>
        <w:rPr>
          <w:rFonts w:hint="eastAsia" w:eastAsia="仿宋_GB2312" w:cs="Times New Roman"/>
          <w:color w:val="auto"/>
          <w:sz w:val="32"/>
          <w:szCs w:val="32"/>
          <w:highlight w:val="none"/>
          <w:lang w:val="en-US" w:eastAsia="zh-CN"/>
        </w:rPr>
        <w:t>-小学公用经费，</w:t>
      </w:r>
      <w:r>
        <w:rPr>
          <w:rFonts w:hint="default" w:ascii="Times New Roman" w:hAnsi="Times New Roman" w:eastAsia="仿宋_GB2312" w:cs="Times New Roman"/>
          <w:color w:val="auto"/>
          <w:sz w:val="32"/>
          <w:szCs w:val="32"/>
          <w:highlight w:val="none"/>
        </w:rPr>
        <w:t>年初预算</w:t>
      </w:r>
      <w:r>
        <w:rPr>
          <w:rFonts w:hint="eastAsia" w:eastAsia="仿宋_GB2312" w:cs="Times New Roman"/>
          <w:color w:val="auto"/>
          <w:sz w:val="32"/>
          <w:szCs w:val="32"/>
          <w:highlight w:val="none"/>
          <w:lang w:val="en-US" w:eastAsia="zh-CN"/>
        </w:rPr>
        <w:t>28.73</w:t>
      </w:r>
      <w:r>
        <w:rPr>
          <w:rFonts w:hint="default" w:ascii="Times New Roman" w:hAnsi="Times New Roman" w:eastAsia="仿宋_GB2312" w:cs="Times New Roman"/>
          <w:color w:val="auto"/>
          <w:sz w:val="32"/>
          <w:szCs w:val="32"/>
          <w:highlight w:val="none"/>
        </w:rPr>
        <w:t>万元，全年预算</w:t>
      </w:r>
      <w:r>
        <w:rPr>
          <w:rFonts w:hint="eastAsia" w:eastAsia="仿宋_GB2312" w:cs="Times New Roman"/>
          <w:color w:val="auto"/>
          <w:sz w:val="32"/>
          <w:szCs w:val="32"/>
          <w:highlight w:val="none"/>
          <w:lang w:val="en-US" w:eastAsia="zh-CN"/>
        </w:rPr>
        <w:t>28.73</w:t>
      </w:r>
      <w:r>
        <w:rPr>
          <w:rFonts w:hint="default" w:ascii="Times New Roman" w:hAnsi="Times New Roman" w:eastAsia="仿宋_GB2312" w:cs="Times New Roman"/>
          <w:color w:val="auto"/>
          <w:sz w:val="32"/>
          <w:szCs w:val="32"/>
          <w:highlight w:val="none"/>
        </w:rPr>
        <w:t>万元，实际支出</w:t>
      </w:r>
      <w:r>
        <w:rPr>
          <w:rFonts w:hint="eastAsia" w:eastAsia="仿宋_GB2312" w:cs="Times New Roman"/>
          <w:color w:val="auto"/>
          <w:sz w:val="32"/>
          <w:szCs w:val="32"/>
          <w:highlight w:val="none"/>
          <w:lang w:val="en-US" w:eastAsia="zh-CN"/>
        </w:rPr>
        <w:t>28.73</w:t>
      </w:r>
      <w:r>
        <w:rPr>
          <w:rFonts w:hint="default" w:ascii="Times New Roman" w:hAnsi="Times New Roman" w:eastAsia="仿宋_GB2312" w:cs="Times New Roman"/>
          <w:color w:val="auto"/>
          <w:sz w:val="32"/>
          <w:szCs w:val="32"/>
          <w:highlight w:val="none"/>
        </w:rPr>
        <w:t>万元，预算执行率为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%，项目绩效指标总体完成率为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Hans"/>
        </w:rPr>
        <w:t>总体</w:t>
      </w:r>
      <w:r>
        <w:rPr>
          <w:rFonts w:hint="default" w:ascii="Times New Roman" w:hAnsi="Times New Roman" w:eastAsia="仿宋_GB2312" w:cs="Times New Roman"/>
          <w:color w:val="auto"/>
          <w:sz w:val="32"/>
          <w:szCs w:val="32"/>
          <w:highlight w:val="none"/>
        </w:rPr>
        <w:t>偏差率为</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p>
    <w:p w14:paraId="1DF17F38">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黑体" w:cs="Times New Roman"/>
          <w:color w:val="auto"/>
          <w:sz w:val="32"/>
          <w:szCs w:val="32"/>
          <w:highlight w:val="none"/>
        </w:rPr>
        <w:t>主要经验及做法、存在的问题及原因分析</w:t>
      </w:r>
    </w:p>
    <w:p w14:paraId="5EDBEC83">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14:paraId="424131D7">
      <w:pPr>
        <w:spacing w:line="600" w:lineRule="exact"/>
        <w:ind w:firstLine="640" w:firstLineChars="200"/>
        <w:outlineLvl w:val="0"/>
        <w:rPr>
          <w:rFonts w:eastAsia="仿宋_GB2312"/>
          <w:sz w:val="32"/>
          <w:szCs w:val="32"/>
        </w:rPr>
      </w:pPr>
      <w:r>
        <w:rPr>
          <w:rFonts w:eastAsia="仿宋_GB2312"/>
          <w:sz w:val="32"/>
          <w:szCs w:val="32"/>
        </w:rPr>
        <w:t>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C29E65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eastAsia" w:ascii="仿宋_GB2312" w:hAnsi="宋体" w:eastAsia="仿宋_GB2312"/>
          <w:bCs/>
          <w:sz w:val="32"/>
          <w:szCs w:val="32"/>
        </w:rPr>
        <w:t>按照年初预算资金项目组织并实施，加强年初预算项目的管理，提高项目资金预算的准确性。县教育局按照《行政事业单位内部控制规范》《会计工作基础规范》的要求，并结合自身实际情况建立健全各部门，各环节，各岗位内部控制制度，并确保制度能够长期有效的坚持执行。项目支出方面，教育局严格审查编制方案和执行政府采购程序，基建修缮项目要附有审计结算报告，设备采购项目要附有政府采购合同，其他项目支出要附有专项预算报告，保证了项目资金使用的合规、有效。</w:t>
      </w:r>
    </w:p>
    <w:p w14:paraId="6197DFF2">
      <w:pPr>
        <w:shd w:val="clear"/>
        <w:spacing w:line="600" w:lineRule="exact"/>
        <w:ind w:firstLine="640" w:firstLineChars="200"/>
        <w:outlineLvl w:val="0"/>
        <w:rPr>
          <w:rFonts w:hint="eastAsia" w:ascii="仿宋_GB2312" w:hAnsi="宋体" w:eastAsia="仿宋_GB2312"/>
          <w:bCs/>
          <w:sz w:val="32"/>
          <w:szCs w:val="32"/>
        </w:rPr>
      </w:pPr>
      <w:r>
        <w:rPr>
          <w:rFonts w:hint="eastAsia" w:ascii="仿宋_GB2312" w:hAnsi="宋体" w:eastAsia="仿宋_GB2312"/>
          <w:bCs/>
          <w:sz w:val="32"/>
          <w:szCs w:val="32"/>
        </w:rPr>
        <w:t>1.加快预算执行进度。部门预算批复后，应结合单位实际情况进行预算执行进度分析，科学合理安排支出，降低预算支出的波动幅度。严格执行项目支出预算，积极组织项目的实施，通过加强对项目支出预算执行的管理，杜绝单位虚报项目支出或不进行充分科学论证导致项目支出无法实施的现象，提高财政资金使用绩效。</w:t>
      </w:r>
    </w:p>
    <w:p w14:paraId="7286FFBD">
      <w:pPr>
        <w:shd w:val="clear"/>
        <w:spacing w:line="600" w:lineRule="exact"/>
        <w:ind w:firstLine="640" w:firstLineChars="200"/>
        <w:outlineLvl w:val="0"/>
        <w:rPr>
          <w:rFonts w:hint="eastAsia" w:ascii="仿宋_GB2312" w:hAnsi="宋体" w:eastAsia="仿宋_GB2312"/>
          <w:bCs/>
          <w:sz w:val="32"/>
          <w:szCs w:val="32"/>
        </w:rPr>
      </w:pPr>
      <w:r>
        <w:rPr>
          <w:rFonts w:hint="eastAsia" w:ascii="仿宋_GB2312" w:hAnsi="宋体" w:eastAsia="仿宋_GB2312"/>
          <w:bCs/>
          <w:sz w:val="32"/>
          <w:szCs w:val="32"/>
        </w:rPr>
        <w:t>2.加强对预算执行过程的控制和结果的反馈。重视预算执行过程的控制，统一部门预算口径与会计核算口径，对预算收入完成情况，预算支出情况，预算调整情况进行监控，采取措施纠正执行偏差，不断完善事前计划、事中控制、事后总结反馈的管理体系。同时，单位应当加强决算管理工作，确保决算真实、完整、准确、及时，加强决算分析工作，强化决算分析结果的运用。</w:t>
      </w:r>
    </w:p>
    <w:p w14:paraId="2149324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仿宋_GB2312" w:hAnsi="宋体" w:eastAsia="仿宋_GB2312"/>
          <w:bCs/>
          <w:sz w:val="32"/>
          <w:szCs w:val="32"/>
        </w:rPr>
        <w:t>3.加强财政预算执行的监督。应建立财政预算资金使用的跟踪回访、责任追究制度，完善预算项目的调整变更、追加、取消的审批规范制度，用规范、机制和制度全方位、全过程检查监督预算资金的运行，确保预算资金的有效使用，预防避免发生违法违纪行为，严惩预算执行中出现的违法违规问题。</w:t>
      </w:r>
    </w:p>
    <w:p w14:paraId="59ACBFDD">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rPr>
        <w:t>有关建议</w:t>
      </w:r>
    </w:p>
    <w:p w14:paraId="0140F5E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4D30EB5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1A5ED5C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A8D23AB">
      <w:pPr>
        <w:shd w:val="clear"/>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14:paraId="2FCA30E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A4EE3F9">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14:paraId="1E656E13">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14:paraId="34B0107D">
      <w:pPr>
        <w:pStyle w:val="13"/>
        <w:spacing w:after="0" w:line="560" w:lineRule="exact"/>
        <w:ind w:left="0" w:leftChars="0" w:firstLine="0" w:firstLineChars="0"/>
        <w:rPr>
          <w:rFonts w:hint="eastAsia" w:ascii="Times New Roman" w:hAnsi="Times New Roman" w:eastAsia="仿宋_GB2312" w:cs="Times New Roman"/>
          <w:color w:val="auto"/>
          <w:sz w:val="32"/>
          <w:szCs w:val="32"/>
          <w:highlight w:val="none"/>
          <w:lang w:eastAsia="zh-CN"/>
        </w:rPr>
      </w:pPr>
    </w:p>
    <w:p w14:paraId="2CE24934">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14:paraId="376572D6">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66ABEC1F">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14:paraId="05B56754">
      <w:pPr>
        <w:pStyle w:val="19"/>
        <w:ind w:firstLine="562"/>
        <w:jc w:val="center"/>
        <w:rPr>
          <w:rFonts w:hint="eastAsia" w:ascii="仿宋_GB2312" w:hAnsi="仿宋_GB2312" w:eastAsia="仿宋_GB2312" w:cs="仿宋_GB2312"/>
          <w:color w:val="auto"/>
          <w:sz w:val="28"/>
          <w:szCs w:val="40"/>
          <w:highlight w:val="none"/>
        </w:rPr>
      </w:pPr>
      <w:bookmarkStart w:id="1" w:name="_Toc30064_WPSOffice_Level1"/>
      <w:bookmarkStart w:id="2" w:name="_Toc26499_WPSOffice_Level2"/>
      <w:r>
        <w:rPr>
          <w:rFonts w:hint="eastAsia" w:ascii="仿宋_GB2312" w:hAnsi="仿宋_GB2312" w:eastAsia="仿宋_GB2312" w:cs="仿宋_GB2312"/>
          <w:b/>
          <w:bCs/>
          <w:color w:val="auto"/>
          <w:sz w:val="28"/>
          <w:szCs w:val="40"/>
          <w:highlight w:val="none"/>
          <w:lang w:val="en-US" w:eastAsia="zh-CN"/>
        </w:rPr>
        <w:t>2024年城乡义务教育补助经费-小学公用经费</w:t>
      </w:r>
      <w:r>
        <w:rPr>
          <w:rFonts w:hint="eastAsia" w:ascii="仿宋_GB2312" w:hAnsi="仿宋_GB2312" w:eastAsia="仿宋_GB2312" w:cs="仿宋_GB2312"/>
          <w:b/>
          <w:bCs/>
          <w:color w:val="auto"/>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561727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234695A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1000" w:type="dxa"/>
            <w:shd w:val="clear" w:color="auto" w:fill="FFFFFF"/>
            <w:vAlign w:val="center"/>
          </w:tcPr>
          <w:p w14:paraId="5A9A63D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1071" w:type="dxa"/>
            <w:shd w:val="clear" w:color="auto" w:fill="FFFFFF"/>
            <w:vAlign w:val="center"/>
          </w:tcPr>
          <w:p w14:paraId="413AD74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1725" w:type="dxa"/>
            <w:shd w:val="clear" w:color="auto" w:fill="FFFFFF"/>
            <w:vAlign w:val="center"/>
          </w:tcPr>
          <w:p w14:paraId="6A89A4F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5216" w:type="dxa"/>
            <w:shd w:val="clear" w:color="auto" w:fill="FFFFFF"/>
            <w:vAlign w:val="center"/>
          </w:tcPr>
          <w:p w14:paraId="1D532EA6">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1304" w:type="dxa"/>
            <w:gridSpan w:val="2"/>
            <w:shd w:val="clear" w:color="auto" w:fill="FFFFFF"/>
            <w:vAlign w:val="center"/>
          </w:tcPr>
          <w:p w14:paraId="03448F5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1365" w:type="dxa"/>
            <w:shd w:val="clear" w:color="auto" w:fill="FFFFFF"/>
            <w:vAlign w:val="center"/>
          </w:tcPr>
          <w:p w14:paraId="67BFB85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14:paraId="2F77EB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13B0DE53">
            <w:pPr>
              <w:widowControl/>
              <w:spacing w:line="0" w:lineRule="atLeast"/>
              <w:jc w:val="center"/>
              <w:rPr>
                <w:rFonts w:hint="default" w:ascii="Times New Roman" w:hAnsi="Times New Roman" w:eastAsia="仿宋_GB2312" w:cs="Times New Roman"/>
                <w:color w:val="auto"/>
                <w:kern w:val="0"/>
                <w:sz w:val="18"/>
                <w:szCs w:val="18"/>
                <w:highlight w:val="none"/>
              </w:rPr>
            </w:pPr>
          </w:p>
          <w:p w14:paraId="5180932A">
            <w:pPr>
              <w:widowControl/>
              <w:spacing w:line="0" w:lineRule="atLeast"/>
              <w:jc w:val="center"/>
              <w:rPr>
                <w:rFonts w:hint="default" w:ascii="Times New Roman" w:hAnsi="Times New Roman" w:eastAsia="仿宋_GB2312" w:cs="Times New Roman"/>
                <w:color w:val="auto"/>
                <w:kern w:val="0"/>
                <w:sz w:val="18"/>
                <w:szCs w:val="18"/>
                <w:highlight w:val="none"/>
              </w:rPr>
            </w:pPr>
          </w:p>
          <w:p w14:paraId="3239E7B0">
            <w:pPr>
              <w:widowControl/>
              <w:spacing w:line="0" w:lineRule="atLeast"/>
              <w:jc w:val="center"/>
              <w:rPr>
                <w:rFonts w:hint="default" w:ascii="Times New Roman" w:hAnsi="Times New Roman" w:eastAsia="仿宋_GB2312" w:cs="Times New Roman"/>
                <w:color w:val="auto"/>
                <w:kern w:val="0"/>
                <w:sz w:val="18"/>
                <w:szCs w:val="18"/>
                <w:highlight w:val="none"/>
              </w:rPr>
            </w:pPr>
          </w:p>
          <w:p w14:paraId="1D1229AD">
            <w:pPr>
              <w:widowControl/>
              <w:spacing w:line="0" w:lineRule="atLeast"/>
              <w:jc w:val="center"/>
              <w:rPr>
                <w:rFonts w:hint="default" w:ascii="Times New Roman" w:hAnsi="Times New Roman" w:eastAsia="仿宋_GB2312" w:cs="Times New Roman"/>
                <w:color w:val="auto"/>
                <w:kern w:val="0"/>
                <w:sz w:val="18"/>
                <w:szCs w:val="18"/>
                <w:highlight w:val="none"/>
              </w:rPr>
            </w:pPr>
          </w:p>
          <w:p w14:paraId="39F0A60B">
            <w:pPr>
              <w:widowControl/>
              <w:spacing w:line="0" w:lineRule="atLeast"/>
              <w:jc w:val="center"/>
              <w:rPr>
                <w:rFonts w:hint="default" w:ascii="Times New Roman" w:hAnsi="Times New Roman" w:eastAsia="仿宋_GB2312" w:cs="Times New Roman"/>
                <w:color w:val="auto"/>
                <w:kern w:val="0"/>
                <w:sz w:val="18"/>
                <w:szCs w:val="18"/>
                <w:highlight w:val="none"/>
              </w:rPr>
            </w:pPr>
          </w:p>
          <w:p w14:paraId="6C0EA0D6">
            <w:pPr>
              <w:widowControl/>
              <w:spacing w:line="0" w:lineRule="atLeast"/>
              <w:jc w:val="center"/>
              <w:rPr>
                <w:rFonts w:hint="default" w:ascii="Times New Roman" w:hAnsi="Times New Roman" w:eastAsia="仿宋_GB2312" w:cs="Times New Roman"/>
                <w:color w:val="auto"/>
                <w:kern w:val="0"/>
                <w:sz w:val="18"/>
                <w:szCs w:val="18"/>
                <w:highlight w:val="none"/>
              </w:rPr>
            </w:pPr>
          </w:p>
          <w:p w14:paraId="01C8984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1000" w:type="dxa"/>
            <w:vMerge w:val="restart"/>
            <w:shd w:val="clear" w:color="auto" w:fill="FFFFFF"/>
            <w:vAlign w:val="center"/>
          </w:tcPr>
          <w:p w14:paraId="58CD8E1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1071" w:type="dxa"/>
            <w:shd w:val="clear" w:color="auto" w:fill="FFFFFF"/>
            <w:vAlign w:val="center"/>
          </w:tcPr>
          <w:p w14:paraId="48F1059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14:paraId="42253E2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1725" w:type="dxa"/>
            <w:shd w:val="clear" w:color="auto" w:fill="FFFFFF"/>
            <w:vAlign w:val="center"/>
          </w:tcPr>
          <w:p w14:paraId="3444FD8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6B81635D">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1304" w:type="dxa"/>
            <w:gridSpan w:val="2"/>
            <w:shd w:val="clear" w:color="auto" w:fill="FFFFFF"/>
            <w:vAlign w:val="center"/>
          </w:tcPr>
          <w:p w14:paraId="0C78292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14:paraId="7AB2259B">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67927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1B9DF88">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3C241DBA">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0818723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14:paraId="03D96D3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1725" w:type="dxa"/>
            <w:shd w:val="clear" w:color="auto" w:fill="FFFFFF"/>
            <w:vAlign w:val="center"/>
          </w:tcPr>
          <w:p w14:paraId="6CBC04C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5216" w:type="dxa"/>
            <w:shd w:val="clear" w:color="auto" w:fill="FFFFFF"/>
            <w:vAlign w:val="center"/>
          </w:tcPr>
          <w:p w14:paraId="375528FC">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6EA50C7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14:paraId="7DA34702">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10982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CAA8F6E">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040C706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1071" w:type="dxa"/>
            <w:shd w:val="clear" w:color="auto" w:fill="FFFFFF"/>
            <w:vAlign w:val="center"/>
          </w:tcPr>
          <w:p w14:paraId="7F61581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14:paraId="38BE7FE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000000" w:fill="FFFFFF"/>
            <w:vAlign w:val="center"/>
          </w:tcPr>
          <w:p w14:paraId="14CE328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70A69335">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14:paraId="6FC9F81D">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1304" w:type="dxa"/>
            <w:gridSpan w:val="2"/>
            <w:shd w:val="clear" w:color="000000" w:fill="FFFFFF"/>
            <w:vAlign w:val="center"/>
          </w:tcPr>
          <w:p w14:paraId="4A29C9A6">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14:paraId="615ADFF6">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7396C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6E577B80">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135BC41B">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1741BBB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14:paraId="7366BCF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1725" w:type="dxa"/>
            <w:shd w:val="clear" w:color="000000" w:fill="FFFFFF"/>
            <w:vAlign w:val="center"/>
          </w:tcPr>
          <w:p w14:paraId="126ACF4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57C1154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1304" w:type="dxa"/>
            <w:gridSpan w:val="2"/>
            <w:shd w:val="clear" w:color="000000" w:fill="FFFFFF"/>
            <w:vAlign w:val="center"/>
          </w:tcPr>
          <w:p w14:paraId="68D02E0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14:paraId="1E5C070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2372E0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2C48B84C">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265CF41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14:paraId="72122621">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14:paraId="641AFC3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14:paraId="7890569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1725" w:type="dxa"/>
            <w:shd w:val="clear" w:color="auto" w:fill="FFFFFF"/>
            <w:vAlign w:val="center"/>
          </w:tcPr>
          <w:p w14:paraId="530FF10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AAE984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1304" w:type="dxa"/>
            <w:gridSpan w:val="2"/>
            <w:shd w:val="clear" w:color="auto" w:fill="FFFFFF"/>
            <w:vAlign w:val="center"/>
          </w:tcPr>
          <w:p w14:paraId="4BFC23A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02105773">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212FC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52DF1AE4">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2096FA71">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64CE97B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14:paraId="1D17D76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auto" w:fill="FFFFFF"/>
            <w:vAlign w:val="center"/>
          </w:tcPr>
          <w:p w14:paraId="66CC26A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68F6E2B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1304" w:type="dxa"/>
            <w:gridSpan w:val="2"/>
            <w:shd w:val="clear" w:color="auto" w:fill="FFFFFF"/>
            <w:vAlign w:val="center"/>
          </w:tcPr>
          <w:p w14:paraId="620AA4A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7F4D598C">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266B5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2B2B4AAD">
            <w:pPr>
              <w:spacing w:line="0" w:lineRule="atLeast"/>
              <w:jc w:val="center"/>
              <w:rPr>
                <w:rFonts w:hint="default" w:ascii="Times New Roman" w:hAnsi="Times New Roman" w:eastAsia="仿宋_GB2312" w:cs="Times New Roman"/>
                <w:color w:val="auto"/>
                <w:kern w:val="0"/>
                <w:sz w:val="18"/>
                <w:szCs w:val="18"/>
                <w:highlight w:val="none"/>
              </w:rPr>
            </w:pPr>
          </w:p>
          <w:p w14:paraId="3F868FDB">
            <w:pPr>
              <w:spacing w:line="0" w:lineRule="atLeast"/>
              <w:jc w:val="center"/>
              <w:rPr>
                <w:rFonts w:hint="default" w:ascii="Times New Roman" w:hAnsi="Times New Roman" w:eastAsia="仿宋_GB2312" w:cs="Times New Roman"/>
                <w:color w:val="auto"/>
                <w:kern w:val="0"/>
                <w:sz w:val="18"/>
                <w:szCs w:val="18"/>
                <w:highlight w:val="none"/>
              </w:rPr>
            </w:pPr>
          </w:p>
          <w:p w14:paraId="4E201932">
            <w:pPr>
              <w:spacing w:line="0" w:lineRule="atLeast"/>
              <w:jc w:val="center"/>
              <w:rPr>
                <w:rFonts w:hint="default" w:ascii="Times New Roman" w:hAnsi="Times New Roman" w:eastAsia="仿宋_GB2312" w:cs="Times New Roman"/>
                <w:color w:val="auto"/>
                <w:kern w:val="0"/>
                <w:sz w:val="18"/>
                <w:szCs w:val="18"/>
                <w:highlight w:val="none"/>
              </w:rPr>
            </w:pPr>
          </w:p>
          <w:p w14:paraId="78A6528B">
            <w:pPr>
              <w:spacing w:line="0" w:lineRule="atLeast"/>
              <w:jc w:val="center"/>
              <w:rPr>
                <w:rFonts w:hint="default" w:ascii="Times New Roman" w:hAnsi="Times New Roman" w:eastAsia="仿宋_GB2312" w:cs="Times New Roman"/>
                <w:color w:val="auto"/>
                <w:kern w:val="0"/>
                <w:sz w:val="18"/>
                <w:szCs w:val="18"/>
                <w:highlight w:val="none"/>
              </w:rPr>
            </w:pPr>
          </w:p>
          <w:p w14:paraId="75FCBEBB">
            <w:pPr>
              <w:spacing w:line="0" w:lineRule="atLeast"/>
              <w:jc w:val="center"/>
              <w:rPr>
                <w:rFonts w:hint="default" w:ascii="Times New Roman" w:hAnsi="Times New Roman" w:eastAsia="仿宋_GB2312" w:cs="Times New Roman"/>
                <w:color w:val="auto"/>
                <w:kern w:val="0"/>
                <w:sz w:val="18"/>
                <w:szCs w:val="18"/>
                <w:highlight w:val="none"/>
              </w:rPr>
            </w:pPr>
          </w:p>
          <w:p w14:paraId="6E437469">
            <w:pPr>
              <w:spacing w:line="0" w:lineRule="atLeast"/>
              <w:jc w:val="center"/>
              <w:rPr>
                <w:rFonts w:hint="default" w:ascii="Times New Roman" w:hAnsi="Times New Roman" w:eastAsia="仿宋_GB2312" w:cs="Times New Roman"/>
                <w:color w:val="auto"/>
                <w:kern w:val="0"/>
                <w:sz w:val="18"/>
                <w:szCs w:val="18"/>
                <w:highlight w:val="none"/>
              </w:rPr>
            </w:pPr>
          </w:p>
          <w:p w14:paraId="510C406F">
            <w:pPr>
              <w:spacing w:line="0" w:lineRule="atLeast"/>
              <w:jc w:val="center"/>
              <w:rPr>
                <w:rFonts w:hint="default" w:ascii="Times New Roman" w:hAnsi="Times New Roman" w:eastAsia="仿宋_GB2312" w:cs="Times New Roman"/>
                <w:color w:val="auto"/>
                <w:kern w:val="0"/>
                <w:sz w:val="18"/>
                <w:szCs w:val="18"/>
                <w:highlight w:val="none"/>
              </w:rPr>
            </w:pPr>
          </w:p>
          <w:p w14:paraId="5400887E">
            <w:pPr>
              <w:spacing w:line="0" w:lineRule="atLeast"/>
              <w:jc w:val="center"/>
              <w:rPr>
                <w:rFonts w:hint="default" w:ascii="Times New Roman" w:hAnsi="Times New Roman" w:eastAsia="仿宋_GB2312" w:cs="Times New Roman"/>
                <w:color w:val="auto"/>
                <w:kern w:val="0"/>
                <w:sz w:val="18"/>
                <w:szCs w:val="18"/>
                <w:highlight w:val="none"/>
              </w:rPr>
            </w:pPr>
          </w:p>
          <w:p w14:paraId="52E708B0">
            <w:pPr>
              <w:spacing w:line="0" w:lineRule="atLeast"/>
              <w:jc w:val="center"/>
              <w:rPr>
                <w:rFonts w:hint="default" w:ascii="Times New Roman" w:hAnsi="Times New Roman" w:eastAsia="仿宋_GB2312" w:cs="Times New Roman"/>
                <w:color w:val="auto"/>
                <w:kern w:val="0"/>
                <w:sz w:val="18"/>
                <w:szCs w:val="18"/>
                <w:highlight w:val="none"/>
              </w:rPr>
            </w:pPr>
          </w:p>
          <w:p w14:paraId="02059BF9">
            <w:pPr>
              <w:spacing w:line="0" w:lineRule="atLeast"/>
              <w:jc w:val="center"/>
              <w:rPr>
                <w:rFonts w:hint="default" w:ascii="Times New Roman" w:hAnsi="Times New Roman" w:eastAsia="仿宋_GB2312" w:cs="Times New Roman"/>
                <w:color w:val="auto"/>
                <w:kern w:val="0"/>
                <w:sz w:val="18"/>
                <w:szCs w:val="18"/>
                <w:highlight w:val="none"/>
              </w:rPr>
            </w:pPr>
          </w:p>
          <w:p w14:paraId="01131343">
            <w:pPr>
              <w:spacing w:line="0" w:lineRule="atLeast"/>
              <w:jc w:val="center"/>
              <w:rPr>
                <w:rFonts w:hint="default" w:ascii="Times New Roman" w:hAnsi="Times New Roman" w:eastAsia="仿宋_GB2312" w:cs="Times New Roman"/>
                <w:color w:val="auto"/>
                <w:kern w:val="0"/>
                <w:sz w:val="18"/>
                <w:szCs w:val="18"/>
                <w:highlight w:val="none"/>
              </w:rPr>
            </w:pPr>
          </w:p>
          <w:p w14:paraId="4FE8B419">
            <w:pPr>
              <w:spacing w:line="0" w:lineRule="atLeast"/>
              <w:jc w:val="center"/>
              <w:rPr>
                <w:rFonts w:hint="default" w:ascii="Times New Roman" w:hAnsi="Times New Roman" w:eastAsia="仿宋_GB2312" w:cs="Times New Roman"/>
                <w:color w:val="auto"/>
                <w:kern w:val="0"/>
                <w:sz w:val="18"/>
                <w:szCs w:val="18"/>
                <w:highlight w:val="none"/>
              </w:rPr>
            </w:pPr>
          </w:p>
          <w:p w14:paraId="154CF5DC">
            <w:pPr>
              <w:spacing w:line="0" w:lineRule="atLeast"/>
              <w:jc w:val="center"/>
              <w:rPr>
                <w:rFonts w:hint="default" w:ascii="Times New Roman" w:hAnsi="Times New Roman" w:eastAsia="仿宋_GB2312" w:cs="Times New Roman"/>
                <w:color w:val="auto"/>
                <w:kern w:val="0"/>
                <w:sz w:val="18"/>
                <w:szCs w:val="18"/>
                <w:highlight w:val="none"/>
              </w:rPr>
            </w:pPr>
          </w:p>
          <w:p w14:paraId="02D60C6C">
            <w:pPr>
              <w:spacing w:line="0" w:lineRule="atLeast"/>
              <w:jc w:val="center"/>
              <w:rPr>
                <w:rFonts w:hint="default" w:ascii="Times New Roman" w:hAnsi="Times New Roman" w:eastAsia="仿宋_GB2312" w:cs="Times New Roman"/>
                <w:color w:val="auto"/>
                <w:kern w:val="0"/>
                <w:sz w:val="18"/>
                <w:szCs w:val="18"/>
                <w:highlight w:val="none"/>
              </w:rPr>
            </w:pPr>
          </w:p>
          <w:p w14:paraId="7594B511">
            <w:pPr>
              <w:spacing w:line="0" w:lineRule="atLeast"/>
              <w:jc w:val="center"/>
              <w:rPr>
                <w:rFonts w:hint="default" w:ascii="Times New Roman" w:hAnsi="Times New Roman" w:eastAsia="仿宋_GB2312" w:cs="Times New Roman"/>
                <w:color w:val="auto"/>
                <w:kern w:val="0"/>
                <w:sz w:val="18"/>
                <w:szCs w:val="18"/>
                <w:highlight w:val="none"/>
              </w:rPr>
            </w:pPr>
          </w:p>
          <w:p w14:paraId="716FBC79">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14:paraId="6944FDD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00" w:type="dxa"/>
            <w:vMerge w:val="restart"/>
            <w:shd w:val="clear" w:color="auto" w:fill="FFFFFF"/>
            <w:vAlign w:val="center"/>
          </w:tcPr>
          <w:p w14:paraId="25B894C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14:paraId="15DCBAB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1725" w:type="dxa"/>
            <w:shd w:val="clear" w:color="000000" w:fill="FFFFFF"/>
            <w:vAlign w:val="center"/>
          </w:tcPr>
          <w:p w14:paraId="6A48A02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3530254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14:paraId="54B289B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14:paraId="0EB68A0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5494F7E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0019672C">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46E7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2891C0F4">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5D6A72CE">
            <w:pPr>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592CC7E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1725" w:type="dxa"/>
            <w:shd w:val="clear" w:color="auto" w:fill="FFFFFF"/>
            <w:vAlign w:val="center"/>
          </w:tcPr>
          <w:p w14:paraId="6C6F5F0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5216" w:type="dxa"/>
            <w:shd w:val="clear" w:color="auto" w:fill="FFFFFF"/>
            <w:vAlign w:val="center"/>
          </w:tcPr>
          <w:p w14:paraId="6576E73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413FD88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5BEDCE7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03AC9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7607005">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277E3D9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14:paraId="4FECB63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14:paraId="42A3025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1725" w:type="dxa"/>
            <w:shd w:val="clear" w:color="000000" w:fill="FFFFFF"/>
            <w:vAlign w:val="center"/>
          </w:tcPr>
          <w:p w14:paraId="6F87D9E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3B26C85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1304" w:type="dxa"/>
            <w:gridSpan w:val="2"/>
            <w:shd w:val="clear" w:color="000000" w:fill="FFFFFF"/>
            <w:vAlign w:val="center"/>
          </w:tcPr>
          <w:p w14:paraId="759164A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45A3B9D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213BF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AC8BBD1">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37335D4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14:paraId="6FEB9921">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14:paraId="44BD802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14:paraId="7C28CEC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1725" w:type="dxa"/>
            <w:shd w:val="clear" w:color="000000" w:fill="FFFFFF"/>
            <w:vAlign w:val="center"/>
          </w:tcPr>
          <w:p w14:paraId="0D1D8B1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3443F15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1304" w:type="dxa"/>
            <w:gridSpan w:val="2"/>
            <w:shd w:val="clear" w:color="000000" w:fill="FFFFFF"/>
            <w:vAlign w:val="center"/>
          </w:tcPr>
          <w:p w14:paraId="5E289B26">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6C7380B0">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A262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7639764E">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122A6A47">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46736A2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14:paraId="4870EB6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1725" w:type="dxa"/>
            <w:shd w:val="clear" w:color="000000" w:fill="FFFFFF"/>
            <w:vAlign w:val="center"/>
          </w:tcPr>
          <w:p w14:paraId="1217987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4B53334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1304" w:type="dxa"/>
            <w:gridSpan w:val="2"/>
            <w:shd w:val="clear" w:color="000000" w:fill="FFFFFF"/>
            <w:vAlign w:val="center"/>
          </w:tcPr>
          <w:p w14:paraId="2E8FA52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6E653E8C">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22463B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8F775F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1000" w:type="dxa"/>
            <w:shd w:val="clear" w:color="auto" w:fill="FFFFFF"/>
            <w:vAlign w:val="center"/>
          </w:tcPr>
          <w:p w14:paraId="62B93BC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1071" w:type="dxa"/>
            <w:shd w:val="clear" w:color="auto" w:fill="FFFFFF"/>
            <w:vAlign w:val="center"/>
          </w:tcPr>
          <w:p w14:paraId="056F268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1725" w:type="dxa"/>
            <w:shd w:val="clear" w:color="000000" w:fill="FFFFFF"/>
            <w:vAlign w:val="center"/>
          </w:tcPr>
          <w:p w14:paraId="0EB02A7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4234357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191EA1E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07928A33">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D5AE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6185703A">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7EC5291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1071" w:type="dxa"/>
            <w:shd w:val="clear" w:color="auto" w:fill="FFFFFF"/>
            <w:vAlign w:val="center"/>
          </w:tcPr>
          <w:p w14:paraId="71EBC37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1725" w:type="dxa"/>
            <w:shd w:val="clear" w:color="000000" w:fill="FFFFFF"/>
            <w:vAlign w:val="center"/>
          </w:tcPr>
          <w:p w14:paraId="2307E8F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573F572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14:paraId="1831BCE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78EE0DB5">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6666492F">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80EC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47BDB660">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133E7719">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1071" w:type="dxa"/>
            <w:shd w:val="clear" w:color="auto" w:fill="FFFFFF"/>
            <w:vAlign w:val="center"/>
          </w:tcPr>
          <w:p w14:paraId="5B21A9F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1725" w:type="dxa"/>
            <w:shd w:val="clear" w:color="000000" w:fill="FFFFFF"/>
            <w:vAlign w:val="center"/>
          </w:tcPr>
          <w:p w14:paraId="11C74E9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234E772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1B62CE85">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1711D85F">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6224A7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8925E59">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032E2B6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1071" w:type="dxa"/>
            <w:shd w:val="clear" w:color="auto" w:fill="FFFFFF"/>
            <w:vAlign w:val="center"/>
          </w:tcPr>
          <w:p w14:paraId="686FE9D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1725" w:type="dxa"/>
            <w:shd w:val="clear" w:color="000000" w:fill="FFFFFF"/>
            <w:vAlign w:val="center"/>
          </w:tcPr>
          <w:p w14:paraId="6BA101B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1BC1E39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5569EE6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2D446B9D">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33EBE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720F552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1000" w:type="dxa"/>
            <w:vMerge w:val="restart"/>
            <w:shd w:val="clear" w:color="auto" w:fill="FFFFFF"/>
            <w:vAlign w:val="center"/>
          </w:tcPr>
          <w:p w14:paraId="2AF0C3C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1071" w:type="dxa"/>
            <w:shd w:val="clear" w:color="auto" w:fill="FFFFFF"/>
            <w:vAlign w:val="center"/>
          </w:tcPr>
          <w:p w14:paraId="0CE9B2B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1725" w:type="dxa"/>
            <w:shd w:val="clear" w:color="auto" w:fill="FFFFFF"/>
            <w:vAlign w:val="center"/>
          </w:tcPr>
          <w:p w14:paraId="2A5A6ACA">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5216" w:type="dxa"/>
            <w:shd w:val="clear" w:color="auto" w:fill="FFFFFF"/>
            <w:vAlign w:val="center"/>
          </w:tcPr>
          <w:p w14:paraId="4AED95B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26FED2F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auto" w:fill="FFFFFF"/>
            <w:vAlign w:val="center"/>
          </w:tcPr>
          <w:p w14:paraId="2A62ECD4">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6B4AC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5A58F5BB">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07FD0751">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2694E19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1725" w:type="dxa"/>
            <w:shd w:val="clear" w:color="000000" w:fill="FFFFFF"/>
            <w:vAlign w:val="center"/>
          </w:tcPr>
          <w:p w14:paraId="4BB0195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5216" w:type="dxa"/>
            <w:shd w:val="clear" w:color="000000" w:fill="FFFFFF"/>
            <w:vAlign w:val="center"/>
          </w:tcPr>
          <w:p w14:paraId="7513855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4C7D7FD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464DA404">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71DE9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050064E8">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合计</w:t>
            </w:r>
          </w:p>
        </w:tc>
        <w:tc>
          <w:tcPr>
            <w:tcW w:w="1299" w:type="dxa"/>
            <w:shd w:val="clear" w:color="000000" w:fill="FFFFFF"/>
            <w:vAlign w:val="center"/>
          </w:tcPr>
          <w:p w14:paraId="5073F8F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fldChar w:fldCharType="begin"/>
            </w:r>
            <w:r>
              <w:rPr>
                <w:rFonts w:hint="default" w:ascii="Times New Roman" w:hAnsi="Times New Roman" w:eastAsia="仿宋_GB2312" w:cs="Times New Roman"/>
                <w:b/>
                <w:bCs/>
                <w:color w:val="auto"/>
                <w:kern w:val="0"/>
                <w:sz w:val="18"/>
                <w:szCs w:val="18"/>
                <w:highlight w:val="none"/>
              </w:rPr>
              <w:instrText xml:space="preserve"> = sum(F2:F18) \* MERGEFORMAT </w:instrText>
            </w:r>
            <w:r>
              <w:rPr>
                <w:rFonts w:hint="default" w:ascii="Times New Roman" w:hAnsi="Times New Roman" w:eastAsia="仿宋_GB2312" w:cs="Times New Roman"/>
                <w:b/>
                <w:bCs/>
                <w:color w:val="auto"/>
                <w:kern w:val="0"/>
                <w:sz w:val="18"/>
                <w:szCs w:val="18"/>
                <w:highlight w:val="none"/>
              </w:rPr>
              <w:fldChar w:fldCharType="separate"/>
            </w:r>
            <w:r>
              <w:rPr>
                <w:rFonts w:hint="default" w:ascii="Times New Roman" w:hAnsi="Times New Roman" w:eastAsia="仿宋_GB2312" w:cs="Times New Roman"/>
                <w:b/>
                <w:bCs/>
                <w:color w:val="auto"/>
                <w:kern w:val="0"/>
                <w:sz w:val="18"/>
                <w:szCs w:val="18"/>
                <w:highlight w:val="none"/>
              </w:rPr>
              <w:t>100</w:t>
            </w:r>
            <w:r>
              <w:rPr>
                <w:rFonts w:hint="default" w:ascii="Times New Roman" w:hAnsi="Times New Roman" w:eastAsia="仿宋_GB2312" w:cs="Times New Roman"/>
                <w:b/>
                <w:bCs/>
                <w:color w:val="auto"/>
                <w:kern w:val="0"/>
                <w:sz w:val="18"/>
                <w:szCs w:val="18"/>
                <w:highlight w:val="none"/>
              </w:rPr>
              <w:fldChar w:fldCharType="end"/>
            </w:r>
          </w:p>
        </w:tc>
        <w:tc>
          <w:tcPr>
            <w:tcW w:w="1365" w:type="dxa"/>
            <w:shd w:val="clear" w:color="000000" w:fill="FFFFFF"/>
            <w:vAlign w:val="center"/>
          </w:tcPr>
          <w:p w14:paraId="238A6213">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100</w:t>
            </w:r>
          </w:p>
        </w:tc>
      </w:tr>
    </w:tbl>
    <w:p w14:paraId="445BDD04">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14:paraId="0301C065">
        <w:tblPrEx>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2A18E642">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6528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5CE8E6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61326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75AE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2FED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昌州财教[2023]90号关于提前下达2024年城乡义务教育补助经费预算[中央直达资金]的通知-小学公用经费</w:t>
            </w:r>
          </w:p>
        </w:tc>
      </w:tr>
      <w:tr w14:paraId="06E2D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711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737A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奇台县大泉塔塔尔族乡中心学校</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9790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A587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奇台县大泉塔塔尔族乡中心学校</w:t>
            </w:r>
          </w:p>
        </w:tc>
      </w:tr>
      <w:tr w14:paraId="2E049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82DD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53F1D3">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1B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3DE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038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0D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8B6E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598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2EB4A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23C34">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1087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EE77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w:t>
            </w:r>
            <w:r>
              <w:rPr>
                <w:rFonts w:hint="eastAsia" w:ascii="宋体" w:hAnsi="宋体" w:cs="宋体"/>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37</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D74F2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w:t>
            </w:r>
            <w:r>
              <w:rPr>
                <w:rFonts w:hint="eastAsia" w:ascii="宋体" w:hAnsi="宋体" w:cs="宋体"/>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37</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18844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w:t>
            </w:r>
            <w:r>
              <w:rPr>
                <w:rFonts w:hint="eastAsia" w:ascii="宋体" w:hAnsi="宋体" w:cs="宋体"/>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37</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FD3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DB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0A2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14:paraId="74CD9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A46EB">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067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2BAF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w:t>
            </w:r>
            <w:r>
              <w:rPr>
                <w:rFonts w:hint="eastAsia" w:ascii="宋体" w:hAnsi="宋体" w:cs="宋体"/>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37</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EEEC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28</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37</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EA745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w:t>
            </w:r>
            <w:r>
              <w:rPr>
                <w:rFonts w:hint="eastAsia" w:ascii="宋体" w:hAnsi="宋体" w:cs="宋体"/>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37</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AF7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88FB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F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22C1E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31503">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9F6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48BA5">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F77063">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FE35B">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C42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2C87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F21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40778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6B556">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18A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A068B">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B9283A">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9264DA">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8E10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F136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B3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3D2E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E13C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47F81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3CAB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1811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63274">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39B0F1AD">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依据昌州财教【2023】90号《关于提前下达2024年城乡义务教育补助经费预算[中央直达资金]的通知》，昌州财教【2023】95号《关于提前下达2024年城乡义务教育补助经费[自治区直达资金]的通知》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可持续影响，属于财政资金支持范围。</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6716A4C1">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截止2024年12月31日，本项目投入29.93万元，用于发放2024年义务教育保障机制经费，此项目已完成公用经费享受学生数286人，维修次数5次，公用经费享受比例100%，资金发放及时率100%，公用经费享受标准940元/生/年，通过项目的实施保障了学校的正常运转，促进了286人学生受益。</w:t>
            </w:r>
          </w:p>
        </w:tc>
      </w:tr>
      <w:tr w14:paraId="23E32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ECEB4">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CD7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C22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F7A6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D8C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B52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CB22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E1B6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198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4706F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8059F">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46F4A">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74844">
            <w:pPr>
              <w:jc w:val="center"/>
              <w:rPr>
                <w:rFonts w:hint="eastAsia" w:ascii="宋体" w:hAnsi="宋体" w:eastAsia="宋体" w:cs="宋体"/>
                <w:i w:val="0"/>
                <w:iCs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0B9FA">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37C8B">
            <w:pPr>
              <w:jc w:val="center"/>
              <w:rPr>
                <w:rFonts w:hint="eastAsia" w:ascii="宋体" w:hAnsi="宋体" w:eastAsia="宋体" w:cs="宋体"/>
                <w:i w:val="0"/>
                <w:iCs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78238">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57613">
            <w:pPr>
              <w:jc w:val="center"/>
              <w:rPr>
                <w:rFonts w:hint="eastAsia" w:ascii="宋体" w:hAnsi="宋体" w:eastAsia="宋体" w:cs="宋体"/>
                <w:i w:val="0"/>
                <w:iCs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18D58">
            <w:pPr>
              <w:jc w:val="center"/>
              <w:rPr>
                <w:rFonts w:hint="eastAsia" w:ascii="宋体" w:hAnsi="宋体" w:eastAsia="宋体" w:cs="宋体"/>
                <w:i w:val="0"/>
                <w:iCs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0158C">
            <w:pPr>
              <w:jc w:val="center"/>
              <w:rPr>
                <w:rFonts w:hint="eastAsia" w:ascii="宋体" w:hAnsi="宋体" w:eastAsia="宋体" w:cs="宋体"/>
                <w:i w:val="0"/>
                <w:iCs w:val="0"/>
                <w:color w:val="000000"/>
                <w:sz w:val="20"/>
                <w:szCs w:val="20"/>
                <w:u w:val="none"/>
              </w:rPr>
            </w:pPr>
          </w:p>
        </w:tc>
      </w:tr>
      <w:tr w14:paraId="70FB8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2AB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BB0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3E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A1E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公用经费享受学生数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EE9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=286人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09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=282人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C00A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C6E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83E03B">
            <w:pPr>
              <w:jc w:val="center"/>
              <w:rPr>
                <w:rFonts w:hint="eastAsia" w:ascii="宋体" w:hAnsi="宋体" w:eastAsia="宋体" w:cs="宋体"/>
                <w:i w:val="0"/>
                <w:iCs w:val="0"/>
                <w:color w:val="000000"/>
                <w:sz w:val="20"/>
                <w:szCs w:val="20"/>
                <w:u w:val="none"/>
              </w:rPr>
            </w:pPr>
          </w:p>
        </w:tc>
      </w:tr>
      <w:tr w14:paraId="48480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051A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2A855">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B78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808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维修次数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CC8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=5次</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FC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=5次</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4E4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D0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BF63B">
            <w:pPr>
              <w:jc w:val="center"/>
              <w:rPr>
                <w:rFonts w:hint="eastAsia" w:ascii="宋体" w:hAnsi="宋体" w:eastAsia="宋体" w:cs="宋体"/>
                <w:i w:val="0"/>
                <w:iCs w:val="0"/>
                <w:color w:val="000000"/>
                <w:sz w:val="20"/>
                <w:szCs w:val="20"/>
                <w:u w:val="none"/>
              </w:rPr>
            </w:pPr>
          </w:p>
        </w:tc>
      </w:tr>
      <w:tr w14:paraId="770CB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0F8AC">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AB903">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8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F8A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6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D3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DA9E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0377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E34FA">
            <w:pPr>
              <w:jc w:val="center"/>
              <w:rPr>
                <w:rFonts w:hint="eastAsia" w:ascii="宋体" w:hAnsi="宋体" w:eastAsia="宋体" w:cs="宋体"/>
                <w:i w:val="0"/>
                <w:iCs w:val="0"/>
                <w:color w:val="000000"/>
                <w:sz w:val="20"/>
                <w:szCs w:val="20"/>
                <w:u w:val="none"/>
              </w:rPr>
            </w:pPr>
          </w:p>
        </w:tc>
      </w:tr>
      <w:tr w14:paraId="521A0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CC140">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45B4E">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71A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3A3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维修完成及时率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442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D4A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86B5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F17F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06DDE0">
            <w:pPr>
              <w:jc w:val="center"/>
              <w:rPr>
                <w:rFonts w:hint="eastAsia" w:ascii="宋体" w:hAnsi="宋体" w:eastAsia="宋体" w:cs="宋体"/>
                <w:i w:val="0"/>
                <w:iCs w:val="0"/>
                <w:color w:val="000000"/>
                <w:sz w:val="20"/>
                <w:szCs w:val="20"/>
                <w:u w:val="none"/>
              </w:rPr>
            </w:pPr>
          </w:p>
        </w:tc>
      </w:tr>
      <w:tr w14:paraId="2604B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8D529">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9952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679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381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6A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8ED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C3BD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B9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862F93">
            <w:pPr>
              <w:jc w:val="center"/>
              <w:rPr>
                <w:rFonts w:hint="eastAsia" w:ascii="宋体" w:hAnsi="宋体" w:eastAsia="宋体" w:cs="宋体"/>
                <w:i w:val="0"/>
                <w:iCs w:val="0"/>
                <w:color w:val="000000"/>
                <w:sz w:val="20"/>
                <w:szCs w:val="20"/>
                <w:u w:val="none"/>
              </w:rPr>
            </w:pPr>
          </w:p>
        </w:tc>
      </w:tr>
      <w:tr w14:paraId="580FD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0516F">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E7D29">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F1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47BD">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E0C33">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DEF4">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B5B26">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650C9">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47C0E">
            <w:pPr>
              <w:jc w:val="center"/>
              <w:rPr>
                <w:rFonts w:hint="eastAsia" w:ascii="宋体" w:hAnsi="宋体" w:eastAsia="宋体" w:cs="宋体"/>
                <w:i w:val="0"/>
                <w:iCs w:val="0"/>
                <w:color w:val="000000"/>
                <w:sz w:val="20"/>
                <w:szCs w:val="20"/>
                <w:u w:val="none"/>
              </w:rPr>
            </w:pPr>
          </w:p>
        </w:tc>
      </w:tr>
      <w:tr w14:paraId="59D57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E3C79">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073E6">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0E1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51E6E">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DB096">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85772">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9CB131">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372DCD">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503B9C">
            <w:pPr>
              <w:jc w:val="center"/>
              <w:rPr>
                <w:rFonts w:hint="eastAsia" w:ascii="宋体" w:hAnsi="宋体" w:eastAsia="宋体" w:cs="宋体"/>
                <w:i w:val="0"/>
                <w:iCs w:val="0"/>
                <w:color w:val="000000"/>
                <w:sz w:val="20"/>
                <w:szCs w:val="20"/>
                <w:u w:val="none"/>
              </w:rPr>
            </w:pPr>
          </w:p>
        </w:tc>
      </w:tr>
      <w:tr w14:paraId="073B0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97086">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3C18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0CD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8AD0C">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1032B">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10BA4">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5DD015">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8EA6D2">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5D352">
            <w:pPr>
              <w:jc w:val="center"/>
              <w:rPr>
                <w:rFonts w:hint="eastAsia" w:ascii="宋体" w:hAnsi="宋体" w:eastAsia="宋体" w:cs="宋体"/>
                <w:i w:val="0"/>
                <w:iCs w:val="0"/>
                <w:color w:val="000000"/>
                <w:sz w:val="20"/>
                <w:szCs w:val="20"/>
                <w:u w:val="none"/>
              </w:rPr>
            </w:pPr>
          </w:p>
        </w:tc>
      </w:tr>
      <w:tr w14:paraId="4162C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EDB8E">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A483B">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56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55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提高学生的学习环境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108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E53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689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A4AF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AE08BF">
            <w:pPr>
              <w:jc w:val="center"/>
              <w:rPr>
                <w:rFonts w:hint="eastAsia" w:ascii="宋体" w:hAnsi="宋体" w:eastAsia="宋体" w:cs="宋体"/>
                <w:i w:val="0"/>
                <w:iCs w:val="0"/>
                <w:color w:val="000000"/>
                <w:sz w:val="20"/>
                <w:szCs w:val="20"/>
                <w:u w:val="none"/>
              </w:rPr>
            </w:pPr>
          </w:p>
        </w:tc>
      </w:tr>
      <w:tr w14:paraId="12F57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B3698">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A5860">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A27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F37F4">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73D3">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09E72">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E122F8">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2A62F8">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9108C">
            <w:pPr>
              <w:jc w:val="center"/>
              <w:rPr>
                <w:rFonts w:hint="eastAsia" w:ascii="宋体" w:hAnsi="宋体" w:eastAsia="宋体" w:cs="宋体"/>
                <w:i w:val="0"/>
                <w:iCs w:val="0"/>
                <w:color w:val="000000"/>
                <w:sz w:val="20"/>
                <w:szCs w:val="20"/>
                <w:u w:val="none"/>
              </w:rPr>
            </w:pPr>
          </w:p>
        </w:tc>
      </w:tr>
      <w:tr w14:paraId="48DC2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12DE7">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E3F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D3B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454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学生和老师满意度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27C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589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323C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C90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13AE22">
            <w:pPr>
              <w:jc w:val="center"/>
              <w:rPr>
                <w:rFonts w:hint="eastAsia" w:ascii="宋体" w:hAnsi="宋体" w:eastAsia="宋体" w:cs="宋体"/>
                <w:i w:val="0"/>
                <w:iCs w:val="0"/>
                <w:color w:val="000000"/>
                <w:sz w:val="20"/>
                <w:szCs w:val="20"/>
                <w:u w:val="none"/>
              </w:rPr>
            </w:pPr>
          </w:p>
        </w:tc>
      </w:tr>
      <w:tr w14:paraId="04E9C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5AE8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38A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FB16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35BF3">
            <w:pPr>
              <w:jc w:val="center"/>
              <w:rPr>
                <w:rFonts w:hint="eastAsia" w:ascii="宋体" w:hAnsi="宋体" w:eastAsia="宋体" w:cs="宋体"/>
                <w:i w:val="0"/>
                <w:iCs w:val="0"/>
                <w:color w:val="000000"/>
                <w:sz w:val="20"/>
                <w:szCs w:val="20"/>
                <w:u w:val="none"/>
              </w:rPr>
            </w:pPr>
          </w:p>
        </w:tc>
      </w:tr>
      <w:tr w14:paraId="6CC1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nil"/>
              <w:bottom w:val="nil"/>
              <w:right w:val="nil"/>
            </w:tcBorders>
            <w:shd w:val="clear" w:color="auto" w:fill="auto"/>
            <w:vAlign w:val="center"/>
          </w:tcPr>
          <w:p w14:paraId="4EF464C3">
            <w:pPr>
              <w:jc w:val="right"/>
              <w:rPr>
                <w:rFonts w:hint="eastAsia" w:ascii="宋体" w:hAnsi="宋体" w:eastAsia="宋体" w:cs="宋体"/>
                <w:i w:val="0"/>
                <w:iCs w:val="0"/>
                <w:color w:val="000000"/>
                <w:sz w:val="20"/>
                <w:szCs w:val="20"/>
                <w:u w:val="none"/>
              </w:rPr>
            </w:pPr>
          </w:p>
        </w:tc>
        <w:tc>
          <w:tcPr>
            <w:tcW w:w="3165" w:type="dxa"/>
            <w:gridSpan w:val="3"/>
            <w:tcBorders>
              <w:top w:val="single" w:color="000000" w:sz="4" w:space="0"/>
              <w:left w:val="nil"/>
              <w:bottom w:val="nil"/>
              <w:right w:val="nil"/>
            </w:tcBorders>
            <w:shd w:val="clear" w:color="auto" w:fill="auto"/>
            <w:vAlign w:val="center"/>
          </w:tcPr>
          <w:p w14:paraId="1CEC5693">
            <w:pPr>
              <w:jc w:val="left"/>
              <w:rPr>
                <w:rFonts w:hint="eastAsia" w:ascii="宋体" w:hAnsi="宋体" w:eastAsia="宋体" w:cs="宋体"/>
                <w:i w:val="0"/>
                <w:iCs w:val="0"/>
                <w:color w:val="000000"/>
                <w:sz w:val="20"/>
                <w:szCs w:val="20"/>
                <w:u w:val="none"/>
              </w:rPr>
            </w:pPr>
          </w:p>
        </w:tc>
        <w:tc>
          <w:tcPr>
            <w:tcW w:w="4335" w:type="dxa"/>
            <w:gridSpan w:val="4"/>
            <w:tcBorders>
              <w:top w:val="single" w:color="000000" w:sz="4" w:space="0"/>
              <w:left w:val="nil"/>
              <w:bottom w:val="nil"/>
              <w:right w:val="nil"/>
            </w:tcBorders>
            <w:shd w:val="clear" w:color="auto" w:fill="auto"/>
            <w:vAlign w:val="center"/>
          </w:tcPr>
          <w:p w14:paraId="484BFEAF">
            <w:pPr>
              <w:jc w:val="right"/>
              <w:rPr>
                <w:rFonts w:hint="eastAsia" w:ascii="宋体" w:hAnsi="宋体" w:eastAsia="宋体" w:cs="宋体"/>
                <w:i w:val="0"/>
                <w:iCs w:val="0"/>
                <w:color w:val="000000"/>
                <w:sz w:val="20"/>
                <w:szCs w:val="20"/>
                <w:u w:val="none"/>
              </w:rPr>
            </w:pPr>
          </w:p>
        </w:tc>
        <w:tc>
          <w:tcPr>
            <w:tcW w:w="4065" w:type="dxa"/>
            <w:gridSpan w:val="5"/>
            <w:tcBorders>
              <w:top w:val="single" w:color="000000" w:sz="4" w:space="0"/>
              <w:left w:val="nil"/>
              <w:bottom w:val="nil"/>
              <w:right w:val="nil"/>
            </w:tcBorders>
            <w:shd w:val="clear" w:color="auto" w:fill="auto"/>
            <w:vAlign w:val="center"/>
          </w:tcPr>
          <w:p w14:paraId="407C0C48">
            <w:pPr>
              <w:jc w:val="left"/>
              <w:rPr>
                <w:rFonts w:hint="eastAsia" w:ascii="宋体" w:hAnsi="宋体" w:eastAsia="宋体" w:cs="宋体"/>
                <w:i w:val="0"/>
                <w:iCs w:val="0"/>
                <w:color w:val="000000"/>
                <w:sz w:val="20"/>
                <w:szCs w:val="20"/>
                <w:u w:val="none"/>
              </w:rPr>
            </w:pPr>
          </w:p>
        </w:tc>
      </w:tr>
    </w:tbl>
    <w:p w14:paraId="586B262B">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0F1940E">
        <w:pPr>
          <w:pStyle w:val="7"/>
          <w:jc w:val="center"/>
        </w:pPr>
        <w:r>
          <w:fldChar w:fldCharType="begin"/>
        </w:r>
        <w:r>
          <w:instrText xml:space="preserve">PAGE   \* MERGEFORMAT</w:instrText>
        </w:r>
        <w:r>
          <w:fldChar w:fldCharType="separate"/>
        </w:r>
        <w:r>
          <w:rPr>
            <w:lang w:val="zh-CN"/>
          </w:rPr>
          <w:t>13</w:t>
        </w:r>
        <w:r>
          <w:fldChar w:fldCharType="end"/>
        </w:r>
      </w:p>
    </w:sdtContent>
  </w:sdt>
  <w:p w14:paraId="7AD0878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DF758"/>
    <w:multiLevelType w:val="singleLevel"/>
    <w:tmpl w:val="813DF758"/>
    <w:lvl w:ilvl="0" w:tentative="0">
      <w:start w:val="2"/>
      <w:numFmt w:val="decimal"/>
      <w:lvlText w:val="%1."/>
      <w:lvlJc w:val="left"/>
      <w:pPr>
        <w:tabs>
          <w:tab w:val="left" w:pos="312"/>
        </w:tabs>
      </w:pPr>
    </w:lvl>
  </w:abstractNum>
  <w:abstractNum w:abstractNumId="1">
    <w:nsid w:val="A21BA96C"/>
    <w:multiLevelType w:val="singleLevel"/>
    <w:tmpl w:val="A21BA96C"/>
    <w:lvl w:ilvl="0" w:tentative="0">
      <w:start w:val="1"/>
      <w:numFmt w:val="decimal"/>
      <w:lvlText w:val="%1."/>
      <w:lvlJc w:val="left"/>
      <w:pPr>
        <w:tabs>
          <w:tab w:val="left" w:pos="312"/>
        </w:tabs>
      </w:pPr>
    </w:lvl>
  </w:abstractNum>
  <w:abstractNum w:abstractNumId="2">
    <w:nsid w:val="F4CD2B0F"/>
    <w:multiLevelType w:val="singleLevel"/>
    <w:tmpl w:val="F4CD2B0F"/>
    <w:lvl w:ilvl="0" w:tentative="0">
      <w:start w:val="1"/>
      <w:numFmt w:val="decimal"/>
      <w:suff w:val="nothing"/>
      <w:lvlText w:val="（%1）"/>
      <w:lvlJc w:val="left"/>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965083"/>
    <w:rsid w:val="00F26FF6"/>
    <w:rsid w:val="01610122"/>
    <w:rsid w:val="01C012ED"/>
    <w:rsid w:val="02510197"/>
    <w:rsid w:val="03EC461B"/>
    <w:rsid w:val="0661309E"/>
    <w:rsid w:val="071A5591"/>
    <w:rsid w:val="07397B77"/>
    <w:rsid w:val="0AD007F3"/>
    <w:rsid w:val="0B503392"/>
    <w:rsid w:val="0D082A6E"/>
    <w:rsid w:val="0D0A5403"/>
    <w:rsid w:val="0D1C7D1F"/>
    <w:rsid w:val="0E3C619F"/>
    <w:rsid w:val="0F6273CA"/>
    <w:rsid w:val="0F661726"/>
    <w:rsid w:val="100F38EC"/>
    <w:rsid w:val="109D1E88"/>
    <w:rsid w:val="11170296"/>
    <w:rsid w:val="12C66037"/>
    <w:rsid w:val="12CD1ABC"/>
    <w:rsid w:val="13471461"/>
    <w:rsid w:val="13B90F01"/>
    <w:rsid w:val="155E4C4D"/>
    <w:rsid w:val="181066D2"/>
    <w:rsid w:val="1B604362"/>
    <w:rsid w:val="1C671E73"/>
    <w:rsid w:val="1D322C47"/>
    <w:rsid w:val="1E4B053E"/>
    <w:rsid w:val="21D02A2F"/>
    <w:rsid w:val="22290DFD"/>
    <w:rsid w:val="23616034"/>
    <w:rsid w:val="23696C97"/>
    <w:rsid w:val="23706277"/>
    <w:rsid w:val="24480FA2"/>
    <w:rsid w:val="25227A45"/>
    <w:rsid w:val="26AC3A6A"/>
    <w:rsid w:val="26BE1D6F"/>
    <w:rsid w:val="28A04CDB"/>
    <w:rsid w:val="297334B3"/>
    <w:rsid w:val="2A082BE1"/>
    <w:rsid w:val="2B9D7E25"/>
    <w:rsid w:val="2C7C7A3B"/>
    <w:rsid w:val="2D052700"/>
    <w:rsid w:val="2F364819"/>
    <w:rsid w:val="2FD63906"/>
    <w:rsid w:val="300F506A"/>
    <w:rsid w:val="34736F7E"/>
    <w:rsid w:val="36F126DB"/>
    <w:rsid w:val="36F237D1"/>
    <w:rsid w:val="37215DAE"/>
    <w:rsid w:val="373D24BC"/>
    <w:rsid w:val="38CA40DD"/>
    <w:rsid w:val="395F2B56"/>
    <w:rsid w:val="3B482032"/>
    <w:rsid w:val="3BBA0580"/>
    <w:rsid w:val="3BECE841"/>
    <w:rsid w:val="3CDE204C"/>
    <w:rsid w:val="3D363C36"/>
    <w:rsid w:val="3E9C3F6D"/>
    <w:rsid w:val="3EFA7AF5"/>
    <w:rsid w:val="3FF7797D"/>
    <w:rsid w:val="413438EC"/>
    <w:rsid w:val="42F16CBA"/>
    <w:rsid w:val="42FC3E16"/>
    <w:rsid w:val="46690BD8"/>
    <w:rsid w:val="49F70BF1"/>
    <w:rsid w:val="4A35453B"/>
    <w:rsid w:val="4B3B159F"/>
    <w:rsid w:val="4B4340EE"/>
    <w:rsid w:val="4C1B3AB2"/>
    <w:rsid w:val="4C8C5620"/>
    <w:rsid w:val="4F693145"/>
    <w:rsid w:val="4F711F6A"/>
    <w:rsid w:val="503D507A"/>
    <w:rsid w:val="51FA74D0"/>
    <w:rsid w:val="52AA4A52"/>
    <w:rsid w:val="539D3AD1"/>
    <w:rsid w:val="5789732C"/>
    <w:rsid w:val="59943D66"/>
    <w:rsid w:val="59E051FD"/>
    <w:rsid w:val="59E6355E"/>
    <w:rsid w:val="5A647B5B"/>
    <w:rsid w:val="5AD430AD"/>
    <w:rsid w:val="5B821531"/>
    <w:rsid w:val="5BFF6039"/>
    <w:rsid w:val="5D76A616"/>
    <w:rsid w:val="5D7F20B9"/>
    <w:rsid w:val="5DAC7D0E"/>
    <w:rsid w:val="5F98B5AF"/>
    <w:rsid w:val="5FFE8511"/>
    <w:rsid w:val="5FFEACE2"/>
    <w:rsid w:val="601E0D25"/>
    <w:rsid w:val="609D5BF6"/>
    <w:rsid w:val="61073070"/>
    <w:rsid w:val="61B9080E"/>
    <w:rsid w:val="61DF3FED"/>
    <w:rsid w:val="62606CE8"/>
    <w:rsid w:val="642B176B"/>
    <w:rsid w:val="643EE26D"/>
    <w:rsid w:val="656019A0"/>
    <w:rsid w:val="65F242EE"/>
    <w:rsid w:val="660D0F8E"/>
    <w:rsid w:val="666D7E19"/>
    <w:rsid w:val="67112E9A"/>
    <w:rsid w:val="68376930"/>
    <w:rsid w:val="68F91E38"/>
    <w:rsid w:val="69265CE3"/>
    <w:rsid w:val="6B3158B9"/>
    <w:rsid w:val="6BA02A3F"/>
    <w:rsid w:val="6C105349"/>
    <w:rsid w:val="6C1E5A53"/>
    <w:rsid w:val="6F5C41AC"/>
    <w:rsid w:val="6FAF6C78"/>
    <w:rsid w:val="70EC48A5"/>
    <w:rsid w:val="716167CC"/>
    <w:rsid w:val="71883D59"/>
    <w:rsid w:val="718A7AD1"/>
    <w:rsid w:val="72A44BC2"/>
    <w:rsid w:val="7317C656"/>
    <w:rsid w:val="734ED73F"/>
    <w:rsid w:val="73C82B32"/>
    <w:rsid w:val="73F94DAE"/>
    <w:rsid w:val="74220495"/>
    <w:rsid w:val="747D1B6F"/>
    <w:rsid w:val="749E5641"/>
    <w:rsid w:val="76271066"/>
    <w:rsid w:val="77FD8BE9"/>
    <w:rsid w:val="78000AED"/>
    <w:rsid w:val="78036054"/>
    <w:rsid w:val="79A9BD3F"/>
    <w:rsid w:val="79C124FE"/>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439</Words>
  <Characters>470</Characters>
  <Lines>58</Lines>
  <Paragraphs>16</Paragraphs>
  <TotalTime>12</TotalTime>
  <ScaleCrop>false</ScaleCrop>
  <LinksUpToDate>false</LinksUpToDate>
  <CharactersWithSpaces>472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2025-05-09T09:03:46Z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7FCE101E421C4A969BD14D4A18990BA1_13</vt:lpwstr>
  </property>
  <property fmtid="{D5CDD505-2E9C-101B-9397-08002B2CF9AE}" pid="4" name="KSOTemplateDocerSaveRecord">
    <vt:lpwstr>eyJoZGlkIjoiZGU2OWVkNjVhNTc2NTNjNjZhOGJlZWQ2NTc3Njc5NGQiLCJ1c2VySWQiOiIzODQzMzMyOTcifQ==</vt:lpwstr>
  </property>
</Properties>
</file>