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69025C">
      <w:pPr>
        <w:spacing w:line="540" w:lineRule="exact"/>
        <w:jc w:val="center"/>
        <w:rPr>
          <w:rFonts w:hint="default" w:ascii="Times New Roman" w:hAnsi="Times New Roman" w:eastAsia="华文中宋" w:cs="Times New Roman"/>
          <w:b/>
          <w:kern w:val="0"/>
          <w:sz w:val="52"/>
          <w:szCs w:val="52"/>
        </w:rPr>
      </w:pPr>
      <w:bookmarkStart w:id="3" w:name="_GoBack"/>
      <w:bookmarkEnd w:id="3"/>
    </w:p>
    <w:p w14:paraId="4B28E280">
      <w:pPr>
        <w:spacing w:line="540" w:lineRule="exact"/>
        <w:rPr>
          <w:rFonts w:hint="default" w:ascii="Times New Roman" w:hAnsi="Times New Roman" w:eastAsia="华文中宋" w:cs="Times New Roman"/>
          <w:b/>
          <w:kern w:val="0"/>
          <w:sz w:val="52"/>
          <w:szCs w:val="52"/>
        </w:rPr>
      </w:pPr>
    </w:p>
    <w:p w14:paraId="09552A30">
      <w:pPr>
        <w:spacing w:line="540" w:lineRule="exact"/>
        <w:jc w:val="center"/>
        <w:rPr>
          <w:rFonts w:hint="default" w:ascii="Times New Roman" w:hAnsi="Times New Roman" w:eastAsia="华文中宋" w:cs="Times New Roman"/>
          <w:b/>
          <w:kern w:val="0"/>
          <w:sz w:val="52"/>
          <w:szCs w:val="52"/>
        </w:rPr>
      </w:pPr>
    </w:p>
    <w:p w14:paraId="708827CB">
      <w:pPr>
        <w:spacing w:line="540" w:lineRule="exact"/>
        <w:jc w:val="center"/>
        <w:rPr>
          <w:rFonts w:hint="default" w:ascii="Times New Roman" w:hAnsi="Times New Roman" w:eastAsia="华文中宋" w:cs="Times New Roman"/>
          <w:b/>
          <w:kern w:val="0"/>
          <w:sz w:val="52"/>
          <w:szCs w:val="52"/>
        </w:rPr>
      </w:pPr>
    </w:p>
    <w:p w14:paraId="5C344F5C">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昌州财建【2023】146号2024年中央财政外经贸发展专项资金项目支出绩效评价</w:t>
      </w:r>
    </w:p>
    <w:p w14:paraId="116B9570">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14:paraId="77384D46">
      <w:pPr>
        <w:spacing w:line="540" w:lineRule="exact"/>
        <w:jc w:val="center"/>
        <w:rPr>
          <w:rFonts w:hint="default" w:ascii="Times New Roman" w:hAnsi="Times New Roman" w:eastAsia="华文中宋" w:cs="Times New Roman"/>
          <w:b/>
          <w:kern w:val="0"/>
          <w:sz w:val="52"/>
          <w:szCs w:val="52"/>
        </w:rPr>
      </w:pPr>
    </w:p>
    <w:p w14:paraId="7B3868F0">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14:paraId="6D574DFF">
      <w:pPr>
        <w:spacing w:line="540" w:lineRule="exact"/>
        <w:jc w:val="center"/>
        <w:rPr>
          <w:rFonts w:hint="default" w:ascii="Times New Roman" w:hAnsi="Times New Roman" w:eastAsia="仿宋_GB2312" w:cs="Times New Roman"/>
          <w:kern w:val="0"/>
          <w:sz w:val="30"/>
          <w:szCs w:val="30"/>
        </w:rPr>
      </w:pPr>
    </w:p>
    <w:p w14:paraId="36BCB205">
      <w:pPr>
        <w:spacing w:line="540" w:lineRule="exact"/>
        <w:jc w:val="center"/>
        <w:rPr>
          <w:rFonts w:hint="default" w:ascii="Times New Roman" w:hAnsi="Times New Roman" w:eastAsia="仿宋_GB2312" w:cs="Times New Roman"/>
          <w:kern w:val="0"/>
          <w:sz w:val="30"/>
          <w:szCs w:val="30"/>
        </w:rPr>
      </w:pPr>
    </w:p>
    <w:p w14:paraId="2E8D19D2">
      <w:pPr>
        <w:spacing w:line="540" w:lineRule="exact"/>
        <w:jc w:val="center"/>
        <w:rPr>
          <w:rFonts w:hint="default" w:ascii="Times New Roman" w:hAnsi="Times New Roman" w:eastAsia="仿宋_GB2312" w:cs="Times New Roman"/>
          <w:kern w:val="0"/>
          <w:sz w:val="30"/>
          <w:szCs w:val="30"/>
        </w:rPr>
      </w:pPr>
    </w:p>
    <w:p w14:paraId="73DBFF89">
      <w:pPr>
        <w:pStyle w:val="10"/>
        <w:rPr>
          <w:rFonts w:hint="default" w:ascii="Times New Roman" w:hAnsi="Times New Roman" w:cs="Times New Roman"/>
        </w:rPr>
      </w:pPr>
    </w:p>
    <w:p w14:paraId="4FA3267F">
      <w:pPr>
        <w:spacing w:line="540" w:lineRule="exact"/>
        <w:jc w:val="center"/>
        <w:rPr>
          <w:rFonts w:hint="default" w:ascii="Times New Roman" w:hAnsi="Times New Roman" w:eastAsia="仿宋_GB2312" w:cs="Times New Roman"/>
          <w:kern w:val="0"/>
          <w:sz w:val="30"/>
          <w:szCs w:val="30"/>
        </w:rPr>
      </w:pPr>
    </w:p>
    <w:p w14:paraId="6DA93C0B">
      <w:pPr>
        <w:spacing w:line="540" w:lineRule="exact"/>
        <w:rPr>
          <w:rFonts w:hint="default" w:ascii="Times New Roman" w:hAnsi="Times New Roman" w:eastAsia="仿宋_GB2312" w:cs="Times New Roman"/>
          <w:kern w:val="0"/>
          <w:sz w:val="30"/>
          <w:szCs w:val="30"/>
        </w:rPr>
      </w:pPr>
    </w:p>
    <w:p w14:paraId="48000A7F">
      <w:pPr>
        <w:spacing w:line="700" w:lineRule="exact"/>
        <w:ind w:firstLine="1440" w:firstLineChars="400"/>
        <w:jc w:val="both"/>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项目名称：昌州财建【2023】146号2024年</w:t>
      </w:r>
      <w:r>
        <w:rPr>
          <w:rFonts w:hint="eastAsia" w:eastAsia="仿宋_GB2312" w:cs="Times New Roman"/>
          <w:kern w:val="0"/>
          <w:sz w:val="36"/>
          <w:szCs w:val="36"/>
          <w:lang w:val="en-US" w:eastAsia="zh-CN"/>
        </w:rPr>
        <w:t xml:space="preserve">      </w:t>
      </w:r>
      <w:r>
        <w:rPr>
          <w:rFonts w:hint="default" w:ascii="Times New Roman" w:hAnsi="Times New Roman" w:eastAsia="仿宋_GB2312" w:cs="Times New Roman"/>
          <w:kern w:val="0"/>
          <w:sz w:val="36"/>
          <w:szCs w:val="36"/>
        </w:rPr>
        <w:t>中央财政外经贸发展专项资金</w:t>
      </w:r>
    </w:p>
    <w:p w14:paraId="428E5347">
      <w:pPr>
        <w:spacing w:line="700" w:lineRule="exact"/>
        <w:ind w:firstLine="1440" w:firstLineChars="400"/>
        <w:jc w:val="center"/>
        <w:rPr>
          <w:rFonts w:hint="default" w:eastAsia="仿宋_GB2312" w:cs="Times New Roman"/>
          <w:kern w:val="0"/>
          <w:sz w:val="28"/>
          <w:szCs w:val="28"/>
          <w:lang w:val="en-US" w:eastAsia="zh-CN"/>
        </w:rPr>
      </w:pPr>
      <w:r>
        <w:rPr>
          <w:rFonts w:hint="default" w:ascii="Times New Roman" w:hAnsi="Times New Roman" w:eastAsia="仿宋_GB2312" w:cs="Times New Roman"/>
          <w:kern w:val="0"/>
          <w:sz w:val="36"/>
          <w:szCs w:val="36"/>
        </w:rPr>
        <w:t>实施单位（公章）：</w:t>
      </w:r>
      <w:r>
        <w:rPr>
          <w:rFonts w:hint="default" w:eastAsia="仿宋_GB2312" w:cs="Times New Roman"/>
          <w:kern w:val="0"/>
          <w:sz w:val="28"/>
          <w:szCs w:val="28"/>
          <w:lang w:val="en-US" w:eastAsia="zh-CN"/>
        </w:rPr>
        <w:t>奇台县商务科技和工业信息化局</w:t>
      </w:r>
    </w:p>
    <w:p w14:paraId="0AEA35F9">
      <w:pPr>
        <w:spacing w:line="700" w:lineRule="exact"/>
        <w:ind w:firstLine="1440" w:firstLineChars="400"/>
        <w:jc w:val="center"/>
        <w:rPr>
          <w:rFonts w:hint="default" w:eastAsia="仿宋_GB2312" w:cs="Times New Roman"/>
          <w:kern w:val="0"/>
          <w:sz w:val="28"/>
          <w:szCs w:val="28"/>
          <w:lang w:val="en-US" w:eastAsia="zh-CN"/>
        </w:rPr>
      </w:pPr>
      <w:r>
        <w:rPr>
          <w:rFonts w:hint="default" w:ascii="Times New Roman" w:hAnsi="Times New Roman" w:eastAsia="仿宋_GB2312" w:cs="Times New Roman"/>
          <w:kern w:val="0"/>
          <w:sz w:val="36"/>
          <w:szCs w:val="36"/>
        </w:rPr>
        <w:t>主管部门（公章）：</w:t>
      </w:r>
      <w:r>
        <w:rPr>
          <w:rFonts w:hint="default" w:eastAsia="仿宋_GB2312" w:cs="Times New Roman"/>
          <w:kern w:val="0"/>
          <w:sz w:val="28"/>
          <w:szCs w:val="28"/>
          <w:lang w:val="en-US" w:eastAsia="zh-CN"/>
        </w:rPr>
        <w:t>奇台县商务科技和工业信息化局</w:t>
      </w:r>
    </w:p>
    <w:p w14:paraId="50F8862E">
      <w:pPr>
        <w:spacing w:line="700" w:lineRule="exact"/>
        <w:jc w:val="center"/>
        <w:rPr>
          <w:rFonts w:hint="eastAsia" w:eastAsia="仿宋_GB2312" w:cs="Times New Roman"/>
          <w:kern w:val="0"/>
          <w:sz w:val="36"/>
          <w:szCs w:val="36"/>
          <w:lang w:val="en-US"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val="en-US" w:eastAsia="zh-CN"/>
        </w:rPr>
        <w:t>宗峰</w:t>
      </w:r>
    </w:p>
    <w:p w14:paraId="14525338">
      <w:pPr>
        <w:spacing w:line="70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14:paraId="1DA50C9C">
      <w:pPr>
        <w:spacing w:line="540" w:lineRule="exact"/>
        <w:jc w:val="center"/>
        <w:rPr>
          <w:rFonts w:hint="default" w:ascii="Times New Roman" w:hAnsi="Times New Roman" w:eastAsia="仿宋_GB2312" w:cs="Times New Roman"/>
          <w:kern w:val="0"/>
          <w:sz w:val="30"/>
          <w:szCs w:val="30"/>
        </w:rPr>
      </w:pPr>
    </w:p>
    <w:p w14:paraId="245866DC">
      <w:pPr>
        <w:spacing w:line="540" w:lineRule="exact"/>
        <w:rPr>
          <w:rStyle w:val="16"/>
          <w:rFonts w:hint="default" w:ascii="Times New Roman" w:hAnsi="Times New Roman" w:eastAsia="黑体" w:cs="Times New Roman"/>
          <w:b w:val="0"/>
          <w:spacing w:val="-4"/>
          <w:sz w:val="32"/>
          <w:szCs w:val="32"/>
        </w:rPr>
      </w:pPr>
    </w:p>
    <w:p w14:paraId="4D4B4820">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14:paraId="16108DB7">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14:paraId="70373BC1">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14:paraId="111A6BF8">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14:paraId="3BB25606">
      <w:pPr>
        <w:spacing w:line="560" w:lineRule="exact"/>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根据昌吉州财政局下发《关于提前下达2024年中央财政外经贸发展专项资金预算的通知》（昌州财建【2023】146号）文件精神，</w:t>
      </w:r>
      <w:r>
        <w:rPr>
          <w:rFonts w:hint="eastAsia" w:eastAsia="仿宋_GB2312"/>
          <w:sz w:val="32"/>
          <w:szCs w:val="32"/>
        </w:rPr>
        <w:t>通过申请资金项目，降低企业进出口产品运输成本，从而一定程度上降低了出口产品的成本，进一步增强企业低成本竞争优势，对企业开拓海外市场，提高产品的出口量起到了推动作用，扶持企业做大做强外贸进出口业务。</w:t>
      </w:r>
    </w:p>
    <w:p w14:paraId="61A82538">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14:paraId="455F6B78">
      <w:pPr>
        <w:ind w:firstLine="640" w:firstLineChars="200"/>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用于协助企业研发新技术、采购项目及研发、环保、节能等设备，降低企业运营成本，增强企业核心竞争力；扩大企业海外渠道销售半径，进一步规划完善海外展销及售后体系，进而提高销售量和贸易额。</w:t>
      </w:r>
    </w:p>
    <w:p w14:paraId="5C33BE72">
      <w:pPr>
        <w:spacing w:line="560" w:lineRule="exact"/>
        <w:ind w:firstLine="640" w:firstLineChars="200"/>
        <w:rPr>
          <w:rFonts w:hint="eastAsia" w:eastAsia="仿宋_GB2312"/>
          <w:sz w:val="32"/>
          <w:szCs w:val="32"/>
        </w:rPr>
      </w:pPr>
      <w:r>
        <w:rPr>
          <w:rFonts w:hint="default" w:ascii="Times New Roman" w:hAnsi="Times New Roman" w:eastAsia="仿宋_GB2312" w:cs="Times New Roman"/>
          <w:sz w:val="32"/>
          <w:szCs w:val="32"/>
        </w:rPr>
        <w:t>项目实施情况：</w:t>
      </w:r>
      <w:r>
        <w:rPr>
          <w:rFonts w:eastAsia="仿宋_GB2312"/>
          <w:sz w:val="32"/>
          <w:szCs w:val="32"/>
        </w:rPr>
        <w:t>项目目前已经</w:t>
      </w:r>
      <w:r>
        <w:rPr>
          <w:rFonts w:hint="eastAsia" w:eastAsia="仿宋_GB2312"/>
          <w:sz w:val="32"/>
          <w:szCs w:val="32"/>
          <w:lang w:eastAsia="zh-CN"/>
        </w:rPr>
        <w:t>将</w:t>
      </w:r>
      <w:r>
        <w:rPr>
          <w:rFonts w:hint="eastAsia" w:eastAsia="仿宋_GB2312"/>
          <w:sz w:val="32"/>
          <w:szCs w:val="32"/>
        </w:rPr>
        <w:t>资金拨付至</w:t>
      </w:r>
      <w:r>
        <w:rPr>
          <w:rFonts w:hint="eastAsia" w:eastAsia="仿宋_GB2312"/>
          <w:sz w:val="32"/>
          <w:szCs w:val="32"/>
          <w:lang w:val="en-US" w:eastAsia="zh-CN"/>
        </w:rPr>
        <w:t>2</w:t>
      </w:r>
      <w:r>
        <w:rPr>
          <w:rFonts w:hint="eastAsia" w:eastAsia="仿宋_GB2312"/>
          <w:sz w:val="32"/>
          <w:szCs w:val="32"/>
        </w:rPr>
        <w:t>家外贸企业，新疆蓝山屯河能源有限公司补助资金</w:t>
      </w:r>
      <w:r>
        <w:rPr>
          <w:rFonts w:hint="eastAsia" w:eastAsia="仿宋_GB2312"/>
          <w:sz w:val="32"/>
          <w:szCs w:val="32"/>
          <w:lang w:val="en-US" w:eastAsia="zh-CN"/>
        </w:rPr>
        <w:t>540</w:t>
      </w:r>
      <w:r>
        <w:rPr>
          <w:rFonts w:hint="eastAsia" w:eastAsia="仿宋_GB2312"/>
          <w:sz w:val="32"/>
          <w:szCs w:val="32"/>
        </w:rPr>
        <w:t>万元，主要用于企业研发新技术，采购项目及研发、环保、节能等设备，降低企业运营成本，增强企业核心竞争力。奇台县九安汽车城管理有限责任公司补助资金</w:t>
      </w:r>
      <w:r>
        <w:rPr>
          <w:rFonts w:hint="eastAsia" w:eastAsia="仿宋_GB2312"/>
          <w:sz w:val="32"/>
          <w:szCs w:val="32"/>
          <w:lang w:val="en-US" w:eastAsia="zh-CN"/>
        </w:rPr>
        <w:t>142</w:t>
      </w:r>
      <w:r>
        <w:rPr>
          <w:rFonts w:hint="eastAsia" w:eastAsia="仿宋_GB2312"/>
          <w:sz w:val="32"/>
          <w:szCs w:val="32"/>
        </w:rPr>
        <w:t>万元，主要用于进一步扩大二手车出口规模，加大资金量采购针对外方市场有销售潜力的车型，增加现车存量，扩大海外渠道销售半径。</w:t>
      </w:r>
    </w:p>
    <w:p w14:paraId="09E1CBE6">
      <w:pPr>
        <w:spacing w:line="560" w:lineRule="exact"/>
        <w:ind w:firstLine="640" w:firstLineChars="200"/>
        <w:rPr>
          <w:rFonts w:hint="eastAsia" w:ascii="Times New Roman" w:hAnsi="Times New Roman" w:eastAsia="仿宋_GB2312" w:cs="Times New Roman"/>
          <w:lang w:val="en-US" w:eastAsia="zh-CN"/>
        </w:rPr>
      </w:pPr>
      <w:r>
        <w:rPr>
          <w:rFonts w:eastAsia="仿宋_GB2312"/>
          <w:sz w:val="32"/>
          <w:szCs w:val="32"/>
        </w:rPr>
        <w:t>项目在实施过程中严格按照目标设立的各阶段任务进行开展工作，在前期立项过程中严格把质量关，建立安全防护机制，保证项目实施各阶段安全顺利进</w:t>
      </w:r>
      <w:r>
        <w:rPr>
          <w:rFonts w:hint="eastAsia" w:eastAsia="仿宋_GB2312"/>
          <w:sz w:val="32"/>
          <w:szCs w:val="32"/>
          <w:lang w:val="en-US" w:eastAsia="zh-CN"/>
        </w:rPr>
        <w:t>行。</w:t>
      </w:r>
    </w:p>
    <w:p w14:paraId="57A34AF1">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14:paraId="6CC969A6">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11C87007">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682</w:t>
      </w:r>
      <w:r>
        <w:rPr>
          <w:rFonts w:hint="default" w:ascii="Times New Roman" w:hAnsi="Times New Roman" w:eastAsia="仿宋_GB2312" w:cs="Times New Roman"/>
          <w:sz w:val="32"/>
          <w:szCs w:val="32"/>
          <w:highlight w:val="none"/>
          <w:lang w:val="en-US" w:eastAsia="zh-CN"/>
        </w:rPr>
        <w:t>万元，全年预算</w:t>
      </w:r>
      <w:r>
        <w:rPr>
          <w:rFonts w:hint="eastAsia" w:eastAsia="仿宋_GB2312" w:cs="Times New Roman"/>
          <w:sz w:val="32"/>
          <w:szCs w:val="32"/>
          <w:highlight w:val="none"/>
          <w:lang w:val="en-US" w:eastAsia="zh-CN"/>
        </w:rPr>
        <w:t>682</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5DBE0A7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1C066784">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682</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682</w:t>
      </w:r>
      <w:r>
        <w:rPr>
          <w:rFonts w:hint="default" w:ascii="Times New Roman" w:hAnsi="Times New Roman" w:eastAsia="仿宋_GB2312" w:cs="Times New Roman"/>
          <w:sz w:val="32"/>
          <w:szCs w:val="32"/>
          <w:highlight w:val="none"/>
          <w:lang w:val="en-US" w:eastAsia="zh-CN"/>
        </w:rPr>
        <w:t>万元，全年执行数</w:t>
      </w:r>
      <w:r>
        <w:rPr>
          <w:rFonts w:hint="eastAsia" w:ascii="Times New Roman" w:hAnsi="Times New Roman" w:eastAsia="仿宋_GB2312" w:cs="Times New Roman"/>
          <w:sz w:val="32"/>
          <w:szCs w:val="32"/>
          <w:highlight w:val="none"/>
          <w:lang w:val="en-US" w:eastAsia="zh-CN"/>
        </w:rPr>
        <w:t>682</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ascii="仿宋_GB2312" w:hAnsi="仿宋_GB2312" w:eastAsia="仿宋_GB2312" w:cs="仿宋_GB2312"/>
          <w:sz w:val="32"/>
          <w:szCs w:val="32"/>
          <w:highlight w:val="none"/>
          <w:lang w:val="en-US" w:eastAsia="zh-CN"/>
        </w:rPr>
        <w:t>2024年外经贸专项资金。</w:t>
      </w:r>
      <w:r>
        <w:rPr>
          <w:rFonts w:hint="default" w:eastAsia="仿宋_GB2312"/>
          <w:sz w:val="32"/>
          <w:szCs w:val="32"/>
        </w:rPr>
        <w:t>新疆蓝山屯河能源有限公司补助资金</w:t>
      </w:r>
      <w:r>
        <w:rPr>
          <w:rFonts w:hint="default" w:eastAsia="仿宋_GB2312"/>
          <w:sz w:val="32"/>
          <w:szCs w:val="32"/>
          <w:lang w:val="en-US" w:eastAsia="zh-CN"/>
        </w:rPr>
        <w:t>540</w:t>
      </w:r>
      <w:r>
        <w:rPr>
          <w:rFonts w:hint="default" w:eastAsia="仿宋_GB2312"/>
          <w:sz w:val="32"/>
          <w:szCs w:val="32"/>
        </w:rPr>
        <w:t>万元，主要用于企业研发新技术，采购项目及研发、环保、节能等设备，降低企业运营成本，增强企业核心竞争力。奇台县九安汽车城管理有限责任公司补助资金</w:t>
      </w:r>
      <w:r>
        <w:rPr>
          <w:rFonts w:hint="default" w:eastAsia="仿宋_GB2312"/>
          <w:sz w:val="32"/>
          <w:szCs w:val="32"/>
          <w:lang w:val="en-US" w:eastAsia="zh-CN"/>
        </w:rPr>
        <w:t>142</w:t>
      </w:r>
      <w:r>
        <w:rPr>
          <w:rFonts w:hint="default" w:eastAsia="仿宋_GB2312"/>
          <w:sz w:val="32"/>
          <w:szCs w:val="32"/>
        </w:rPr>
        <w:t>万元，主要用于进一步扩大二手车出口规模，加大资金量采购针对外方市场有销售潜力的车型，增加现车存量，扩大海外渠道销售半径。</w:t>
      </w:r>
    </w:p>
    <w:p w14:paraId="081D3BB4">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14:paraId="3683D4B4">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14:paraId="1059131E">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通过昌吉州财政局下发《关于提前下达2024年中央财政外经贸发展专项资金预算的通知》（昌州财建【2023】146号）文件，做好奇台县蓝山屯河、九安汽车城、中蒙能源、骏嘉腾飞外贸企业项目推荐工作，积极动员企业申报项目，项目资金主要用于降低企业开拓外贸市场成本压力，调动企业扩大进出口业务积极性，提升企业贸易竞争力，助力企业开拓市场，帮助企业积极应对因国外不公平贸易政策对待所造成的不利影响，提</w:t>
      </w:r>
      <w:r>
        <w:rPr>
          <w:rFonts w:hint="default" w:eastAsia="仿宋_GB2312" w:cs="Times New Roman"/>
          <w:sz w:val="32"/>
          <w:szCs w:val="32"/>
          <w:lang w:val="en-US" w:eastAsia="zh-CN"/>
          <w:rPrChange w:id="0" w:author="Administrator" w:date="2025-04-29T11:31:40Z">
            <w:rPr>
              <w:rFonts w:hint="eastAsia" w:eastAsia="仿宋_GB2312" w:cs="Times New Roman"/>
              <w:sz w:val="32"/>
              <w:szCs w:val="32"/>
              <w:lang w:val="en-US" w:eastAsia="zh-CN"/>
            </w:rPr>
          </w:rPrChange>
        </w:rPr>
        <w:t>高</w:t>
      </w:r>
      <w:r>
        <w:rPr>
          <w:rFonts w:hint="default" w:ascii="Times New Roman" w:hAnsi="Times New Roman" w:eastAsia="仿宋_GB2312" w:cs="Times New Roman"/>
          <w:sz w:val="32"/>
          <w:szCs w:val="32"/>
        </w:rPr>
        <w:t>国际市场竞争力，促进和扩大进出口，达到支持我县外贸企业持续稳定健康发展的效果。</w:t>
      </w:r>
    </w:p>
    <w:p w14:paraId="737636D4">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14:paraId="2EA5C425">
      <w:pPr>
        <w:numPr>
          <w:ilvl w:val="0"/>
          <w:numId w:val="0"/>
        </w:num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根据昌吉州财政局《关于下达2024年中央外经贸发展专项资金预算（拨款）的通知》（昌州财建〔2023〕146号）文件精神，通过组织县域外贸企业进行申报中央外经贸发展专项资金项目，最终推荐2家外贸企业进行申报，对外贸企业进行补助。新疆蓝山屯河能源有限公司补助资金540万元，主要用于企业研发新技术，采购项目及研发、环保、节能等设备，降低企业运营成本；奇台县九安汽车城管理有限责任公司补助资金142万元，主要用于进一步扩大二手车出口规模，加大资金量采购针对外方市场有销售潜力的车型，从而提高国际市场竞争力，促进和扩大出口。</w:t>
      </w:r>
    </w:p>
    <w:p w14:paraId="40C953C0">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14:paraId="1289F328">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1A31B11D">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5DB6CB2D">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662A2BC0">
      <w:pPr>
        <w:numPr>
          <w:ilvl w:val="0"/>
          <w:numId w:val="1"/>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3B7E0825">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3C8BC50D">
      <w:pPr>
        <w:pStyle w:val="19"/>
        <w:spacing w:line="560" w:lineRule="exact"/>
        <w:ind w:firstLine="640" w:firstLineChars="200"/>
        <w:rPr>
          <w:rFonts w:hint="default" w:ascii="Times New Roman" w:hAnsi="Times New Roman" w:eastAsia="仿宋_GB2312" w:cs="Times New Roman"/>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34EA08E7">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7E8828C6">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kern w:val="0"/>
          <w:sz w:val="32"/>
          <w:szCs w:val="32"/>
          <w:lang w:val="en-US" w:eastAsia="zh-CN"/>
        </w:rPr>
        <w:t>根据</w:t>
      </w:r>
      <w:r>
        <w:rPr>
          <w:rFonts w:hint="eastAsia" w:ascii="仿宋_GB2312" w:hAnsi="仿宋_GB2312" w:eastAsia="仿宋_GB2312" w:cs="仿宋_GB2312"/>
          <w:kern w:val="0"/>
          <w:sz w:val="32"/>
          <w:szCs w:val="32"/>
          <w:lang w:eastAsia="zh-CN"/>
        </w:rPr>
        <w:t>昌吉州财政局</w:t>
      </w:r>
      <w:r>
        <w:rPr>
          <w:rFonts w:hint="eastAsia" w:ascii="仿宋_GB2312" w:hAnsi="仿宋_GB2312" w:eastAsia="仿宋_GB2312" w:cs="仿宋_GB2312"/>
          <w:kern w:val="0"/>
          <w:sz w:val="32"/>
          <w:szCs w:val="32"/>
          <w:lang w:val="en-US" w:eastAsia="zh-CN"/>
        </w:rPr>
        <w:t>下发</w:t>
      </w:r>
      <w:r>
        <w:rPr>
          <w:rFonts w:hint="eastAsia" w:ascii="仿宋_GB2312" w:hAnsi="仿宋_GB2312" w:eastAsia="仿宋_GB2312" w:cs="仿宋_GB2312"/>
          <w:color w:val="auto"/>
          <w:kern w:val="0"/>
          <w:sz w:val="32"/>
          <w:szCs w:val="32"/>
          <w:lang w:eastAsia="zh-CN"/>
        </w:rPr>
        <w:t>《关于</w:t>
      </w:r>
      <w:r>
        <w:rPr>
          <w:rFonts w:hint="eastAsia" w:ascii="仿宋_GB2312" w:hAnsi="仿宋_GB2312" w:eastAsia="仿宋_GB2312" w:cs="仿宋_GB2312"/>
          <w:color w:val="auto"/>
          <w:kern w:val="0"/>
          <w:sz w:val="32"/>
          <w:szCs w:val="32"/>
          <w:lang w:val="en-US" w:eastAsia="zh-CN"/>
        </w:rPr>
        <w:t>提前</w:t>
      </w:r>
      <w:r>
        <w:rPr>
          <w:rFonts w:hint="eastAsia" w:ascii="仿宋_GB2312" w:hAnsi="仿宋_GB2312" w:eastAsia="仿宋_GB2312" w:cs="仿宋_GB2312"/>
          <w:color w:val="auto"/>
          <w:kern w:val="0"/>
          <w:sz w:val="32"/>
          <w:szCs w:val="32"/>
          <w:lang w:eastAsia="zh-CN"/>
        </w:rPr>
        <w:t>下达202</w:t>
      </w:r>
      <w:r>
        <w:rPr>
          <w:rFonts w:hint="eastAsia" w:ascii="仿宋_GB2312" w:hAnsi="仿宋_GB2312" w:eastAsia="仿宋_GB2312" w:cs="仿宋_GB2312"/>
          <w:color w:val="auto"/>
          <w:kern w:val="0"/>
          <w:sz w:val="32"/>
          <w:szCs w:val="32"/>
          <w:lang w:val="en-US" w:eastAsia="zh-CN"/>
        </w:rPr>
        <w:t>4</w:t>
      </w:r>
      <w:r>
        <w:rPr>
          <w:rFonts w:hint="eastAsia" w:ascii="仿宋_GB2312" w:hAnsi="仿宋_GB2312" w:eastAsia="仿宋_GB2312" w:cs="仿宋_GB2312"/>
          <w:color w:val="auto"/>
          <w:kern w:val="0"/>
          <w:sz w:val="32"/>
          <w:szCs w:val="32"/>
          <w:lang w:eastAsia="zh-CN"/>
        </w:rPr>
        <w:t>年中央</w:t>
      </w:r>
      <w:r>
        <w:rPr>
          <w:rFonts w:hint="eastAsia" w:ascii="仿宋_GB2312" w:hAnsi="仿宋_GB2312" w:eastAsia="仿宋_GB2312" w:cs="仿宋_GB2312"/>
          <w:color w:val="auto"/>
          <w:kern w:val="0"/>
          <w:sz w:val="32"/>
          <w:szCs w:val="32"/>
          <w:lang w:val="en-US" w:eastAsia="zh-CN"/>
        </w:rPr>
        <w:t>财政</w:t>
      </w:r>
      <w:r>
        <w:rPr>
          <w:rFonts w:hint="eastAsia" w:ascii="仿宋_GB2312" w:hAnsi="仿宋_GB2312" w:eastAsia="仿宋_GB2312" w:cs="仿宋_GB2312"/>
          <w:color w:val="auto"/>
          <w:kern w:val="0"/>
          <w:sz w:val="32"/>
          <w:szCs w:val="32"/>
          <w:lang w:eastAsia="zh-CN"/>
        </w:rPr>
        <w:t>外经贸发展专项资金预算的通知》</w:t>
      </w:r>
      <w:r>
        <w:rPr>
          <w:rFonts w:hint="eastAsia" w:ascii="仿宋_GB2312" w:hAnsi="仿宋_GB2312" w:eastAsia="仿宋_GB2312" w:cs="仿宋_GB2312"/>
          <w:kern w:val="0"/>
          <w:sz w:val="32"/>
          <w:szCs w:val="32"/>
          <w:lang w:eastAsia="zh-CN"/>
        </w:rPr>
        <w:t>（昌州财建〔2023〕1</w:t>
      </w:r>
      <w:r>
        <w:rPr>
          <w:rFonts w:hint="eastAsia" w:ascii="仿宋_GB2312" w:hAnsi="仿宋_GB2312" w:eastAsia="仿宋_GB2312" w:cs="仿宋_GB2312"/>
          <w:kern w:val="0"/>
          <w:sz w:val="32"/>
          <w:szCs w:val="32"/>
          <w:lang w:val="en-US" w:eastAsia="zh-CN"/>
        </w:rPr>
        <w:t>46</w:t>
      </w:r>
      <w:r>
        <w:rPr>
          <w:rFonts w:hint="eastAsia" w:ascii="仿宋_GB2312" w:hAnsi="仿宋_GB2312" w:eastAsia="仿宋_GB2312" w:cs="仿宋_GB2312"/>
          <w:kern w:val="0"/>
          <w:sz w:val="32"/>
          <w:szCs w:val="32"/>
          <w:lang w:eastAsia="zh-CN"/>
        </w:rPr>
        <w:t>号）</w:t>
      </w:r>
      <w:r>
        <w:rPr>
          <w:rFonts w:hint="eastAsia" w:ascii="仿宋_GB2312" w:hAnsi="仿宋_GB2312" w:eastAsia="仿宋_GB2312" w:cs="仿宋_GB2312"/>
          <w:kern w:val="0"/>
          <w:sz w:val="32"/>
          <w:szCs w:val="32"/>
          <w:lang w:val="en-US" w:eastAsia="zh-CN"/>
        </w:rPr>
        <w:t>文件中奇台县</w:t>
      </w:r>
      <w:r>
        <w:rPr>
          <w:rFonts w:hint="eastAsia" w:ascii="仿宋_GB2312" w:hAnsi="仿宋_GB2312" w:eastAsia="仿宋_GB2312" w:cs="仿宋_GB2312"/>
          <w:sz w:val="32"/>
          <w:szCs w:val="32"/>
        </w:rPr>
        <w:t>外经贸发展专项资金所包含的全部项目内容。</w:t>
      </w:r>
    </w:p>
    <w:p w14:paraId="05D9AD75">
      <w:pPr>
        <w:pStyle w:val="10"/>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08BA696F">
      <w:pPr>
        <w:pStyle w:val="10"/>
        <w:widowControl w:val="0"/>
        <w:numPr>
          <w:ilvl w:val="0"/>
          <w:numId w:val="0"/>
        </w:numPr>
        <w:spacing w:before="0" w:after="0" w:line="560" w:lineRule="exact"/>
        <w:ind w:firstLine="640" w:firstLineChars="200"/>
        <w:jc w:val="both"/>
        <w:outlineLvl w:val="9"/>
        <w:rPr>
          <w:rFonts w:hint="default"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本次评价从项目决策（包括绩效目标、决策过程）、项目管理（包括项目资金、项目实施）、项目产出（包括项目产出数量、产出质量、产出时效和产出成本）项目效益四个维度对</w:t>
      </w:r>
      <w:r>
        <w:rPr>
          <w:rFonts w:hint="eastAsia" w:ascii="仿宋_GB2312" w:hAnsi="仿宋_GB2312" w:eastAsia="仿宋_GB2312" w:cs="仿宋_GB2312"/>
          <w:b w:val="0"/>
          <w:bCs w:val="0"/>
          <w:kern w:val="2"/>
          <w:sz w:val="32"/>
          <w:szCs w:val="32"/>
          <w:lang w:eastAsia="zh-CN"/>
        </w:rPr>
        <w:t>《关于</w:t>
      </w:r>
      <w:r>
        <w:rPr>
          <w:rFonts w:hint="eastAsia" w:ascii="仿宋_GB2312" w:hAnsi="仿宋_GB2312" w:eastAsia="仿宋_GB2312" w:cs="仿宋_GB2312"/>
          <w:b w:val="0"/>
          <w:bCs w:val="0"/>
          <w:kern w:val="2"/>
          <w:sz w:val="32"/>
          <w:szCs w:val="32"/>
          <w:lang w:val="en-US" w:eastAsia="zh-CN"/>
        </w:rPr>
        <w:t>提前</w:t>
      </w:r>
      <w:r>
        <w:rPr>
          <w:rFonts w:hint="eastAsia" w:ascii="仿宋_GB2312" w:hAnsi="仿宋_GB2312" w:eastAsia="仿宋_GB2312" w:cs="仿宋_GB2312"/>
          <w:b w:val="0"/>
          <w:bCs w:val="0"/>
          <w:kern w:val="2"/>
          <w:sz w:val="32"/>
          <w:szCs w:val="32"/>
          <w:lang w:eastAsia="zh-CN"/>
        </w:rPr>
        <w:t>下达202</w:t>
      </w:r>
      <w:r>
        <w:rPr>
          <w:rFonts w:hint="eastAsia" w:ascii="仿宋_GB2312" w:hAnsi="仿宋_GB2312" w:eastAsia="仿宋_GB2312" w:cs="仿宋_GB2312"/>
          <w:b w:val="0"/>
          <w:bCs w:val="0"/>
          <w:kern w:val="2"/>
          <w:sz w:val="32"/>
          <w:szCs w:val="32"/>
          <w:lang w:val="en-US" w:eastAsia="zh-CN"/>
        </w:rPr>
        <w:t>4</w:t>
      </w:r>
      <w:r>
        <w:rPr>
          <w:rFonts w:hint="eastAsia" w:ascii="仿宋_GB2312" w:hAnsi="仿宋_GB2312" w:eastAsia="仿宋_GB2312" w:cs="仿宋_GB2312"/>
          <w:b w:val="0"/>
          <w:bCs w:val="0"/>
          <w:kern w:val="2"/>
          <w:sz w:val="32"/>
          <w:szCs w:val="32"/>
          <w:lang w:eastAsia="zh-CN"/>
        </w:rPr>
        <w:t>年中央</w:t>
      </w:r>
      <w:r>
        <w:rPr>
          <w:rFonts w:hint="eastAsia" w:ascii="仿宋_GB2312" w:hAnsi="仿宋_GB2312" w:eastAsia="仿宋_GB2312" w:cs="仿宋_GB2312"/>
          <w:b w:val="0"/>
          <w:bCs w:val="0"/>
          <w:kern w:val="2"/>
          <w:sz w:val="32"/>
          <w:szCs w:val="32"/>
          <w:lang w:val="en-US" w:eastAsia="zh-CN"/>
        </w:rPr>
        <w:t>财政</w:t>
      </w:r>
      <w:r>
        <w:rPr>
          <w:rFonts w:hint="eastAsia" w:ascii="仿宋_GB2312" w:hAnsi="仿宋_GB2312" w:eastAsia="仿宋_GB2312" w:cs="仿宋_GB2312"/>
          <w:b w:val="0"/>
          <w:bCs w:val="0"/>
          <w:kern w:val="2"/>
          <w:sz w:val="32"/>
          <w:szCs w:val="32"/>
          <w:lang w:eastAsia="zh-CN"/>
        </w:rPr>
        <w:t>外经贸发展专项资金预算的通知》（昌州财建〔2023〕1</w:t>
      </w:r>
      <w:r>
        <w:rPr>
          <w:rFonts w:hint="eastAsia" w:ascii="仿宋_GB2312" w:hAnsi="仿宋_GB2312" w:eastAsia="仿宋_GB2312" w:cs="仿宋_GB2312"/>
          <w:b w:val="0"/>
          <w:bCs w:val="0"/>
          <w:kern w:val="2"/>
          <w:sz w:val="32"/>
          <w:szCs w:val="32"/>
          <w:lang w:val="en-US" w:eastAsia="zh-CN"/>
        </w:rPr>
        <w:t>46</w:t>
      </w:r>
      <w:r>
        <w:rPr>
          <w:rFonts w:hint="eastAsia" w:ascii="仿宋_GB2312" w:hAnsi="仿宋_GB2312" w:eastAsia="仿宋_GB2312" w:cs="仿宋_GB2312"/>
          <w:b w:val="0"/>
          <w:bCs w:val="0"/>
          <w:kern w:val="2"/>
          <w:sz w:val="32"/>
          <w:szCs w:val="32"/>
          <w:lang w:eastAsia="zh-CN"/>
        </w:rPr>
        <w:t>号）</w:t>
      </w:r>
      <w:r>
        <w:rPr>
          <w:rFonts w:hint="eastAsia" w:ascii="仿宋_GB2312" w:hAnsi="仿宋_GB2312" w:eastAsia="仿宋_GB2312" w:cs="仿宋_GB2312"/>
          <w:b w:val="0"/>
          <w:bCs w:val="0"/>
          <w:kern w:val="2"/>
          <w:sz w:val="32"/>
          <w:szCs w:val="32"/>
          <w:lang w:val="en-US" w:eastAsia="zh-CN" w:bidi="ar-SA"/>
        </w:rPr>
        <w:t>进行评价，评价核心为专项资金的支出完成情况和效果。</w:t>
      </w:r>
    </w:p>
    <w:p w14:paraId="62BE2D27">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3C2AF493">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499C6826">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67A49A88">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01B0A01D">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650916FF">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620C19F6">
      <w:pPr>
        <w:pStyle w:val="1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78AEBB6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57B598E1">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10B41DC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0731152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75648B7A">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AA706BF">
      <w:pPr>
        <w:spacing w:line="560" w:lineRule="exact"/>
        <w:ind w:firstLine="708" w:firstLineChars="200"/>
        <w:rPr>
          <w:rFonts w:hint="default" w:ascii="Times New Roman" w:hAnsi="Times New Roman" w:eastAsia="仿宋_GB2312" w:cs="Times New Roman"/>
          <w:color w:val="FF0000"/>
          <w:spacing w:val="17"/>
          <w:sz w:val="32"/>
          <w:szCs w:val="32"/>
          <w:lang w:eastAsia="zh-CN"/>
        </w:rPr>
      </w:pPr>
      <w:r>
        <w:rPr>
          <w:rFonts w:hint="default" w:ascii="Times New Roman" w:hAnsi="Times New Roman" w:eastAsia="仿宋_GB2312" w:cs="Times New Roman"/>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3F24DFA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582C04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350149E">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3E6B95BC">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64D2120F">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B42CF8C">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绩效评价从项目决策、项目过程、项目产出、项目效益四个维度进行评价。评价对象为项目目标实施情况，评价核心为资金的支出完成情况和项目的产出效益。</w:t>
      </w:r>
    </w:p>
    <w:p w14:paraId="0910EFE8">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1EA4AA1">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0852945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4C30B9EC">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7EFCEDC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2C639C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评价标准</w:t>
      </w:r>
    </w:p>
    <w:p w14:paraId="33949B74">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绩效评价标准通常包括计划标准、行业标准、历史标准等，用于对绩效指标完成情况进行比较、分析、评价。本次评价主要采用了</w:t>
      </w:r>
      <w:r>
        <w:rPr>
          <w:rFonts w:hint="default" w:ascii="Times New Roman" w:hAnsi="Times New Roman" w:eastAsia="仿宋_GB2312" w:cs="Times New Roman"/>
          <w:b w:val="0"/>
          <w:bCs w:val="0"/>
          <w:spacing w:val="0"/>
          <w:sz w:val="32"/>
          <w:szCs w:val="32"/>
          <w:lang w:val="en-US" w:eastAsia="zh-CN"/>
        </w:rPr>
        <w:t>计划</w:t>
      </w:r>
      <w:r>
        <w:rPr>
          <w:rFonts w:hint="default" w:ascii="Times New Roman" w:hAnsi="Times New Roman" w:eastAsia="仿宋_GB2312" w:cs="Times New Roman"/>
          <w:b w:val="0"/>
          <w:bCs w:val="0"/>
        </w:rPr>
        <w:t>标准。</w:t>
      </w:r>
    </w:p>
    <w:p w14:paraId="0530BB22">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计划标准。指以预先制定的目标、计划、预算、定额等作为评价标准。</w:t>
      </w:r>
    </w:p>
    <w:p w14:paraId="0F7F6C5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711" w:firstLineChars="200"/>
        <w:textAlignment w:val="auto"/>
        <w:rPr>
          <w:rFonts w:hint="default" w:ascii="楷体" w:hAnsi="楷体" w:eastAsia="楷体" w:cs="楷体"/>
          <w:b/>
          <w:bCs/>
          <w:color w:val="000000"/>
          <w:spacing w:val="17"/>
          <w:kern w:val="28"/>
          <w:sz w:val="32"/>
          <w:szCs w:val="32"/>
          <w:lang w:val="en-US" w:eastAsia="zh-CN" w:bidi="ar-SA"/>
        </w:rPr>
      </w:pPr>
      <w:r>
        <w:rPr>
          <w:rFonts w:hint="eastAsia" w:ascii="楷体" w:hAnsi="楷体" w:eastAsia="楷体" w:cs="楷体"/>
          <w:b/>
          <w:bCs/>
          <w:color w:val="000000"/>
          <w:spacing w:val="17"/>
          <w:kern w:val="28"/>
          <w:sz w:val="32"/>
          <w:szCs w:val="32"/>
          <w:lang w:val="en-US" w:eastAsia="zh-CN" w:bidi="ar-SA"/>
        </w:rPr>
        <w:t>（三）</w:t>
      </w:r>
      <w:r>
        <w:rPr>
          <w:rFonts w:hint="default" w:ascii="楷体" w:hAnsi="楷体" w:eastAsia="楷体" w:cs="楷体"/>
          <w:b/>
          <w:bCs/>
          <w:color w:val="000000"/>
          <w:spacing w:val="17"/>
          <w:kern w:val="28"/>
          <w:sz w:val="32"/>
          <w:szCs w:val="32"/>
          <w:lang w:val="en-US" w:eastAsia="zh-CN" w:bidi="ar-SA"/>
        </w:rPr>
        <w:t>绩效评价工作过程</w:t>
      </w:r>
    </w:p>
    <w:p w14:paraId="569FECC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19990E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lang w:val="en-US" w:eastAsia="zh-CN"/>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6BEFE42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楷体" w:cs="Times New Roman"/>
          <w:color w:val="000000"/>
          <w:spacing w:val="17"/>
        </w:rPr>
      </w:pPr>
      <w:r>
        <w:rPr>
          <w:rFonts w:hint="eastAsia" w:eastAsia="仿宋_GB2312"/>
          <w:bCs/>
          <w:sz w:val="32"/>
          <w:szCs w:val="32"/>
          <w:lang w:val="en-US" w:eastAsia="zh-CN"/>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48BC2554">
      <w:pPr>
        <w:numPr>
          <w:ilvl w:val="0"/>
          <w:numId w:val="2"/>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14:paraId="1A739C67">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29CF5FFE">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w:t>
      </w:r>
      <w:r>
        <w:rPr>
          <w:rFonts w:hint="eastAsia" w:eastAsia="仿宋_GB2312" w:cs="Times New Roman"/>
          <w:b w:val="0"/>
          <w:bCs w:val="0"/>
          <w:kern w:val="28"/>
          <w:sz w:val="32"/>
          <w:szCs w:val="32"/>
          <w:lang w:val="en-US" w:eastAsia="zh-CN" w:bidi="ar-SA"/>
        </w:rPr>
        <w:t>中</w:t>
      </w:r>
      <w:r>
        <w:rPr>
          <w:rFonts w:hint="eastAsia" w:ascii="Times New Roman" w:hAnsi="Times New Roman" w:eastAsia="仿宋_GB2312" w:cs="Times New Roman"/>
          <w:b w:val="0"/>
          <w:bCs w:val="0"/>
          <w:kern w:val="28"/>
          <w:sz w:val="32"/>
          <w:szCs w:val="32"/>
          <w:lang w:val="en-US" w:eastAsia="zh-CN" w:bidi="ar-SA"/>
        </w:rPr>
        <w:t>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259150B8">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4B28E98C">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 xml:space="preserve">分，属于“优（良/中/差）”。其中，项目决策类指标权重为20分，得分为 </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%。项目过程类指标权重为20分，得分为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%。项目产出类指标权重为40分，得分为</w:t>
      </w:r>
      <w:r>
        <w:rPr>
          <w:rFonts w:hint="eastAsia" w:ascii="Times New Roman" w:hAnsi="Times New Roman" w:eastAsia="仿宋_GB2312" w:cs="Times New Roman"/>
          <w:b w:val="0"/>
          <w:bCs w:val="0"/>
          <w:lang w:val="en-US" w:eastAsia="zh-CN"/>
        </w:rPr>
        <w:t>40</w:t>
      </w:r>
      <w:r>
        <w:rPr>
          <w:rFonts w:hint="default" w:ascii="Times New Roman" w:hAnsi="Times New Roman" w:eastAsia="仿宋_GB2312" w:cs="Times New Roman"/>
          <w:b w:val="0"/>
          <w:bCs w:val="0"/>
        </w:rPr>
        <w:t xml:space="preserve">分，得分率为 </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%。项目效益类指标权重为20分，得分为</w:t>
      </w:r>
      <w:r>
        <w:rPr>
          <w:rFonts w:hint="eastAsia" w:ascii="Times New Roman" w:hAnsi="Times New Roman" w:eastAsia="仿宋_GB2312" w:cs="Times New Roman"/>
          <w:b w:val="0"/>
          <w:bCs w:val="0"/>
          <w:lang w:val="en-US" w:eastAsia="zh-CN"/>
        </w:rPr>
        <w:t>20</w:t>
      </w:r>
      <w:r>
        <w:rPr>
          <w:rFonts w:hint="default" w:ascii="Times New Roman" w:hAnsi="Times New Roman" w:eastAsia="仿宋_GB2312" w:cs="Times New Roman"/>
          <w:b w:val="0"/>
          <w:bCs w:val="0"/>
        </w:rPr>
        <w:t>分，得分率为</w:t>
      </w:r>
      <w:r>
        <w:rPr>
          <w:rFonts w:hint="eastAsia" w:ascii="Times New Roman" w:hAnsi="Times New Roman" w:eastAsia="仿宋_GB2312" w:cs="Times New Roman"/>
          <w:b w:val="0"/>
          <w:bCs w:val="0"/>
          <w:lang w:val="en-US" w:eastAsia="zh-CN"/>
        </w:rPr>
        <w:t>100</w:t>
      </w:r>
      <w:r>
        <w:rPr>
          <w:rFonts w:hint="default" w:ascii="Times New Roman" w:hAnsi="Times New Roman" w:eastAsia="仿宋_GB2312" w:cs="Times New Roman"/>
          <w:b w:val="0"/>
          <w:bCs w:val="0"/>
        </w:rPr>
        <w:t>%。具体打分情况详见：附件1综合评分表</w:t>
      </w:r>
      <w:r>
        <w:rPr>
          <w:rFonts w:hint="default" w:ascii="Times New Roman" w:hAnsi="Times New Roman" w:eastAsia="仿宋_GB2312" w:cs="Times New Roman"/>
          <w:b w:val="0"/>
          <w:bCs w:val="0"/>
          <w:lang w:eastAsia="zh-CN"/>
        </w:rPr>
        <w:t>。</w:t>
      </w:r>
    </w:p>
    <w:p w14:paraId="26E16196">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4"/>
        <w:tblW w:w="8760" w:type="dxa"/>
        <w:jc w:val="center"/>
        <w:tblLayout w:type="fixed"/>
        <w:tblCellMar>
          <w:top w:w="0" w:type="dxa"/>
          <w:left w:w="108" w:type="dxa"/>
          <w:bottom w:w="0" w:type="dxa"/>
          <w:right w:w="108" w:type="dxa"/>
        </w:tblCellMar>
      </w:tblPr>
      <w:tblGrid>
        <w:gridCol w:w="2787"/>
        <w:gridCol w:w="1927"/>
        <w:gridCol w:w="2023"/>
        <w:gridCol w:w="2023"/>
      </w:tblGrid>
      <w:tr w14:paraId="3EFE248C">
        <w:tblPrEx>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05375F6">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74F97E9">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3C476A1">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7C7CCCD">
            <w:pPr>
              <w:jc w:val="center"/>
              <w:rPr>
                <w:rFonts w:hint="eastAsia"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得分率</w:t>
            </w:r>
          </w:p>
        </w:tc>
      </w:tr>
      <w:tr w14:paraId="0C4EEC3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295FDB28">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1927" w:type="dxa"/>
            <w:tcBorders>
              <w:top w:val="nil"/>
              <w:left w:val="nil"/>
              <w:bottom w:val="single" w:color="auto" w:sz="4" w:space="0"/>
              <w:right w:val="single" w:color="auto" w:sz="4" w:space="0"/>
            </w:tcBorders>
            <w:shd w:val="clear" w:color="auto" w:fill="auto"/>
            <w:vAlign w:val="center"/>
          </w:tcPr>
          <w:p w14:paraId="4A833A18">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1B42B7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5347A1CC">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100%</w:t>
            </w:r>
          </w:p>
        </w:tc>
      </w:tr>
      <w:tr w14:paraId="6678EEED">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0C80A0DD">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1927" w:type="dxa"/>
            <w:tcBorders>
              <w:top w:val="nil"/>
              <w:left w:val="nil"/>
              <w:bottom w:val="single" w:color="auto" w:sz="4" w:space="0"/>
              <w:right w:val="single" w:color="auto" w:sz="4" w:space="0"/>
            </w:tcBorders>
            <w:shd w:val="clear" w:color="auto" w:fill="auto"/>
            <w:vAlign w:val="center"/>
          </w:tcPr>
          <w:p w14:paraId="77AD0C5D">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0612145E">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66D08B45">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78006D78">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1A6E0F2">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1927" w:type="dxa"/>
            <w:tcBorders>
              <w:top w:val="nil"/>
              <w:left w:val="nil"/>
              <w:bottom w:val="single" w:color="auto" w:sz="4" w:space="0"/>
              <w:right w:val="single" w:color="auto" w:sz="4" w:space="0"/>
            </w:tcBorders>
            <w:shd w:val="clear" w:color="auto" w:fill="auto"/>
            <w:vAlign w:val="center"/>
          </w:tcPr>
          <w:p w14:paraId="52D2CB07">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40A40923">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14:paraId="7EDA5671">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5E551982">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60ED3DAB">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1927" w:type="dxa"/>
            <w:tcBorders>
              <w:top w:val="nil"/>
              <w:left w:val="nil"/>
              <w:bottom w:val="single" w:color="auto" w:sz="4" w:space="0"/>
              <w:right w:val="single" w:color="auto" w:sz="4" w:space="0"/>
            </w:tcBorders>
            <w:shd w:val="clear" w:color="auto" w:fill="auto"/>
            <w:vAlign w:val="center"/>
          </w:tcPr>
          <w:p w14:paraId="437C21F0">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77CBFE68">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14:paraId="3D5829C3">
            <w:pPr>
              <w:jc w:val="center"/>
              <w:rPr>
                <w:rFonts w:hint="default" w:ascii="Times New Roman" w:hAnsi="Times New Roman" w:eastAsia="仿宋_GB2312" w:cs="Times New Roman"/>
                <w:color w:val="000000"/>
                <w:sz w:val="21"/>
                <w:szCs w:val="21"/>
              </w:rPr>
            </w:pPr>
            <w:r>
              <w:rPr>
                <w:rFonts w:hint="eastAsia" w:eastAsia="仿宋_GB2312" w:cs="Times New Roman"/>
                <w:color w:val="000000"/>
                <w:sz w:val="21"/>
                <w:szCs w:val="21"/>
                <w:lang w:val="en-US" w:eastAsia="zh-CN"/>
              </w:rPr>
              <w:t>100%</w:t>
            </w:r>
          </w:p>
        </w:tc>
      </w:tr>
      <w:tr w14:paraId="59C0D4C5">
        <w:tblPrEx>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14:paraId="4D7BA290">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1927" w:type="dxa"/>
            <w:tcBorders>
              <w:top w:val="nil"/>
              <w:left w:val="nil"/>
              <w:bottom w:val="single" w:color="auto" w:sz="4" w:space="0"/>
              <w:right w:val="single" w:color="auto" w:sz="4" w:space="0"/>
            </w:tcBorders>
            <w:shd w:val="clear" w:color="auto" w:fill="auto"/>
            <w:vAlign w:val="center"/>
          </w:tcPr>
          <w:p w14:paraId="4DACC5F4">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1BEB529F">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14:paraId="20911A5F">
            <w:pPr>
              <w:jc w:val="center"/>
              <w:rPr>
                <w:rFonts w:hint="default" w:ascii="Times New Roman" w:hAnsi="Times New Roman" w:eastAsia="仿宋_GB2312" w:cs="Times New Roman"/>
                <w:b/>
                <w:bCs/>
                <w:color w:val="000000"/>
                <w:sz w:val="21"/>
                <w:szCs w:val="21"/>
              </w:rPr>
            </w:pPr>
            <w:r>
              <w:rPr>
                <w:rFonts w:hint="eastAsia" w:eastAsia="仿宋_GB2312" w:cs="Times New Roman"/>
                <w:color w:val="000000"/>
                <w:sz w:val="21"/>
                <w:szCs w:val="21"/>
                <w:lang w:val="en-US" w:eastAsia="zh-CN"/>
              </w:rPr>
              <w:t>100%</w:t>
            </w:r>
          </w:p>
        </w:tc>
      </w:tr>
    </w:tbl>
    <w:p w14:paraId="0D04E012">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61767B5C">
      <w:pPr>
        <w:pStyle w:val="10"/>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09B4A59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15558C8">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14:paraId="0E7CDEE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373E63F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795E3F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22CF2B1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0D315C5A">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33C5C2B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166995C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06C0F75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77497BAD">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376A7346">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439C3BB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289D75F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33F7F16C">
      <w:pPr>
        <w:numPr>
          <w:ilvl w:val="0"/>
          <w:numId w:val="1"/>
        </w:numPr>
        <w:shd w:val="clear"/>
        <w:spacing w:line="600" w:lineRule="exact"/>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资金分配合理性</w:t>
      </w:r>
    </w:p>
    <w:p w14:paraId="4C29D485">
      <w:pPr>
        <w:numPr>
          <w:ilvl w:val="0"/>
          <w:numId w:val="0"/>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64BD8848">
      <w:pPr>
        <w:pStyle w:val="10"/>
        <w:numPr>
          <w:ilvl w:val="0"/>
          <w:numId w:val="3"/>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62AA733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212192B4">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51E94BF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7607D8E9">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本项目总投资</w:t>
      </w:r>
      <w:r>
        <w:rPr>
          <w:rFonts w:hint="eastAsia" w:ascii="Times New Roman" w:hAnsi="Times New Roman" w:eastAsia="仿宋_GB2312" w:cs="Times New Roman"/>
          <w:sz w:val="32"/>
          <w:szCs w:val="32"/>
          <w:lang w:val="en-US" w:eastAsia="zh-CN"/>
        </w:rPr>
        <w:t>682</w:t>
      </w:r>
      <w:r>
        <w:rPr>
          <w:rFonts w:hint="default" w:ascii="Times New Roman" w:hAnsi="Times New Roman" w:eastAsia="仿宋_GB2312" w:cs="Times New Roman"/>
          <w:sz w:val="32"/>
          <w:szCs w:val="32"/>
          <w:lang w:val="en-US" w:eastAsia="zh-CN"/>
        </w:rPr>
        <w:t>万元，财政资金及时足额到位，到位率</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%，预算资金按计划进度执行。</w:t>
      </w:r>
    </w:p>
    <w:p w14:paraId="7BFD199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7C9732E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预算编制较为详细，项目资金支出总体能够按照预算执行，预算资金支出</w:t>
      </w:r>
      <w:r>
        <w:rPr>
          <w:rFonts w:hint="eastAsia" w:ascii="Times New Roman" w:hAnsi="Times New Roman" w:eastAsia="仿宋_GB2312" w:cs="Times New Roman"/>
          <w:sz w:val="32"/>
          <w:szCs w:val="32"/>
          <w:lang w:val="en-US" w:eastAsia="zh-CN"/>
        </w:rPr>
        <w:t>682</w:t>
      </w:r>
      <w:r>
        <w:rPr>
          <w:rFonts w:hint="default" w:ascii="Times New Roman" w:hAnsi="Times New Roman" w:eastAsia="仿宋_GB2312" w:cs="Times New Roman"/>
          <w:sz w:val="32"/>
          <w:szCs w:val="32"/>
          <w:lang w:val="en-US" w:eastAsia="zh-CN"/>
        </w:rPr>
        <w:t>万元，预算执行率为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w:t>
      </w:r>
    </w:p>
    <w:p w14:paraId="3D6F4A1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48EBFF1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47D0155">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14:paraId="38652CF0">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（1）管理制度健全性</w:t>
      </w:r>
    </w:p>
    <w:p w14:paraId="250AE35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118DB08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1DA0772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C37B7A2">
      <w:pPr>
        <w:pStyle w:val="12"/>
        <w:numPr>
          <w:ilvl w:val="0"/>
          <w:numId w:val="3"/>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14:paraId="4BE62FB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项目产出类指标包括产出数量、产出质量、产出时效、产出成本四方面的内容，由</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个三级指标构成，权重分为40分，实际得分</w:t>
      </w:r>
      <w:r>
        <w:rPr>
          <w:rFonts w:hint="eastAsia" w:ascii="Times New Roman" w:hAnsi="Times New Roman" w:eastAsia="仿宋_GB2312" w:cs="Times New Roman"/>
          <w:sz w:val="32"/>
          <w:szCs w:val="32"/>
          <w:lang w:val="en-US" w:eastAsia="zh-CN"/>
        </w:rPr>
        <w:t>40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%。具体产出指标完成情况如下：</w:t>
      </w:r>
    </w:p>
    <w:p w14:paraId="6B03D448">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364B06C3">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指标1：支持重点外向型企业数量 ，指标值：&gt;=</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个，实际完成值：</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个，指标完成率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BEFC101">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31F3BA8D">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指标1：资金发放准确率，指标值：=100%，实际完成值：100%，指标完成率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93EAA9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14:paraId="3FF78166">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指标1：资金拨付及时性</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359596F">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lang w:val="en-US" w:eastAsia="zh-CN"/>
        </w:rPr>
        <w:t>成本</w:t>
      </w: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eastAsia="zh-CN"/>
        </w:rPr>
        <w:t>：</w:t>
      </w:r>
    </w:p>
    <w:p w14:paraId="32DF5955">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指标1：项目预算控制率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指标值：=100%，实际完成值：100%，指标完成率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0FF317DC">
      <w:pPr>
        <w:pStyle w:val="12"/>
        <w:numPr>
          <w:ilvl w:val="0"/>
          <w:numId w:val="3"/>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14:paraId="5CA45C07">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项目效益类指标包括项目实施效益和满意度两方面的内容，由</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个三级指标构成，权重分为20分，实际得分</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分，得分率为</w:t>
      </w:r>
      <w:r>
        <w:rPr>
          <w:rFonts w:hint="eastAsia" w:ascii="Times New Roman" w:hAnsi="Times New Roman" w:eastAsia="仿宋_GB2312" w:cs="Times New Roman"/>
          <w:sz w:val="32"/>
          <w:szCs w:val="32"/>
          <w:lang w:val="en-US" w:eastAsia="zh-CN"/>
        </w:rPr>
        <w:t>100</w:t>
      </w:r>
      <w:r>
        <w:rPr>
          <w:rFonts w:hint="default" w:ascii="Times New Roman" w:hAnsi="Times New Roman" w:eastAsia="仿宋_GB2312" w:cs="Times New Roman"/>
          <w:sz w:val="32"/>
          <w:szCs w:val="32"/>
          <w:lang w:val="en-US" w:eastAsia="zh-CN"/>
        </w:rPr>
        <w:t>%。具体效益指标及满意度指标完成情况如下：</w:t>
      </w:r>
    </w:p>
    <w:p w14:paraId="14C92E0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24A50405">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4404721E">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指标1：获得</w:t>
      </w:r>
      <w:r>
        <w:rPr>
          <w:rFonts w:hint="eastAsia" w:ascii="仿宋_GB2312" w:hAnsi="仿宋_GB2312" w:eastAsia="仿宋_GB2312" w:cs="仿宋_GB2312"/>
          <w:sz w:val="32"/>
          <w:szCs w:val="32"/>
          <w:highlight w:val="none"/>
          <w:lang w:val="en-US" w:eastAsia="zh-CN"/>
        </w:rPr>
        <w:t>支持</w:t>
      </w:r>
      <w:r>
        <w:rPr>
          <w:rFonts w:hint="eastAsia" w:ascii="仿宋_GB2312" w:hAnsi="仿宋_GB2312" w:eastAsia="仿宋_GB2312" w:cs="仿宋_GB2312"/>
          <w:sz w:val="32"/>
          <w:szCs w:val="32"/>
          <w:highlight w:val="none"/>
        </w:rPr>
        <w:t>的外向型企业进出口增长率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0%，实际完成值：</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0%，指标完成率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D9002B9">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41DE9E38">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指标1：提升企业贸易竞争力家数</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指标值：&gt;=2家，实际完成值：2家，指标完成率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789AA3A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5804E659">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满意度指标：企业满意度，</w:t>
      </w:r>
      <w:r>
        <w:rPr>
          <w:rFonts w:hint="eastAsia" w:ascii="仿宋_GB2312" w:hAnsi="仿宋_GB2312" w:eastAsia="仿宋_GB2312" w:cs="仿宋_GB2312"/>
          <w:sz w:val="32"/>
          <w:szCs w:val="32"/>
          <w:highlight w:val="none"/>
        </w:rPr>
        <w:t>指标值：&gt;=</w:t>
      </w:r>
      <w:r>
        <w:rPr>
          <w:rFonts w:hint="eastAsia" w:ascii="仿宋_GB2312" w:hAnsi="仿宋_GB2312" w:eastAsia="仿宋_GB2312" w:cs="仿宋_GB2312"/>
          <w:sz w:val="32"/>
          <w:szCs w:val="32"/>
          <w:highlight w:val="none"/>
          <w:lang w:val="en-US" w:eastAsia="zh-CN"/>
        </w:rPr>
        <w:t>85</w:t>
      </w:r>
      <w:r>
        <w:rPr>
          <w:rFonts w:hint="eastAsia" w:ascii="仿宋_GB2312" w:hAnsi="仿宋_GB2312" w:eastAsia="仿宋_GB2312" w:cs="仿宋_GB2312"/>
          <w:sz w:val="32"/>
          <w:szCs w:val="32"/>
          <w:highlight w:val="none"/>
        </w:rPr>
        <w:t>%，实际完成值：=</w:t>
      </w:r>
      <w:r>
        <w:rPr>
          <w:rFonts w:hint="eastAsia" w:ascii="仿宋_GB2312" w:hAnsi="仿宋_GB2312" w:eastAsia="仿宋_GB2312" w:cs="仿宋_GB2312"/>
          <w:sz w:val="32"/>
          <w:szCs w:val="32"/>
          <w:highlight w:val="none"/>
          <w:lang w:val="en-US" w:eastAsia="zh-CN"/>
        </w:rPr>
        <w:t>85</w:t>
      </w:r>
      <w:r>
        <w:rPr>
          <w:rFonts w:hint="eastAsia" w:ascii="仿宋_GB2312" w:hAnsi="仿宋_GB2312" w:eastAsia="仿宋_GB2312" w:cs="仿宋_GB2312"/>
          <w:sz w:val="32"/>
          <w:szCs w:val="32"/>
          <w:highlight w:val="none"/>
        </w:rPr>
        <w:t>%，指标完成率</w:t>
      </w:r>
      <w:r>
        <w:rPr>
          <w:rFonts w:hint="eastAsia" w:ascii="仿宋_GB2312" w:hAnsi="仿宋_GB2312" w:eastAsia="仿宋_GB2312" w:cs="仿宋_GB2312"/>
          <w:sz w:val="32"/>
          <w:szCs w:val="32"/>
          <w:highlight w:val="none"/>
          <w:lang w:val="en-US" w:eastAsia="zh-CN"/>
        </w:rPr>
        <w:t>100</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p>
    <w:p w14:paraId="50C977AD">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14:paraId="02A73809">
      <w:pPr>
        <w:pStyle w:val="19"/>
        <w:spacing w:line="560" w:lineRule="exact"/>
        <w:ind w:firstLine="640"/>
        <w:rPr>
          <w:rFonts w:hint="default" w:ascii="Times New Roman" w:hAnsi="Times New Roman" w:eastAsia="方正仿宋_GBK" w:cs="Times New Roman"/>
          <w:sz w:val="32"/>
          <w:szCs w:val="32"/>
          <w:highlight w:val="yellow"/>
        </w:rPr>
      </w:pPr>
      <w:r>
        <w:rPr>
          <w:rFonts w:hint="default" w:ascii="仿宋_GB2312" w:hAnsi="仿宋_GB2312" w:eastAsia="仿宋_GB2312" w:cs="仿宋_GB2312"/>
          <w:kern w:val="2"/>
          <w:sz w:val="32"/>
          <w:szCs w:val="32"/>
          <w:highlight w:val="none"/>
          <w:lang w:val="en-US" w:eastAsia="zh-CN" w:bidi="ar-SA"/>
        </w:rPr>
        <w:t>昌州财建【2023】146号2024年中央财政外经贸发展专项资金项目年初预算</w:t>
      </w:r>
      <w:r>
        <w:rPr>
          <w:rFonts w:hint="eastAsia" w:ascii="仿宋_GB2312" w:hAnsi="仿宋_GB2312" w:eastAsia="仿宋_GB2312" w:cs="仿宋_GB2312"/>
          <w:kern w:val="2"/>
          <w:sz w:val="32"/>
          <w:szCs w:val="32"/>
          <w:highlight w:val="none"/>
          <w:lang w:val="en-US" w:eastAsia="zh-CN" w:bidi="ar-SA"/>
        </w:rPr>
        <w:t>682</w:t>
      </w:r>
      <w:r>
        <w:rPr>
          <w:rFonts w:hint="default" w:ascii="仿宋_GB2312" w:hAnsi="仿宋_GB2312" w:eastAsia="仿宋_GB2312" w:cs="仿宋_GB2312"/>
          <w:kern w:val="2"/>
          <w:sz w:val="32"/>
          <w:szCs w:val="32"/>
          <w:highlight w:val="none"/>
          <w:lang w:val="en-US" w:eastAsia="zh-CN" w:bidi="ar-SA"/>
        </w:rPr>
        <w:t>万元，全年预算</w:t>
      </w:r>
      <w:r>
        <w:rPr>
          <w:rFonts w:hint="eastAsia" w:ascii="仿宋_GB2312" w:hAnsi="仿宋_GB2312" w:eastAsia="仿宋_GB2312" w:cs="仿宋_GB2312"/>
          <w:kern w:val="2"/>
          <w:sz w:val="32"/>
          <w:szCs w:val="32"/>
          <w:highlight w:val="none"/>
          <w:lang w:val="en-US" w:eastAsia="zh-CN" w:bidi="ar-SA"/>
        </w:rPr>
        <w:t>682</w:t>
      </w:r>
      <w:r>
        <w:rPr>
          <w:rFonts w:hint="default" w:ascii="仿宋_GB2312" w:hAnsi="仿宋_GB2312" w:eastAsia="仿宋_GB2312" w:cs="仿宋_GB2312"/>
          <w:kern w:val="2"/>
          <w:sz w:val="32"/>
          <w:szCs w:val="32"/>
          <w:highlight w:val="none"/>
          <w:lang w:val="en-US" w:eastAsia="zh-CN" w:bidi="ar-SA"/>
        </w:rPr>
        <w:t>万元，实际支出</w:t>
      </w:r>
      <w:r>
        <w:rPr>
          <w:rFonts w:hint="eastAsia" w:ascii="仿宋_GB2312" w:hAnsi="仿宋_GB2312" w:eastAsia="仿宋_GB2312" w:cs="仿宋_GB2312"/>
          <w:kern w:val="2"/>
          <w:sz w:val="32"/>
          <w:szCs w:val="32"/>
          <w:highlight w:val="none"/>
          <w:lang w:val="en-US" w:eastAsia="zh-CN" w:bidi="ar-SA"/>
        </w:rPr>
        <w:t>682</w:t>
      </w:r>
      <w:r>
        <w:rPr>
          <w:rFonts w:hint="default" w:ascii="仿宋_GB2312" w:hAnsi="仿宋_GB2312" w:eastAsia="仿宋_GB2312" w:cs="仿宋_GB2312"/>
          <w:kern w:val="2"/>
          <w:sz w:val="32"/>
          <w:szCs w:val="32"/>
          <w:highlight w:val="none"/>
          <w:lang w:val="en-US" w:eastAsia="zh-CN" w:bidi="ar-SA"/>
        </w:rPr>
        <w:t>万元，预算执行率为</w:t>
      </w:r>
      <w:r>
        <w:rPr>
          <w:rFonts w:hint="eastAsia" w:ascii="仿宋_GB2312" w:hAnsi="仿宋_GB2312" w:eastAsia="仿宋_GB2312" w:cs="仿宋_GB2312"/>
          <w:kern w:val="2"/>
          <w:sz w:val="32"/>
          <w:szCs w:val="32"/>
          <w:highlight w:val="none"/>
          <w:lang w:val="en-US" w:eastAsia="zh-CN" w:bidi="ar-SA"/>
        </w:rPr>
        <w:t>100</w:t>
      </w:r>
      <w:r>
        <w:rPr>
          <w:rFonts w:hint="default" w:ascii="仿宋_GB2312" w:hAnsi="仿宋_GB2312" w:eastAsia="仿宋_GB2312" w:cs="仿宋_GB2312"/>
          <w:kern w:val="2"/>
          <w:sz w:val="32"/>
          <w:szCs w:val="32"/>
          <w:highlight w:val="none"/>
          <w:lang w:val="en-US" w:eastAsia="zh-CN" w:bidi="ar-SA"/>
        </w:rPr>
        <w:t>%，项目绩效指标总体完成率为</w:t>
      </w:r>
      <w:r>
        <w:rPr>
          <w:rFonts w:hint="eastAsia" w:ascii="仿宋_GB2312" w:hAnsi="仿宋_GB2312" w:eastAsia="仿宋_GB2312" w:cs="仿宋_GB2312"/>
          <w:kern w:val="2"/>
          <w:sz w:val="32"/>
          <w:szCs w:val="32"/>
          <w:highlight w:val="none"/>
          <w:lang w:val="en-US" w:eastAsia="zh-CN" w:bidi="ar-SA"/>
        </w:rPr>
        <w:t>100</w:t>
      </w:r>
      <w:r>
        <w:rPr>
          <w:rFonts w:hint="default" w:ascii="仿宋_GB2312" w:hAnsi="仿宋_GB2312" w:eastAsia="仿宋_GB2312" w:cs="仿宋_GB2312"/>
          <w:kern w:val="2"/>
          <w:sz w:val="32"/>
          <w:szCs w:val="32"/>
          <w:highlight w:val="none"/>
          <w:lang w:val="en-US" w:eastAsia="zh-CN" w:bidi="ar-SA"/>
        </w:rPr>
        <w:t>%，</w:t>
      </w:r>
      <w:r>
        <w:rPr>
          <w:rFonts w:hint="default" w:ascii="仿宋_GB2312" w:hAnsi="仿宋_GB2312" w:eastAsia="仿宋_GB2312" w:cs="仿宋_GB2312"/>
          <w:kern w:val="2"/>
          <w:sz w:val="32"/>
          <w:szCs w:val="32"/>
          <w:highlight w:val="none"/>
          <w:lang w:val="en-US" w:eastAsia="zh-Hans" w:bidi="ar-SA"/>
        </w:rPr>
        <w:t>总体</w:t>
      </w:r>
      <w:r>
        <w:rPr>
          <w:rFonts w:hint="default" w:ascii="仿宋_GB2312" w:hAnsi="仿宋_GB2312" w:eastAsia="仿宋_GB2312" w:cs="仿宋_GB2312"/>
          <w:kern w:val="2"/>
          <w:sz w:val="32"/>
          <w:szCs w:val="32"/>
          <w:highlight w:val="none"/>
          <w:lang w:val="en-US" w:eastAsia="zh-CN" w:bidi="ar-SA"/>
        </w:rPr>
        <w:t>偏差率为</w:t>
      </w:r>
      <w:r>
        <w:rPr>
          <w:rFonts w:hint="eastAsia" w:ascii="仿宋_GB2312" w:hAnsi="仿宋_GB2312" w:eastAsia="仿宋_GB2312" w:cs="仿宋_GB2312"/>
          <w:kern w:val="2"/>
          <w:sz w:val="32"/>
          <w:szCs w:val="32"/>
          <w:highlight w:val="none"/>
          <w:lang w:val="en-US" w:eastAsia="zh-CN" w:bidi="ar-SA"/>
        </w:rPr>
        <w:t>0</w:t>
      </w:r>
      <w:r>
        <w:rPr>
          <w:rFonts w:hint="default" w:ascii="仿宋_GB2312" w:hAnsi="仿宋_GB2312" w:eastAsia="仿宋_GB2312" w:cs="仿宋_GB2312"/>
          <w:kern w:val="2"/>
          <w:sz w:val="32"/>
          <w:szCs w:val="32"/>
          <w:highlight w:val="none"/>
          <w:lang w:val="en-US" w:eastAsia="zh-CN" w:bidi="ar-SA"/>
        </w:rPr>
        <w:t>%。</w:t>
      </w:r>
    </w:p>
    <w:p w14:paraId="0FB068FE">
      <w:pPr>
        <w:spacing w:line="560" w:lineRule="exact"/>
        <w:ind w:firstLine="640" w:firstLineChars="200"/>
        <w:rPr>
          <w:rStyle w:val="18"/>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黑体" w:cs="Times New Roman"/>
          <w:sz w:val="32"/>
          <w:szCs w:val="32"/>
        </w:rPr>
        <w:t>主要经验及做法、存在的问题及原因分析</w:t>
      </w:r>
    </w:p>
    <w:p w14:paraId="72EAB62E">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14:paraId="26679D16">
      <w:pPr>
        <w:spacing w:line="560" w:lineRule="exact"/>
        <w:ind w:firstLine="640" w:firstLineChars="20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奇台县以促进外贸稳中</w:t>
      </w:r>
      <w:r>
        <w:rPr>
          <w:rFonts w:hint="eastAsia" w:ascii="仿宋_GB2312" w:hAnsi="仿宋_GB2312" w:eastAsia="仿宋_GB2312" w:cs="仿宋_GB2312"/>
          <w:sz w:val="32"/>
          <w:szCs w:val="32"/>
          <w:highlight w:val="none"/>
          <w:lang w:val="en-US" w:eastAsia="zh-CN"/>
        </w:rPr>
        <w:t>提质</w:t>
      </w:r>
      <w:r>
        <w:rPr>
          <w:rFonts w:hint="eastAsia" w:ascii="仿宋_GB2312" w:hAnsi="仿宋_GB2312" w:eastAsia="仿宋_GB2312" w:cs="仿宋_GB2312"/>
          <w:sz w:val="32"/>
          <w:szCs w:val="32"/>
          <w:highlight w:val="none"/>
          <w:lang w:eastAsia="zh-CN"/>
        </w:rPr>
        <w:t>，推动贸易产业融合发展，稳住外贸基本盘，支持市场采购贸易方式试点发展，大力发展外贸新业态。积极改善边境贸易仓储物流条件，提升边境贸易综合竞争力，开展贸易调整，帮助产业企业积极应对因国外不公平贸易政策对待所造成的不利影响，提高国际市场竞争力，促进和扩大出口为目标。今年积极协助蓝山屯河、九安汽车城企业申报并获得中央外经贸发展专项资金补助资金682万元，降低了企业开拓外贸市场的成本压力，调动了企业扩大进出口业务的积极性，提升企业贸易竞争力，助力企业开拓市场，建立海外展销及售后体系，支持我县外贸企业持续稳定健康发展。</w:t>
      </w:r>
    </w:p>
    <w:p w14:paraId="57C11D7C">
      <w:pPr>
        <w:keepNext/>
        <w:keepLines/>
        <w:numPr>
          <w:ilvl w:val="0"/>
          <w:numId w:val="0"/>
        </w:numPr>
        <w:spacing w:line="560" w:lineRule="exact"/>
        <w:ind w:firstLine="643" w:firstLineChars="200"/>
        <w:rPr>
          <w:rFonts w:hint="default" w:ascii="Times New Roman" w:hAnsi="Times New Roman" w:eastAsia="楷体_GB2312" w:cs="Times New Roman"/>
          <w:b/>
          <w:bCs/>
          <w:sz w:val="32"/>
          <w:szCs w:val="32"/>
        </w:rPr>
      </w:pPr>
      <w:r>
        <w:rPr>
          <w:rFonts w:hint="eastAsia" w:eastAsia="楷体_GB2312" w:cs="Times New Roman"/>
          <w:b/>
          <w:bCs/>
          <w:sz w:val="32"/>
          <w:szCs w:val="32"/>
          <w:lang w:eastAsia="zh-CN"/>
        </w:rPr>
        <w:t>（</w:t>
      </w:r>
      <w:r>
        <w:rPr>
          <w:rFonts w:hint="eastAsia" w:eastAsia="楷体_GB2312" w:cs="Times New Roman"/>
          <w:b/>
          <w:bCs/>
          <w:sz w:val="32"/>
          <w:szCs w:val="32"/>
          <w:lang w:val="en-US" w:eastAsia="zh-CN"/>
        </w:rPr>
        <w:t>二）</w:t>
      </w:r>
      <w:r>
        <w:rPr>
          <w:rFonts w:hint="default" w:ascii="Times New Roman" w:hAnsi="Times New Roman" w:eastAsia="楷体_GB2312" w:cs="Times New Roman"/>
          <w:b/>
          <w:bCs/>
          <w:sz w:val="32"/>
          <w:szCs w:val="32"/>
        </w:rPr>
        <w:t>存在的问题及原因分析</w:t>
      </w:r>
    </w:p>
    <w:p w14:paraId="7CE360DF">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申报中央外经贸发展专项资金项目金额不确定，外贸企业开展业务企业每年存在波动，导致申报企业不确定，金额比例不确定。</w:t>
      </w:r>
    </w:p>
    <w:p w14:paraId="563E1B6D">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有关建议</w:t>
      </w:r>
    </w:p>
    <w:p w14:paraId="1BD07814">
      <w:pPr>
        <w:numPr>
          <w:ilvl w:val="0"/>
          <w:numId w:val="0"/>
        </w:num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加强项目绩效管理，便于后期工作开展的资金使用范围。通过合理的开展中央外经贸发展专项资金项目，使得改善边境贸易仓储物流条件，提升边境贸易综合竞争力，开展贸易调整，帮助产业企业积极应对因国外不公平贸易政策对待所造成的不利影响，提高国际市场竞争力，促进和扩大出口。</w:t>
      </w:r>
    </w:p>
    <w:p w14:paraId="12926BB8">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建议进一步提高认识，加强预算管理，做好项目前期的调研决策工作，加大对绩效评价相关知识的培训力度，结合实际制定完善资金管理制度。同时根据工作中遇到的实际困难和问题，改进工作方式，提升工作效率。</w:t>
      </w:r>
    </w:p>
    <w:p w14:paraId="3DEBE8F0">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根据我县外贸企业情况，积极动员企业申报中央外经贸发展专项资金项目，最终我县2家外贸企业进行项目申报，争取682万元补助资金，在资金拨付、管理、使用方面能按照专项资金使用管理办法执行,实现专款专用，及时拨付，企业按照预算计划进行开支，能够合理控制支出。在资金拨付、监管等方面，均严格按照项目资金管理办法，严格执行财务管理制度，财务处理及时、会计核算规范。</w:t>
      </w:r>
    </w:p>
    <w:p w14:paraId="1982B337">
      <w:pPr>
        <w:spacing w:line="560" w:lineRule="exact"/>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4、积极听取外贸企业的建议，合理的建言献策，大力支持外贸企业业务工作，切实抓好外贸企业进出口业务，重视外贸企业开拓海外市场时遇到的困难和资金周转问题，更进一步做好外贸进出口工作，进一步推动外贸工作做大做强。</w:t>
      </w:r>
    </w:p>
    <w:p w14:paraId="4651C6E0">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进一步加强对绩效管理工作的组织领导，提高对预算绩效管理工作重要性的认识，总结经验查找问题，抓紧研究制定更全面更完善的绩效评价管理办法。结合外贸专项资金建立绩效工作考核制度，加大全局对全面实施预算绩效管理和绩效管理工作的学习力度，让“花钱必问效，无效必问责”的理念深入工作每个环节。</w:t>
      </w:r>
    </w:p>
    <w:p w14:paraId="39D25FEE">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61F2F120">
      <w:pPr>
        <w:pStyle w:val="13"/>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45E2788E">
      <w:pPr>
        <w:pStyle w:val="13"/>
        <w:spacing w:after="0" w:line="560" w:lineRule="exact"/>
        <w:ind w:left="0" w:leftChars="0" w:firstLine="0" w:firstLineChars="0"/>
        <w:rPr>
          <w:rFonts w:hint="eastAsia" w:ascii="Times New Roman" w:hAnsi="Times New Roman" w:eastAsia="仿宋_GB2312" w:cs="Times New Roman"/>
          <w:sz w:val="32"/>
          <w:szCs w:val="32"/>
          <w:lang w:eastAsia="zh-CN"/>
        </w:rPr>
      </w:pPr>
    </w:p>
    <w:p w14:paraId="49C822E1">
      <w:pPr>
        <w:pStyle w:val="13"/>
        <w:spacing w:after="0" w:line="560" w:lineRule="exact"/>
        <w:ind w:left="0" w:leftChars="0" w:firstLine="640"/>
        <w:rPr>
          <w:rFonts w:hint="default" w:ascii="Times New Roman" w:hAnsi="Times New Roman" w:eastAsia="仿宋_GB2312" w:cs="Times New Roman"/>
          <w:sz w:val="32"/>
          <w:szCs w:val="32"/>
        </w:rPr>
      </w:pPr>
    </w:p>
    <w:p w14:paraId="495E1505">
      <w:pPr>
        <w:pStyle w:val="13"/>
        <w:spacing w:after="0" w:line="560" w:lineRule="exact"/>
        <w:ind w:left="0" w:leftChars="0" w:firstLine="640"/>
        <w:rPr>
          <w:rFonts w:hint="default" w:ascii="Times New Roman" w:hAnsi="Times New Roman" w:eastAsia="仿宋_GB2312" w:cs="Times New Roman"/>
          <w:sz w:val="32"/>
          <w:szCs w:val="32"/>
        </w:rPr>
      </w:pPr>
    </w:p>
    <w:p w14:paraId="09E78354">
      <w:pPr>
        <w:pStyle w:val="13"/>
        <w:spacing w:after="0" w:line="560" w:lineRule="exact"/>
        <w:ind w:left="0" w:leftChars="0" w:firstLine="0" w:firstLineChars="0"/>
        <w:rPr>
          <w:rFonts w:hint="default" w:ascii="Times New Roman" w:hAnsi="Times New Roman" w:eastAsia="仿宋_GB2312" w:cs="Times New Roman"/>
          <w:sz w:val="32"/>
          <w:szCs w:val="32"/>
        </w:rPr>
      </w:pPr>
    </w:p>
    <w:p w14:paraId="3D656B76">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14:paraId="224BFFC3">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14:paraId="79CC7486">
      <w:pPr>
        <w:pStyle w:val="19"/>
        <w:ind w:firstLine="562"/>
        <w:jc w:val="center"/>
        <w:rPr>
          <w:rFonts w:hint="eastAsia" w:ascii="仿宋_GB2312" w:hAnsi="仿宋_GB2312" w:eastAsia="仿宋_GB2312" w:cs="仿宋_GB2312"/>
          <w:sz w:val="28"/>
          <w:szCs w:val="40"/>
        </w:rPr>
      </w:pPr>
      <w:bookmarkStart w:id="1" w:name="_Toc26499_WPSOffice_Level2"/>
      <w:bookmarkStart w:id="2" w:name="_Toc30064_WPSOffice_Level1"/>
      <w:r>
        <w:rPr>
          <w:rFonts w:hint="eastAsia" w:ascii="仿宋_GB2312" w:hAnsi="仿宋_GB2312" w:eastAsia="仿宋_GB2312" w:cs="仿宋_GB2312"/>
          <w:b/>
          <w:bCs/>
          <w:sz w:val="28"/>
          <w:szCs w:val="40"/>
        </w:rPr>
        <w:t>昌州财建【2023】146号2024年中央财政外经贸发展专项资金项目绩效评价指标体系及综合评分表</w:t>
      </w:r>
      <w:bookmarkEnd w:id="1"/>
      <w:bookmarkEnd w:id="2"/>
    </w:p>
    <w:tbl>
      <w:tblPr>
        <w:tblStyle w:val="14"/>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14:paraId="699819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14:paraId="07874F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000" w:type="dxa"/>
            <w:shd w:val="clear" w:color="auto" w:fill="FFFFFF"/>
            <w:vAlign w:val="center"/>
          </w:tcPr>
          <w:p w14:paraId="3E43BA7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71" w:type="dxa"/>
            <w:shd w:val="clear" w:color="auto" w:fill="FFFFFF"/>
            <w:vAlign w:val="center"/>
          </w:tcPr>
          <w:p w14:paraId="679D17B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725" w:type="dxa"/>
            <w:shd w:val="clear" w:color="auto" w:fill="FFFFFF"/>
            <w:vAlign w:val="center"/>
          </w:tcPr>
          <w:p w14:paraId="22B1277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216" w:type="dxa"/>
            <w:shd w:val="clear" w:color="auto" w:fill="FFFFFF"/>
            <w:vAlign w:val="center"/>
          </w:tcPr>
          <w:p w14:paraId="3258EEB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1304" w:type="dxa"/>
            <w:gridSpan w:val="2"/>
            <w:shd w:val="clear" w:color="auto" w:fill="FFFFFF"/>
            <w:vAlign w:val="center"/>
          </w:tcPr>
          <w:p w14:paraId="681C9CC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65" w:type="dxa"/>
            <w:shd w:val="clear" w:color="auto" w:fill="FFFFFF"/>
            <w:vAlign w:val="center"/>
          </w:tcPr>
          <w:p w14:paraId="724F15A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22D1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14:paraId="54CD51CF">
            <w:pPr>
              <w:widowControl/>
              <w:spacing w:line="0" w:lineRule="atLeast"/>
              <w:jc w:val="center"/>
              <w:rPr>
                <w:rFonts w:hint="default" w:ascii="Times New Roman" w:hAnsi="Times New Roman" w:eastAsia="仿宋_GB2312" w:cs="Times New Roman"/>
                <w:color w:val="000000"/>
                <w:kern w:val="0"/>
                <w:sz w:val="18"/>
                <w:szCs w:val="18"/>
              </w:rPr>
            </w:pPr>
          </w:p>
          <w:p w14:paraId="09940F1C">
            <w:pPr>
              <w:widowControl/>
              <w:spacing w:line="0" w:lineRule="atLeast"/>
              <w:jc w:val="center"/>
              <w:rPr>
                <w:rFonts w:hint="default" w:ascii="Times New Roman" w:hAnsi="Times New Roman" w:eastAsia="仿宋_GB2312" w:cs="Times New Roman"/>
                <w:color w:val="000000"/>
                <w:kern w:val="0"/>
                <w:sz w:val="18"/>
                <w:szCs w:val="18"/>
              </w:rPr>
            </w:pPr>
          </w:p>
          <w:p w14:paraId="64DD810A">
            <w:pPr>
              <w:widowControl/>
              <w:spacing w:line="0" w:lineRule="atLeast"/>
              <w:jc w:val="center"/>
              <w:rPr>
                <w:rFonts w:hint="default" w:ascii="Times New Roman" w:hAnsi="Times New Roman" w:eastAsia="仿宋_GB2312" w:cs="Times New Roman"/>
                <w:color w:val="000000"/>
                <w:kern w:val="0"/>
                <w:sz w:val="18"/>
                <w:szCs w:val="18"/>
              </w:rPr>
            </w:pPr>
          </w:p>
          <w:p w14:paraId="5601C1DF">
            <w:pPr>
              <w:widowControl/>
              <w:spacing w:line="0" w:lineRule="atLeast"/>
              <w:jc w:val="center"/>
              <w:rPr>
                <w:rFonts w:hint="default" w:ascii="Times New Roman" w:hAnsi="Times New Roman" w:eastAsia="仿宋_GB2312" w:cs="Times New Roman"/>
                <w:color w:val="000000"/>
                <w:kern w:val="0"/>
                <w:sz w:val="18"/>
                <w:szCs w:val="18"/>
              </w:rPr>
            </w:pPr>
          </w:p>
          <w:p w14:paraId="066C4B05">
            <w:pPr>
              <w:widowControl/>
              <w:spacing w:line="0" w:lineRule="atLeast"/>
              <w:jc w:val="center"/>
              <w:rPr>
                <w:rFonts w:hint="default" w:ascii="Times New Roman" w:hAnsi="Times New Roman" w:eastAsia="仿宋_GB2312" w:cs="Times New Roman"/>
                <w:color w:val="000000"/>
                <w:kern w:val="0"/>
                <w:sz w:val="18"/>
                <w:szCs w:val="18"/>
              </w:rPr>
            </w:pPr>
          </w:p>
          <w:p w14:paraId="4066D6E3">
            <w:pPr>
              <w:widowControl/>
              <w:spacing w:line="0" w:lineRule="atLeast"/>
              <w:jc w:val="center"/>
              <w:rPr>
                <w:rFonts w:hint="default" w:ascii="Times New Roman" w:hAnsi="Times New Roman" w:eastAsia="仿宋_GB2312" w:cs="Times New Roman"/>
                <w:color w:val="000000"/>
                <w:kern w:val="0"/>
                <w:sz w:val="18"/>
                <w:szCs w:val="18"/>
              </w:rPr>
            </w:pPr>
          </w:p>
          <w:p w14:paraId="6573273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000" w:type="dxa"/>
            <w:vMerge w:val="restart"/>
            <w:shd w:val="clear" w:color="auto" w:fill="FFFFFF"/>
            <w:vAlign w:val="center"/>
          </w:tcPr>
          <w:p w14:paraId="753E699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71" w:type="dxa"/>
            <w:shd w:val="clear" w:color="auto" w:fill="FFFFFF"/>
            <w:vAlign w:val="center"/>
          </w:tcPr>
          <w:p w14:paraId="0BFD463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0EAD13C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725" w:type="dxa"/>
            <w:shd w:val="clear" w:color="auto" w:fill="FFFFFF"/>
            <w:vAlign w:val="center"/>
          </w:tcPr>
          <w:p w14:paraId="64CB1883">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216" w:type="dxa"/>
            <w:shd w:val="clear" w:color="auto" w:fill="FFFFFF"/>
            <w:vAlign w:val="center"/>
          </w:tcPr>
          <w:p w14:paraId="6847108B">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1304" w:type="dxa"/>
            <w:gridSpan w:val="2"/>
            <w:shd w:val="clear" w:color="auto" w:fill="FFFFFF"/>
            <w:vAlign w:val="center"/>
          </w:tcPr>
          <w:p w14:paraId="631934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033AC01F">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4AED8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1069308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6C8555AB">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05F1A1B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2DD0EAB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725" w:type="dxa"/>
            <w:shd w:val="clear" w:color="auto" w:fill="FFFFFF"/>
            <w:vAlign w:val="center"/>
          </w:tcPr>
          <w:p w14:paraId="6D3830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216" w:type="dxa"/>
            <w:shd w:val="clear" w:color="auto" w:fill="FFFFFF"/>
            <w:vAlign w:val="center"/>
          </w:tcPr>
          <w:p w14:paraId="550787DE">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1304" w:type="dxa"/>
            <w:gridSpan w:val="2"/>
            <w:shd w:val="clear" w:color="auto" w:fill="FFFFFF"/>
            <w:vAlign w:val="center"/>
          </w:tcPr>
          <w:p w14:paraId="638F93D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auto" w:fill="FFFFFF"/>
            <w:vAlign w:val="center"/>
          </w:tcPr>
          <w:p w14:paraId="1043041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09CA44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14:paraId="07C56CD8">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30E62E3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71" w:type="dxa"/>
            <w:shd w:val="clear" w:color="auto" w:fill="FFFFFF"/>
            <w:vAlign w:val="center"/>
          </w:tcPr>
          <w:p w14:paraId="3C7CBD9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0D38CCD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000000" w:fill="FFFFFF"/>
            <w:vAlign w:val="center"/>
          </w:tcPr>
          <w:p w14:paraId="0F08749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216" w:type="dxa"/>
            <w:shd w:val="clear" w:color="000000" w:fill="FFFFFF"/>
            <w:vAlign w:val="center"/>
          </w:tcPr>
          <w:p w14:paraId="0DA9C65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2752C5F9">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1304" w:type="dxa"/>
            <w:gridSpan w:val="2"/>
            <w:shd w:val="clear" w:color="000000" w:fill="FFFFFF"/>
            <w:vAlign w:val="center"/>
          </w:tcPr>
          <w:p w14:paraId="15F6F88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5078500A">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1AEF68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14:paraId="67579D79">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54745E8D">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8C5983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53ADBC5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725" w:type="dxa"/>
            <w:shd w:val="clear" w:color="000000" w:fill="FFFFFF"/>
            <w:vAlign w:val="center"/>
          </w:tcPr>
          <w:p w14:paraId="66C667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216" w:type="dxa"/>
            <w:shd w:val="clear" w:color="000000" w:fill="FFFFFF"/>
            <w:vAlign w:val="center"/>
          </w:tcPr>
          <w:p w14:paraId="3E130E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1304" w:type="dxa"/>
            <w:gridSpan w:val="2"/>
            <w:shd w:val="clear" w:color="000000" w:fill="FFFFFF"/>
            <w:vAlign w:val="center"/>
          </w:tcPr>
          <w:p w14:paraId="7D1BBE5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65" w:type="dxa"/>
            <w:shd w:val="clear" w:color="000000" w:fill="FFFFFF"/>
            <w:vAlign w:val="center"/>
          </w:tcPr>
          <w:p w14:paraId="71548B5B">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3</w:t>
            </w:r>
          </w:p>
        </w:tc>
      </w:tr>
      <w:tr w14:paraId="472141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14:paraId="53D45D02">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21CF15F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3BF2BC5B">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2CC79D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99BD6F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725" w:type="dxa"/>
            <w:shd w:val="clear" w:color="auto" w:fill="FFFFFF"/>
            <w:vAlign w:val="center"/>
          </w:tcPr>
          <w:p w14:paraId="499392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14:paraId="22F3370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1304" w:type="dxa"/>
            <w:gridSpan w:val="2"/>
            <w:shd w:val="clear" w:color="auto" w:fill="FFFFFF"/>
            <w:vAlign w:val="center"/>
          </w:tcPr>
          <w:p w14:paraId="26FD85B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75C543E5">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639C67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14:paraId="19B7D12E">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378D431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7B27D1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0174F29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725" w:type="dxa"/>
            <w:shd w:val="clear" w:color="auto" w:fill="FFFFFF"/>
            <w:vAlign w:val="center"/>
          </w:tcPr>
          <w:p w14:paraId="12EC7FF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14:paraId="47F8E56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1304" w:type="dxa"/>
            <w:gridSpan w:val="2"/>
            <w:shd w:val="clear" w:color="auto" w:fill="FFFFFF"/>
            <w:vAlign w:val="center"/>
          </w:tcPr>
          <w:p w14:paraId="32754D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60092B4E">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748E1B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14:paraId="48B44E10">
            <w:pPr>
              <w:spacing w:line="0" w:lineRule="atLeast"/>
              <w:jc w:val="center"/>
              <w:rPr>
                <w:rFonts w:hint="default" w:ascii="Times New Roman" w:hAnsi="Times New Roman" w:eastAsia="仿宋_GB2312" w:cs="Times New Roman"/>
                <w:color w:val="000000"/>
                <w:kern w:val="0"/>
                <w:sz w:val="18"/>
                <w:szCs w:val="18"/>
              </w:rPr>
            </w:pPr>
          </w:p>
          <w:p w14:paraId="706505E1">
            <w:pPr>
              <w:spacing w:line="0" w:lineRule="atLeast"/>
              <w:jc w:val="center"/>
              <w:rPr>
                <w:rFonts w:hint="default" w:ascii="Times New Roman" w:hAnsi="Times New Roman" w:eastAsia="仿宋_GB2312" w:cs="Times New Roman"/>
                <w:color w:val="000000"/>
                <w:kern w:val="0"/>
                <w:sz w:val="18"/>
                <w:szCs w:val="18"/>
              </w:rPr>
            </w:pPr>
          </w:p>
          <w:p w14:paraId="7176412B">
            <w:pPr>
              <w:spacing w:line="0" w:lineRule="atLeast"/>
              <w:jc w:val="center"/>
              <w:rPr>
                <w:rFonts w:hint="default" w:ascii="Times New Roman" w:hAnsi="Times New Roman" w:eastAsia="仿宋_GB2312" w:cs="Times New Roman"/>
                <w:color w:val="000000"/>
                <w:kern w:val="0"/>
                <w:sz w:val="18"/>
                <w:szCs w:val="18"/>
              </w:rPr>
            </w:pPr>
          </w:p>
          <w:p w14:paraId="105EAF19">
            <w:pPr>
              <w:spacing w:line="0" w:lineRule="atLeast"/>
              <w:jc w:val="center"/>
              <w:rPr>
                <w:rFonts w:hint="default" w:ascii="Times New Roman" w:hAnsi="Times New Roman" w:eastAsia="仿宋_GB2312" w:cs="Times New Roman"/>
                <w:color w:val="000000"/>
                <w:kern w:val="0"/>
                <w:sz w:val="18"/>
                <w:szCs w:val="18"/>
              </w:rPr>
            </w:pPr>
          </w:p>
          <w:p w14:paraId="075ADE3F">
            <w:pPr>
              <w:spacing w:line="0" w:lineRule="atLeast"/>
              <w:jc w:val="center"/>
              <w:rPr>
                <w:rFonts w:hint="default" w:ascii="Times New Roman" w:hAnsi="Times New Roman" w:eastAsia="仿宋_GB2312" w:cs="Times New Roman"/>
                <w:color w:val="000000"/>
                <w:kern w:val="0"/>
                <w:sz w:val="18"/>
                <w:szCs w:val="18"/>
              </w:rPr>
            </w:pPr>
          </w:p>
          <w:p w14:paraId="0FD80ACA">
            <w:pPr>
              <w:spacing w:line="0" w:lineRule="atLeast"/>
              <w:jc w:val="center"/>
              <w:rPr>
                <w:rFonts w:hint="default" w:ascii="Times New Roman" w:hAnsi="Times New Roman" w:eastAsia="仿宋_GB2312" w:cs="Times New Roman"/>
                <w:color w:val="000000"/>
                <w:kern w:val="0"/>
                <w:sz w:val="18"/>
                <w:szCs w:val="18"/>
              </w:rPr>
            </w:pPr>
          </w:p>
          <w:p w14:paraId="38EABE2F">
            <w:pPr>
              <w:spacing w:line="0" w:lineRule="atLeast"/>
              <w:jc w:val="center"/>
              <w:rPr>
                <w:rFonts w:hint="default" w:ascii="Times New Roman" w:hAnsi="Times New Roman" w:eastAsia="仿宋_GB2312" w:cs="Times New Roman"/>
                <w:color w:val="000000"/>
                <w:kern w:val="0"/>
                <w:sz w:val="18"/>
                <w:szCs w:val="18"/>
              </w:rPr>
            </w:pPr>
          </w:p>
          <w:p w14:paraId="079A32C5">
            <w:pPr>
              <w:spacing w:line="0" w:lineRule="atLeast"/>
              <w:jc w:val="center"/>
              <w:rPr>
                <w:rFonts w:hint="default" w:ascii="Times New Roman" w:hAnsi="Times New Roman" w:eastAsia="仿宋_GB2312" w:cs="Times New Roman"/>
                <w:color w:val="000000"/>
                <w:kern w:val="0"/>
                <w:sz w:val="18"/>
                <w:szCs w:val="18"/>
              </w:rPr>
            </w:pPr>
          </w:p>
          <w:p w14:paraId="5FBEB6C2">
            <w:pPr>
              <w:spacing w:line="0" w:lineRule="atLeast"/>
              <w:jc w:val="center"/>
              <w:rPr>
                <w:rFonts w:hint="default" w:ascii="Times New Roman" w:hAnsi="Times New Roman" w:eastAsia="仿宋_GB2312" w:cs="Times New Roman"/>
                <w:color w:val="000000"/>
                <w:kern w:val="0"/>
                <w:sz w:val="18"/>
                <w:szCs w:val="18"/>
              </w:rPr>
            </w:pPr>
          </w:p>
          <w:p w14:paraId="5EF5F92C">
            <w:pPr>
              <w:spacing w:line="0" w:lineRule="atLeast"/>
              <w:jc w:val="center"/>
              <w:rPr>
                <w:rFonts w:hint="default" w:ascii="Times New Roman" w:hAnsi="Times New Roman" w:eastAsia="仿宋_GB2312" w:cs="Times New Roman"/>
                <w:color w:val="000000"/>
                <w:kern w:val="0"/>
                <w:sz w:val="18"/>
                <w:szCs w:val="18"/>
              </w:rPr>
            </w:pPr>
          </w:p>
          <w:p w14:paraId="01077E32">
            <w:pPr>
              <w:spacing w:line="0" w:lineRule="atLeast"/>
              <w:jc w:val="center"/>
              <w:rPr>
                <w:rFonts w:hint="default" w:ascii="Times New Roman" w:hAnsi="Times New Roman" w:eastAsia="仿宋_GB2312" w:cs="Times New Roman"/>
                <w:color w:val="000000"/>
                <w:kern w:val="0"/>
                <w:sz w:val="18"/>
                <w:szCs w:val="18"/>
              </w:rPr>
            </w:pPr>
          </w:p>
          <w:p w14:paraId="781CCD73">
            <w:pPr>
              <w:spacing w:line="0" w:lineRule="atLeast"/>
              <w:jc w:val="center"/>
              <w:rPr>
                <w:rFonts w:hint="default" w:ascii="Times New Roman" w:hAnsi="Times New Roman" w:eastAsia="仿宋_GB2312" w:cs="Times New Roman"/>
                <w:color w:val="000000"/>
                <w:kern w:val="0"/>
                <w:sz w:val="18"/>
                <w:szCs w:val="18"/>
              </w:rPr>
            </w:pPr>
          </w:p>
          <w:p w14:paraId="5815E3C1">
            <w:pPr>
              <w:spacing w:line="0" w:lineRule="atLeast"/>
              <w:jc w:val="center"/>
              <w:rPr>
                <w:rFonts w:hint="default" w:ascii="Times New Roman" w:hAnsi="Times New Roman" w:eastAsia="仿宋_GB2312" w:cs="Times New Roman"/>
                <w:color w:val="000000"/>
                <w:kern w:val="0"/>
                <w:sz w:val="18"/>
                <w:szCs w:val="18"/>
              </w:rPr>
            </w:pPr>
          </w:p>
          <w:p w14:paraId="23E78828">
            <w:pPr>
              <w:spacing w:line="0" w:lineRule="atLeast"/>
              <w:jc w:val="center"/>
              <w:rPr>
                <w:rFonts w:hint="default" w:ascii="Times New Roman" w:hAnsi="Times New Roman" w:eastAsia="仿宋_GB2312" w:cs="Times New Roman"/>
                <w:color w:val="000000"/>
                <w:kern w:val="0"/>
                <w:sz w:val="18"/>
                <w:szCs w:val="18"/>
              </w:rPr>
            </w:pPr>
          </w:p>
          <w:p w14:paraId="067A905F">
            <w:pPr>
              <w:spacing w:line="0" w:lineRule="atLeast"/>
              <w:jc w:val="center"/>
              <w:rPr>
                <w:rFonts w:hint="default" w:ascii="Times New Roman" w:hAnsi="Times New Roman" w:eastAsia="仿宋_GB2312" w:cs="Times New Roman"/>
                <w:color w:val="000000"/>
                <w:kern w:val="0"/>
                <w:sz w:val="18"/>
                <w:szCs w:val="18"/>
              </w:rPr>
            </w:pPr>
          </w:p>
          <w:p w14:paraId="7ED9338D">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7E6D4E5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00" w:type="dxa"/>
            <w:vMerge w:val="restart"/>
            <w:shd w:val="clear" w:color="auto" w:fill="FFFFFF"/>
            <w:vAlign w:val="center"/>
          </w:tcPr>
          <w:p w14:paraId="4A56037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0B0A833A">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725" w:type="dxa"/>
            <w:shd w:val="clear" w:color="000000" w:fill="FFFFFF"/>
            <w:vAlign w:val="center"/>
          </w:tcPr>
          <w:p w14:paraId="27A17E8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216" w:type="dxa"/>
            <w:shd w:val="clear" w:color="000000" w:fill="FFFFFF"/>
            <w:vAlign w:val="center"/>
          </w:tcPr>
          <w:p w14:paraId="041C196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65D0BF8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6A54C06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1304" w:type="dxa"/>
            <w:gridSpan w:val="2"/>
            <w:shd w:val="clear" w:color="000000" w:fill="FFFFFF"/>
            <w:vAlign w:val="center"/>
          </w:tcPr>
          <w:p w14:paraId="4413D77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2616EA6B">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6C866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14:paraId="17844984">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4F1EBDD9">
            <w:pPr>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34F906E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725" w:type="dxa"/>
            <w:shd w:val="clear" w:color="auto" w:fill="FFFFFF"/>
            <w:vAlign w:val="center"/>
          </w:tcPr>
          <w:p w14:paraId="1AD8F91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216" w:type="dxa"/>
            <w:shd w:val="clear" w:color="auto" w:fill="FFFFFF"/>
            <w:vAlign w:val="center"/>
          </w:tcPr>
          <w:p w14:paraId="7321219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1304" w:type="dxa"/>
            <w:gridSpan w:val="2"/>
            <w:shd w:val="clear" w:color="auto" w:fill="FFFFFF"/>
            <w:vAlign w:val="center"/>
          </w:tcPr>
          <w:p w14:paraId="392E751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auto" w:fill="FFFFFF"/>
            <w:vAlign w:val="center"/>
          </w:tcPr>
          <w:p w14:paraId="16D7E684">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3376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5B4FA092">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A967C5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71" w:type="dxa"/>
            <w:shd w:val="clear" w:color="auto" w:fill="FFFFFF"/>
            <w:vAlign w:val="center"/>
          </w:tcPr>
          <w:p w14:paraId="7A7FCDA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279C4D6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725" w:type="dxa"/>
            <w:shd w:val="clear" w:color="000000" w:fill="FFFFFF"/>
            <w:vAlign w:val="center"/>
          </w:tcPr>
          <w:p w14:paraId="7DD7771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216" w:type="dxa"/>
            <w:shd w:val="clear" w:color="000000" w:fill="FFFFFF"/>
            <w:vAlign w:val="center"/>
          </w:tcPr>
          <w:p w14:paraId="7D20D205">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1304" w:type="dxa"/>
            <w:gridSpan w:val="2"/>
            <w:shd w:val="clear" w:color="000000" w:fill="FFFFFF"/>
            <w:vAlign w:val="center"/>
          </w:tcPr>
          <w:p w14:paraId="10FDC4E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677D51FA">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6970FF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14:paraId="4881B73D">
            <w:pPr>
              <w:spacing w:line="0" w:lineRule="atLeast"/>
              <w:jc w:val="center"/>
              <w:rPr>
                <w:rFonts w:hint="default" w:ascii="Times New Roman" w:hAnsi="Times New Roman" w:eastAsia="仿宋_GB2312" w:cs="Times New Roman"/>
                <w:color w:val="000000"/>
                <w:kern w:val="0"/>
                <w:sz w:val="18"/>
                <w:szCs w:val="18"/>
              </w:rPr>
            </w:pPr>
          </w:p>
        </w:tc>
        <w:tc>
          <w:tcPr>
            <w:tcW w:w="1000" w:type="dxa"/>
            <w:vMerge w:val="restart"/>
            <w:shd w:val="clear" w:color="auto" w:fill="FFFFFF"/>
            <w:vAlign w:val="center"/>
          </w:tcPr>
          <w:p w14:paraId="79A8646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76662A8F">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71" w:type="dxa"/>
            <w:shd w:val="clear" w:color="auto" w:fill="FFFFFF"/>
            <w:vAlign w:val="center"/>
          </w:tcPr>
          <w:p w14:paraId="010E467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5BE3552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725" w:type="dxa"/>
            <w:shd w:val="clear" w:color="000000" w:fill="FFFFFF"/>
            <w:vAlign w:val="center"/>
          </w:tcPr>
          <w:p w14:paraId="44FB87C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216" w:type="dxa"/>
            <w:shd w:val="clear" w:color="000000" w:fill="FFFFFF"/>
            <w:vAlign w:val="center"/>
          </w:tcPr>
          <w:p w14:paraId="1BC98B2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1304" w:type="dxa"/>
            <w:gridSpan w:val="2"/>
            <w:shd w:val="clear" w:color="000000" w:fill="FFFFFF"/>
            <w:vAlign w:val="center"/>
          </w:tcPr>
          <w:p w14:paraId="68EA43D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50417C58">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520D47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14:paraId="5EEE5176">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1A00C333">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1157DB3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411A571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725" w:type="dxa"/>
            <w:shd w:val="clear" w:color="000000" w:fill="FFFFFF"/>
            <w:vAlign w:val="center"/>
          </w:tcPr>
          <w:p w14:paraId="03B00B4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216" w:type="dxa"/>
            <w:shd w:val="clear" w:color="000000" w:fill="FFFFFF"/>
            <w:vAlign w:val="center"/>
          </w:tcPr>
          <w:p w14:paraId="2CEC6D0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1304" w:type="dxa"/>
            <w:gridSpan w:val="2"/>
            <w:shd w:val="clear" w:color="000000" w:fill="FFFFFF"/>
            <w:vAlign w:val="center"/>
          </w:tcPr>
          <w:p w14:paraId="13DBD04C">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65" w:type="dxa"/>
            <w:shd w:val="clear" w:color="000000" w:fill="FFFFFF"/>
            <w:vAlign w:val="center"/>
          </w:tcPr>
          <w:p w14:paraId="3FA75E33">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ascii="Times New Roman" w:hAnsi="Times New Roman" w:eastAsia="仿宋_GB2312" w:cs="Times New Roman"/>
                <w:b/>
                <w:bCs/>
                <w:color w:val="000000"/>
                <w:kern w:val="0"/>
                <w:sz w:val="18"/>
                <w:szCs w:val="18"/>
                <w:lang w:val="en-US" w:eastAsia="zh-CN"/>
              </w:rPr>
              <w:t>4</w:t>
            </w:r>
          </w:p>
        </w:tc>
      </w:tr>
      <w:tr w14:paraId="67CCF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14:paraId="6FCB34A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000" w:type="dxa"/>
            <w:shd w:val="clear" w:color="auto" w:fill="FFFFFF"/>
            <w:vAlign w:val="center"/>
          </w:tcPr>
          <w:p w14:paraId="634F595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71" w:type="dxa"/>
            <w:shd w:val="clear" w:color="auto" w:fill="FFFFFF"/>
            <w:vAlign w:val="center"/>
          </w:tcPr>
          <w:p w14:paraId="156E3F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725" w:type="dxa"/>
            <w:shd w:val="clear" w:color="000000" w:fill="FFFFFF"/>
            <w:vAlign w:val="center"/>
          </w:tcPr>
          <w:p w14:paraId="3565AAA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216" w:type="dxa"/>
            <w:shd w:val="clear" w:color="000000" w:fill="FFFFFF"/>
            <w:vAlign w:val="center"/>
          </w:tcPr>
          <w:p w14:paraId="40C2753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1304" w:type="dxa"/>
            <w:gridSpan w:val="2"/>
            <w:shd w:val="clear" w:color="000000" w:fill="FFFFFF"/>
            <w:vAlign w:val="center"/>
          </w:tcPr>
          <w:p w14:paraId="6630A5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532F9598">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10</w:t>
            </w:r>
          </w:p>
        </w:tc>
      </w:tr>
      <w:tr w14:paraId="64B684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14:paraId="59CA1773">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6E2E6D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71" w:type="dxa"/>
            <w:shd w:val="clear" w:color="auto" w:fill="FFFFFF"/>
            <w:vAlign w:val="center"/>
          </w:tcPr>
          <w:p w14:paraId="61160EDF">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725" w:type="dxa"/>
            <w:shd w:val="clear" w:color="000000" w:fill="FFFFFF"/>
            <w:vAlign w:val="center"/>
          </w:tcPr>
          <w:p w14:paraId="3559D66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216" w:type="dxa"/>
            <w:shd w:val="clear" w:color="000000" w:fill="FFFFFF"/>
            <w:vAlign w:val="center"/>
          </w:tcPr>
          <w:p w14:paraId="2FF0A61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1A451AF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14:paraId="68FD63C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35F05BFF">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1863B7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14:paraId="4544E969">
            <w:pPr>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293B3128">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71" w:type="dxa"/>
            <w:shd w:val="clear" w:color="auto" w:fill="FFFFFF"/>
            <w:vAlign w:val="center"/>
          </w:tcPr>
          <w:p w14:paraId="2D1116B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725" w:type="dxa"/>
            <w:shd w:val="clear" w:color="000000" w:fill="FFFFFF"/>
            <w:vAlign w:val="center"/>
          </w:tcPr>
          <w:p w14:paraId="460F618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216" w:type="dxa"/>
            <w:shd w:val="clear" w:color="000000" w:fill="FFFFFF"/>
            <w:vAlign w:val="center"/>
          </w:tcPr>
          <w:p w14:paraId="73E6EB3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1304" w:type="dxa"/>
            <w:gridSpan w:val="2"/>
            <w:shd w:val="clear" w:color="000000" w:fill="FFFFFF"/>
            <w:vAlign w:val="center"/>
          </w:tcPr>
          <w:p w14:paraId="6DD836A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683731AE">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5BAD5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14:paraId="20FC74D5">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shd w:val="clear" w:color="auto" w:fill="FFFFFF"/>
            <w:vAlign w:val="center"/>
          </w:tcPr>
          <w:p w14:paraId="7BED61D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71" w:type="dxa"/>
            <w:shd w:val="clear" w:color="auto" w:fill="FFFFFF"/>
            <w:vAlign w:val="center"/>
          </w:tcPr>
          <w:p w14:paraId="2C9DB2B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725" w:type="dxa"/>
            <w:shd w:val="clear" w:color="000000" w:fill="FFFFFF"/>
            <w:vAlign w:val="center"/>
          </w:tcPr>
          <w:p w14:paraId="667EC5C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216" w:type="dxa"/>
            <w:shd w:val="clear" w:color="000000" w:fill="FFFFFF"/>
            <w:vAlign w:val="center"/>
          </w:tcPr>
          <w:p w14:paraId="4E6F127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1304" w:type="dxa"/>
            <w:gridSpan w:val="2"/>
            <w:shd w:val="clear" w:color="000000" w:fill="FFFFFF"/>
            <w:vAlign w:val="center"/>
          </w:tcPr>
          <w:p w14:paraId="42E233F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F0854CA">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ascii="Times New Roman" w:hAnsi="Times New Roman" w:eastAsia="仿宋_GB2312" w:cs="Times New Roman"/>
                <w:b/>
                <w:bCs/>
                <w:color w:val="000000"/>
                <w:kern w:val="0"/>
                <w:sz w:val="18"/>
                <w:szCs w:val="18"/>
                <w:lang w:val="en-US" w:eastAsia="zh-CN"/>
              </w:rPr>
              <w:t>10</w:t>
            </w:r>
          </w:p>
        </w:tc>
      </w:tr>
      <w:tr w14:paraId="083BB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14:paraId="73D1263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000" w:type="dxa"/>
            <w:vMerge w:val="restart"/>
            <w:shd w:val="clear" w:color="auto" w:fill="FFFFFF"/>
            <w:vAlign w:val="center"/>
          </w:tcPr>
          <w:p w14:paraId="18FB8E4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71" w:type="dxa"/>
            <w:shd w:val="clear" w:color="auto" w:fill="FFFFFF"/>
            <w:vAlign w:val="center"/>
          </w:tcPr>
          <w:p w14:paraId="4B346C2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725" w:type="dxa"/>
            <w:shd w:val="clear" w:color="auto" w:fill="FFFFFF"/>
            <w:vAlign w:val="center"/>
          </w:tcPr>
          <w:p w14:paraId="324A794C">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216" w:type="dxa"/>
            <w:shd w:val="clear" w:color="auto" w:fill="FFFFFF"/>
            <w:vAlign w:val="center"/>
          </w:tcPr>
          <w:p w14:paraId="3AF7483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1304" w:type="dxa"/>
            <w:gridSpan w:val="2"/>
            <w:shd w:val="clear" w:color="auto" w:fill="FFFFFF"/>
            <w:vAlign w:val="center"/>
          </w:tcPr>
          <w:p w14:paraId="23288F1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auto" w:fill="FFFFFF"/>
            <w:vAlign w:val="center"/>
          </w:tcPr>
          <w:p w14:paraId="60E6B437">
            <w:pPr>
              <w:widowControl/>
              <w:spacing w:line="0" w:lineRule="atLeast"/>
              <w:jc w:val="center"/>
              <w:rPr>
                <w:rFonts w:hint="default" w:ascii="Times New Roman" w:hAnsi="Times New Roman" w:eastAsia="仿宋_GB2312" w:cs="Times New Roman"/>
                <w:color w:val="000000"/>
                <w:kern w:val="0"/>
                <w:sz w:val="18"/>
                <w:szCs w:val="18"/>
                <w:lang w:val="en-US" w:eastAsia="zh-CN"/>
              </w:rPr>
            </w:pPr>
            <w:r>
              <w:rPr>
                <w:rFonts w:hint="eastAsia" w:ascii="Times New Roman" w:hAnsi="Times New Roman" w:eastAsia="仿宋_GB2312" w:cs="Times New Roman"/>
                <w:color w:val="000000"/>
                <w:kern w:val="0"/>
                <w:sz w:val="18"/>
                <w:szCs w:val="18"/>
                <w:lang w:val="en-US" w:eastAsia="zh-CN"/>
              </w:rPr>
              <w:t>10</w:t>
            </w:r>
          </w:p>
        </w:tc>
      </w:tr>
      <w:tr w14:paraId="3C81B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14:paraId="04F8F3BF">
            <w:pPr>
              <w:widowControl/>
              <w:spacing w:line="0" w:lineRule="atLeast"/>
              <w:jc w:val="center"/>
              <w:rPr>
                <w:rFonts w:hint="default" w:ascii="Times New Roman" w:hAnsi="Times New Roman" w:eastAsia="仿宋_GB2312" w:cs="Times New Roman"/>
                <w:color w:val="000000"/>
                <w:kern w:val="0"/>
                <w:sz w:val="18"/>
                <w:szCs w:val="18"/>
              </w:rPr>
            </w:pPr>
          </w:p>
        </w:tc>
        <w:tc>
          <w:tcPr>
            <w:tcW w:w="1000" w:type="dxa"/>
            <w:vMerge w:val="continue"/>
            <w:shd w:val="clear" w:color="auto" w:fill="FFFFFF"/>
            <w:vAlign w:val="center"/>
          </w:tcPr>
          <w:p w14:paraId="7243AF26">
            <w:pPr>
              <w:widowControl/>
              <w:spacing w:line="0" w:lineRule="atLeast"/>
              <w:jc w:val="center"/>
              <w:rPr>
                <w:rFonts w:hint="default" w:ascii="Times New Roman" w:hAnsi="Times New Roman" w:eastAsia="仿宋_GB2312" w:cs="Times New Roman"/>
                <w:color w:val="000000"/>
                <w:kern w:val="0"/>
                <w:sz w:val="18"/>
                <w:szCs w:val="18"/>
              </w:rPr>
            </w:pPr>
          </w:p>
        </w:tc>
        <w:tc>
          <w:tcPr>
            <w:tcW w:w="1071" w:type="dxa"/>
            <w:shd w:val="clear" w:color="auto" w:fill="FFFFFF"/>
            <w:vAlign w:val="center"/>
          </w:tcPr>
          <w:p w14:paraId="535F76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725" w:type="dxa"/>
            <w:shd w:val="clear" w:color="000000" w:fill="FFFFFF"/>
            <w:vAlign w:val="center"/>
          </w:tcPr>
          <w:p w14:paraId="19F55F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216" w:type="dxa"/>
            <w:shd w:val="clear" w:color="000000" w:fill="FFFFFF"/>
            <w:vAlign w:val="center"/>
          </w:tcPr>
          <w:p w14:paraId="582FC8A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1304" w:type="dxa"/>
            <w:gridSpan w:val="2"/>
            <w:shd w:val="clear" w:color="000000" w:fill="FFFFFF"/>
            <w:vAlign w:val="center"/>
          </w:tcPr>
          <w:p w14:paraId="2A01310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65" w:type="dxa"/>
            <w:shd w:val="clear" w:color="000000" w:fill="FFFFFF"/>
            <w:vAlign w:val="center"/>
          </w:tcPr>
          <w:p w14:paraId="14CD52F9">
            <w:pPr>
              <w:widowControl/>
              <w:spacing w:line="0" w:lineRule="atLeast"/>
              <w:jc w:val="center"/>
              <w:rPr>
                <w:rFonts w:hint="default" w:ascii="Times New Roman" w:hAnsi="Times New Roman" w:eastAsia="仿宋_GB2312" w:cs="Times New Roman"/>
                <w:color w:val="000000"/>
                <w:kern w:val="0"/>
                <w:sz w:val="18"/>
                <w:szCs w:val="18"/>
                <w:lang w:val="en-US" w:eastAsia="zh-CN"/>
              </w:rPr>
            </w:pPr>
            <w:r>
              <w:rPr>
                <w:rFonts w:hint="eastAsia" w:ascii="Times New Roman" w:hAnsi="Times New Roman" w:eastAsia="仿宋_GB2312" w:cs="Times New Roman"/>
                <w:color w:val="000000"/>
                <w:kern w:val="0"/>
                <w:sz w:val="18"/>
                <w:szCs w:val="18"/>
                <w:lang w:val="en-US" w:eastAsia="zh-CN"/>
              </w:rPr>
              <w:t>10</w:t>
            </w:r>
          </w:p>
        </w:tc>
      </w:tr>
      <w:tr w14:paraId="40677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14:paraId="002D0255">
            <w:pPr>
              <w:widowControl/>
              <w:spacing w:line="0" w:lineRule="atLeast"/>
              <w:jc w:val="center"/>
              <w:rPr>
                <w:rFonts w:hint="eastAsia"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合计</w:t>
            </w:r>
          </w:p>
        </w:tc>
        <w:tc>
          <w:tcPr>
            <w:tcW w:w="1299" w:type="dxa"/>
            <w:shd w:val="clear" w:color="000000" w:fill="FFFFFF"/>
            <w:vAlign w:val="center"/>
          </w:tcPr>
          <w:p w14:paraId="75F0222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fldChar w:fldCharType="begin"/>
            </w:r>
            <w:r>
              <w:rPr>
                <w:rFonts w:hint="default" w:ascii="Times New Roman" w:hAnsi="Times New Roman" w:eastAsia="仿宋_GB2312" w:cs="Times New Roman"/>
                <w:b/>
                <w:bCs/>
                <w:color w:val="000000"/>
                <w:kern w:val="0"/>
                <w:sz w:val="18"/>
                <w:szCs w:val="18"/>
              </w:rPr>
              <w:instrText xml:space="preserve"> = sum(F2:F18) \* MERGEFORMAT </w:instrText>
            </w:r>
            <w:r>
              <w:rPr>
                <w:rFonts w:hint="default" w:ascii="Times New Roman" w:hAnsi="Times New Roman" w:eastAsia="仿宋_GB2312" w:cs="Times New Roman"/>
                <w:b/>
                <w:bCs/>
                <w:color w:val="000000"/>
                <w:kern w:val="0"/>
                <w:sz w:val="18"/>
                <w:szCs w:val="18"/>
              </w:rPr>
              <w:fldChar w:fldCharType="separate"/>
            </w:r>
            <w:r>
              <w:rPr>
                <w:rFonts w:hint="default" w:ascii="Times New Roman" w:hAnsi="Times New Roman" w:eastAsia="仿宋_GB2312" w:cs="Times New Roman"/>
                <w:b/>
                <w:bCs/>
                <w:color w:val="000000"/>
                <w:kern w:val="0"/>
                <w:sz w:val="18"/>
                <w:szCs w:val="18"/>
              </w:rPr>
              <w:t>100</w:t>
            </w:r>
            <w:r>
              <w:rPr>
                <w:rFonts w:hint="default" w:ascii="Times New Roman" w:hAnsi="Times New Roman" w:eastAsia="仿宋_GB2312" w:cs="Times New Roman"/>
                <w:b/>
                <w:bCs/>
                <w:color w:val="000000"/>
                <w:kern w:val="0"/>
                <w:sz w:val="18"/>
                <w:szCs w:val="18"/>
              </w:rPr>
              <w:fldChar w:fldCharType="end"/>
            </w:r>
          </w:p>
        </w:tc>
        <w:tc>
          <w:tcPr>
            <w:tcW w:w="1365" w:type="dxa"/>
            <w:shd w:val="clear" w:color="000000" w:fill="FFFFFF"/>
            <w:vAlign w:val="center"/>
          </w:tcPr>
          <w:p w14:paraId="1F4CC2C1">
            <w:pPr>
              <w:widowControl/>
              <w:spacing w:line="0" w:lineRule="atLeast"/>
              <w:jc w:val="center"/>
              <w:rPr>
                <w:rFonts w:hint="default" w:ascii="Times New Roman" w:hAnsi="Times New Roman" w:eastAsia="仿宋_GB2312" w:cs="Times New Roman"/>
                <w:color w:val="000000"/>
                <w:kern w:val="0"/>
                <w:sz w:val="18"/>
                <w:szCs w:val="18"/>
                <w:lang w:val="en-US" w:eastAsia="zh-CN"/>
              </w:rPr>
            </w:pPr>
            <w:r>
              <w:rPr>
                <w:rFonts w:hint="eastAsia" w:ascii="Times New Roman" w:hAnsi="Times New Roman" w:eastAsia="仿宋_GB2312" w:cs="Times New Roman"/>
                <w:color w:val="000000"/>
                <w:kern w:val="0"/>
                <w:sz w:val="18"/>
                <w:szCs w:val="18"/>
                <w:lang w:val="en-US" w:eastAsia="zh-CN"/>
              </w:rPr>
              <w:t>100</w:t>
            </w:r>
          </w:p>
        </w:tc>
      </w:tr>
    </w:tbl>
    <w:p w14:paraId="7D7562A6">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97"/>
        <w:gridCol w:w="997"/>
        <w:gridCol w:w="1015"/>
        <w:gridCol w:w="1357"/>
        <w:gridCol w:w="1338"/>
        <w:gridCol w:w="721"/>
        <w:gridCol w:w="1411"/>
        <w:gridCol w:w="1268"/>
        <w:gridCol w:w="783"/>
        <w:gridCol w:w="726"/>
        <w:gridCol w:w="803"/>
        <w:gridCol w:w="612"/>
        <w:gridCol w:w="662"/>
        <w:gridCol w:w="1035"/>
      </w:tblGrid>
      <w:tr w14:paraId="32703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13725" w:type="dxa"/>
            <w:gridSpan w:val="14"/>
            <w:tcBorders>
              <w:top w:val="nil"/>
              <w:left w:val="nil"/>
              <w:bottom w:val="nil"/>
              <w:right w:val="nil"/>
            </w:tcBorders>
            <w:shd w:val="clear" w:color="auto" w:fill="auto"/>
            <w:vAlign w:val="center"/>
          </w:tcPr>
          <w:p w14:paraId="3DFC9655">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14:paraId="0DF20E43">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14:paraId="744DCBA8">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69036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3725" w:type="dxa"/>
            <w:gridSpan w:val="14"/>
            <w:tcBorders>
              <w:top w:val="nil"/>
              <w:left w:val="nil"/>
              <w:bottom w:val="nil"/>
              <w:right w:val="nil"/>
            </w:tcBorders>
            <w:shd w:val="clear" w:color="auto" w:fill="auto"/>
            <w:vAlign w:val="center"/>
          </w:tcPr>
          <w:p w14:paraId="7BF28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(2024年度)</w:t>
            </w:r>
          </w:p>
        </w:tc>
      </w:tr>
      <w:tr w14:paraId="51E9F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59CD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4D303E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昌州财建【2023】146号2024年中央财政外经贸发展专项资金</w:t>
            </w:r>
          </w:p>
        </w:tc>
      </w:tr>
      <w:tr w14:paraId="5579B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F45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E5FCA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奇台县商务和工业信息化局</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6357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B8E4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奇台县商务和工业信息化局</w:t>
            </w:r>
          </w:p>
        </w:tc>
      </w:tr>
      <w:tr w14:paraId="33AA3C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055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A675D">
            <w:pPr>
              <w:jc w:val="center"/>
              <w:rPr>
                <w:rFonts w:hint="eastAsia" w:ascii="宋体" w:hAnsi="宋体" w:eastAsia="宋体" w:cs="宋体"/>
                <w:i w:val="0"/>
                <w:iCs w:val="0"/>
                <w:color w:val="000000"/>
                <w:sz w:val="20"/>
                <w:szCs w:val="20"/>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F0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5D11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CCD6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47C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A08F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4242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r>
      <w:tr w14:paraId="238A2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C7E4E">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0A4F7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12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0B87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F50F7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C2EE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2AFF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02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10.00分</w:t>
            </w:r>
          </w:p>
        </w:tc>
      </w:tr>
      <w:tr w14:paraId="3989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875883">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CBC6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D27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466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5DF3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3A1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BC4E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C8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74F61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266B5B">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703F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上年结转资金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E1AB">
            <w:pPr>
              <w:jc w:val="center"/>
              <w:rPr>
                <w:rFonts w:hint="eastAsia" w:ascii="宋体" w:hAnsi="宋体" w:eastAsia="宋体" w:cs="宋体"/>
                <w:i w:val="0"/>
                <w:iCs w:val="0"/>
                <w:color w:val="000000"/>
                <w:sz w:val="20"/>
                <w:szCs w:val="20"/>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99D984">
            <w:pPr>
              <w:jc w:val="center"/>
              <w:rPr>
                <w:rFonts w:hint="eastAsia" w:ascii="宋体" w:hAnsi="宋体" w:eastAsia="宋体" w:cs="宋体"/>
                <w:i w:val="0"/>
                <w:iCs w:val="0"/>
                <w:color w:val="000000"/>
                <w:sz w:val="20"/>
                <w:szCs w:val="20"/>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4863B3">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AD274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DC0D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B5C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4C46D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C08735">
            <w:pPr>
              <w:jc w:val="center"/>
              <w:rPr>
                <w:rFonts w:hint="eastAsia" w:ascii="宋体" w:hAnsi="宋体" w:eastAsia="宋体" w:cs="宋体"/>
                <w:i w:val="0"/>
                <w:iCs w:val="0"/>
                <w:color w:val="000000"/>
                <w:sz w:val="20"/>
                <w:szCs w:val="20"/>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1D99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4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0AA4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FC5668">
            <w:pPr>
              <w:jc w:val="center"/>
              <w:rPr>
                <w:rFonts w:hint="eastAsia" w:ascii="宋体" w:hAnsi="宋体" w:eastAsia="宋体" w:cs="宋体"/>
                <w:i w:val="0"/>
                <w:iCs w:val="0"/>
                <w:color w:val="000000"/>
                <w:sz w:val="20"/>
                <w:szCs w:val="20"/>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F48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9424E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202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w:t>
            </w:r>
          </w:p>
        </w:tc>
      </w:tr>
      <w:tr w14:paraId="0EB5A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06C3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CB2C1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E5923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实际完成情况</w:t>
            </w:r>
          </w:p>
        </w:tc>
      </w:tr>
      <w:tr w14:paraId="3F96D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8809A">
            <w:pPr>
              <w:jc w:val="center"/>
              <w:rPr>
                <w:rFonts w:hint="eastAsia" w:ascii="宋体" w:hAnsi="宋体" w:eastAsia="宋体" w:cs="宋体"/>
                <w:i w:val="0"/>
                <w:iCs w:val="0"/>
                <w:color w:val="000000"/>
                <w:sz w:val="20"/>
                <w:szCs w:val="20"/>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14:paraId="146830EC">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过昌吉州财政局下发《关于提前下达2024年中央财政外经贸发展专项资金预算的通知》（昌州财建【2023】146号）文件，做好奇台县蓝山屯河、九安汽车城、中蒙能源、骏嘉腾飞外贸企业项目推荐工作，积极动员企业申报项目，项目资金主要用于降低企业开拓外贸市场成本压力，调动企业扩大进出口业务积极性，提升企业贸易竞争力，助力企业开拓市场，帮助企业积极应对因国外不公平贸易政策对待所造成的不利影响，提</w:t>
            </w:r>
            <w:r>
              <w:rPr>
                <w:rFonts w:hint="eastAsia"/>
                <w:lang w:val="en-US" w:eastAsia="zh-CN"/>
              </w:rPr>
              <w:t>高</w:t>
            </w:r>
            <w:r>
              <w:rPr>
                <w:rFonts w:hint="eastAsia" w:ascii="宋体" w:hAnsi="宋体" w:eastAsia="宋体" w:cs="宋体"/>
                <w:i w:val="0"/>
                <w:iCs w:val="0"/>
                <w:color w:val="000000"/>
                <w:kern w:val="0"/>
                <w:sz w:val="20"/>
                <w:szCs w:val="20"/>
                <w:u w:val="none"/>
                <w:lang w:val="en-US" w:eastAsia="zh-CN" w:bidi="ar"/>
              </w:rPr>
              <w:t>国际市场竞争力，促进和扩大进出口，达到支持我县外贸企业持续稳定健康发展的效果。</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14:paraId="14D28D60">
            <w:pPr>
              <w:keepNext w:val="0"/>
              <w:keepLines w:val="0"/>
              <w:widowControl/>
              <w:suppressLineNumbers w:val="0"/>
              <w:jc w:val="left"/>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截至2024年12月31日，该项目实际完成发放补助资金682万元。通过该项目的实施，提升了企业的国际市场竞争力，促进和扩大进出口，达到支持我县外贸企业持续稳定健康发展的效果。</w:t>
            </w:r>
          </w:p>
        </w:tc>
      </w:tr>
      <w:tr w14:paraId="1C378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CF9664">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A1F7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B7D5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0F55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6B97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A037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300A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C07B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D297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偏差原因分析及改进措施</w:t>
            </w:r>
          </w:p>
        </w:tc>
      </w:tr>
      <w:tr w14:paraId="4EFDD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50D6">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A290B">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A08FD4">
            <w:pPr>
              <w:jc w:val="center"/>
              <w:rPr>
                <w:rFonts w:hint="eastAsia" w:ascii="宋体" w:hAnsi="宋体" w:eastAsia="宋体" w:cs="宋体"/>
                <w:i w:val="0"/>
                <w:iCs w:val="0"/>
                <w:color w:val="000000"/>
                <w:sz w:val="20"/>
                <w:szCs w:val="20"/>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FEC1B">
            <w:pPr>
              <w:jc w:val="center"/>
              <w:rPr>
                <w:rFonts w:hint="eastAsia" w:ascii="宋体" w:hAnsi="宋体" w:eastAsia="宋体" w:cs="宋体"/>
                <w:i w:val="0"/>
                <w:iCs w:val="0"/>
                <w:color w:val="000000"/>
                <w:sz w:val="20"/>
                <w:szCs w:val="20"/>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5A2DB">
            <w:pPr>
              <w:jc w:val="center"/>
              <w:rPr>
                <w:rFonts w:hint="eastAsia" w:ascii="宋体" w:hAnsi="宋体" w:eastAsia="宋体" w:cs="宋体"/>
                <w:i w:val="0"/>
                <w:iCs w:val="0"/>
                <w:color w:val="000000"/>
                <w:sz w:val="20"/>
                <w:szCs w:val="20"/>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CF5B18">
            <w:pPr>
              <w:jc w:val="center"/>
              <w:rPr>
                <w:rFonts w:hint="eastAsia" w:ascii="宋体" w:hAnsi="宋体" w:eastAsia="宋体" w:cs="宋体"/>
                <w:i w:val="0"/>
                <w:iCs w:val="0"/>
                <w:color w:val="000000"/>
                <w:sz w:val="20"/>
                <w:szCs w:val="20"/>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708845">
            <w:pPr>
              <w:jc w:val="center"/>
              <w:rPr>
                <w:rFonts w:hint="eastAsia" w:ascii="宋体" w:hAnsi="宋体" w:eastAsia="宋体" w:cs="宋体"/>
                <w:i w:val="0"/>
                <w:iCs w:val="0"/>
                <w:color w:val="000000"/>
                <w:sz w:val="20"/>
                <w:szCs w:val="20"/>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5CD35">
            <w:pPr>
              <w:jc w:val="center"/>
              <w:rPr>
                <w:rFonts w:hint="eastAsia" w:ascii="宋体" w:hAnsi="宋体" w:eastAsia="宋体" w:cs="宋体"/>
                <w:i w:val="0"/>
                <w:iCs w:val="0"/>
                <w:color w:val="000000"/>
                <w:sz w:val="20"/>
                <w:szCs w:val="20"/>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017F8">
            <w:pPr>
              <w:jc w:val="center"/>
              <w:rPr>
                <w:rFonts w:hint="eastAsia" w:ascii="宋体" w:hAnsi="宋体" w:eastAsia="宋体" w:cs="宋体"/>
                <w:i w:val="0"/>
                <w:iCs w:val="0"/>
                <w:color w:val="000000"/>
                <w:sz w:val="20"/>
                <w:szCs w:val="20"/>
                <w:u w:val="none"/>
              </w:rPr>
            </w:pPr>
          </w:p>
        </w:tc>
      </w:tr>
      <w:tr w14:paraId="374F8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8D23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B2C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4C5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EF4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支持重点外向型企业数量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F00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&gt;=2家</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9E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=2家</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D94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98F6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9FF083">
            <w:pPr>
              <w:jc w:val="center"/>
              <w:rPr>
                <w:rFonts w:hint="eastAsia" w:ascii="宋体" w:hAnsi="宋体" w:eastAsia="宋体" w:cs="宋体"/>
                <w:i w:val="0"/>
                <w:iCs w:val="0"/>
                <w:color w:val="000000"/>
                <w:sz w:val="20"/>
                <w:szCs w:val="20"/>
                <w:u w:val="none"/>
              </w:rPr>
            </w:pPr>
          </w:p>
        </w:tc>
      </w:tr>
      <w:tr w14:paraId="01646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126DA9">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DC54D">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27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质量指标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CA9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资金发放准确率（%）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61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EC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8BA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E0D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A8C325">
            <w:pPr>
              <w:jc w:val="center"/>
              <w:rPr>
                <w:rFonts w:hint="eastAsia" w:ascii="宋体" w:hAnsi="宋体" w:eastAsia="宋体" w:cs="宋体"/>
                <w:i w:val="0"/>
                <w:iCs w:val="0"/>
                <w:color w:val="000000"/>
                <w:sz w:val="20"/>
                <w:szCs w:val="20"/>
                <w:u w:val="none"/>
              </w:rPr>
            </w:pPr>
          </w:p>
        </w:tc>
      </w:tr>
      <w:tr w14:paraId="302BE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865CC4">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61CDB5">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04E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时效指标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DA8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资金拨付及时性</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8F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1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4F25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D38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BA207B">
            <w:pPr>
              <w:jc w:val="center"/>
              <w:rPr>
                <w:rFonts w:hint="eastAsia" w:ascii="宋体" w:hAnsi="宋体" w:eastAsia="宋体" w:cs="宋体"/>
                <w:i w:val="0"/>
                <w:iCs w:val="0"/>
                <w:color w:val="000000"/>
                <w:sz w:val="20"/>
                <w:szCs w:val="20"/>
                <w:u w:val="none"/>
              </w:rPr>
            </w:pPr>
          </w:p>
        </w:tc>
      </w:tr>
      <w:tr w14:paraId="3812A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0CA0B5">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DC9F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B88F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CD8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FC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78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539B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D238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19F170">
            <w:pPr>
              <w:jc w:val="center"/>
              <w:rPr>
                <w:rFonts w:hint="eastAsia" w:ascii="宋体" w:hAnsi="宋体" w:eastAsia="宋体" w:cs="宋体"/>
                <w:i w:val="0"/>
                <w:iCs w:val="0"/>
                <w:color w:val="000000"/>
                <w:sz w:val="20"/>
                <w:szCs w:val="20"/>
                <w:u w:val="none"/>
              </w:rPr>
            </w:pPr>
          </w:p>
        </w:tc>
      </w:tr>
      <w:tr w14:paraId="29A67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058BC">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F12109">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06F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421A8">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98D0">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9A85C">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DAF0D2">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39EB2C">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7A356C">
            <w:pPr>
              <w:jc w:val="center"/>
              <w:rPr>
                <w:rFonts w:hint="eastAsia" w:ascii="宋体" w:hAnsi="宋体" w:eastAsia="宋体" w:cs="宋体"/>
                <w:i w:val="0"/>
                <w:iCs w:val="0"/>
                <w:color w:val="000000"/>
                <w:sz w:val="20"/>
                <w:szCs w:val="20"/>
                <w:u w:val="none"/>
              </w:rPr>
            </w:pPr>
          </w:p>
        </w:tc>
      </w:tr>
      <w:tr w14:paraId="2E34C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3FBD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3A67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CB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生态环境成本指标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49E7F">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FCF0B">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521E">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E4F271">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A6EF43">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51CEEE">
            <w:pPr>
              <w:jc w:val="center"/>
              <w:rPr>
                <w:rFonts w:hint="eastAsia" w:ascii="宋体" w:hAnsi="宋体" w:eastAsia="宋体" w:cs="宋体"/>
                <w:i w:val="0"/>
                <w:iCs w:val="0"/>
                <w:color w:val="000000"/>
                <w:sz w:val="20"/>
                <w:szCs w:val="20"/>
                <w:u w:val="none"/>
              </w:rPr>
            </w:pPr>
          </w:p>
        </w:tc>
      </w:tr>
      <w:tr w14:paraId="34E0F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BAEE3">
            <w:pPr>
              <w:jc w:val="center"/>
              <w:rPr>
                <w:rFonts w:hint="eastAsia" w:ascii="宋体" w:hAnsi="宋体" w:eastAsia="宋体" w:cs="宋体"/>
                <w:i w:val="0"/>
                <w:iCs w:val="0"/>
                <w:color w:val="000000"/>
                <w:sz w:val="20"/>
                <w:szCs w:val="20"/>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BB20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30E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经济效益指标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762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获得支持的外向型企业进出口增长率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283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D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67C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754D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862545">
            <w:pPr>
              <w:jc w:val="center"/>
              <w:rPr>
                <w:rFonts w:hint="eastAsia" w:ascii="宋体" w:hAnsi="宋体" w:eastAsia="宋体" w:cs="宋体"/>
                <w:i w:val="0"/>
                <w:iCs w:val="0"/>
                <w:color w:val="000000"/>
                <w:sz w:val="20"/>
                <w:szCs w:val="20"/>
                <w:u w:val="none"/>
              </w:rPr>
            </w:pPr>
          </w:p>
        </w:tc>
      </w:tr>
      <w:tr w14:paraId="11836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63C78">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56BF8">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00B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A1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提升企业贸易竞争力家数</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3541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&gt;=2家</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C9549">
            <w:pPr>
              <w:jc w:val="center"/>
              <w:rPr>
                <w:rFonts w:hint="default" w:ascii="宋体" w:hAnsi="宋体" w:eastAsia="宋体" w:cs="宋体"/>
                <w:i w:val="0"/>
                <w:iCs w:val="0"/>
                <w:color w:val="000000"/>
                <w:sz w:val="20"/>
                <w:szCs w:val="20"/>
                <w:u w:val="none"/>
                <w:lang w:val="en-US" w:eastAsia="zh-CN"/>
              </w:rPr>
            </w:pPr>
            <w:r>
              <w:rPr>
                <w:rFonts w:hint="eastAsia"/>
                <w:lang w:val="en-US" w:eastAsia="zh-CN"/>
              </w:rPr>
              <w:t>=2家</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3E32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9E98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C9661">
            <w:pPr>
              <w:jc w:val="center"/>
              <w:rPr>
                <w:rFonts w:hint="eastAsia" w:ascii="宋体" w:hAnsi="宋体" w:eastAsia="宋体" w:cs="宋体"/>
                <w:i w:val="0"/>
                <w:iCs w:val="0"/>
                <w:color w:val="000000"/>
                <w:sz w:val="20"/>
                <w:szCs w:val="20"/>
                <w:u w:val="none"/>
              </w:rPr>
            </w:pPr>
          </w:p>
        </w:tc>
      </w:tr>
      <w:tr w14:paraId="6E30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A45ED">
            <w:pPr>
              <w:jc w:val="center"/>
              <w:rPr>
                <w:rFonts w:hint="eastAsia" w:ascii="宋体" w:hAnsi="宋体" w:eastAsia="宋体" w:cs="宋体"/>
                <w:i w:val="0"/>
                <w:iCs w:val="0"/>
                <w:color w:val="000000"/>
                <w:sz w:val="20"/>
                <w:szCs w:val="20"/>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C5A360">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FA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生态效益指标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93BA">
            <w:pPr>
              <w:jc w:val="left"/>
              <w:rPr>
                <w:rFonts w:hint="eastAsia" w:ascii="宋体" w:hAnsi="宋体" w:eastAsia="宋体" w:cs="宋体"/>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6639C">
            <w:pPr>
              <w:jc w:val="center"/>
              <w:rPr>
                <w:rFonts w:hint="eastAsia" w:ascii="宋体" w:hAnsi="宋体" w:eastAsia="宋体" w:cs="宋体"/>
                <w:i w:val="0"/>
                <w:iCs w:val="0"/>
                <w:color w:val="000000"/>
                <w:sz w:val="20"/>
                <w:szCs w:val="20"/>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F92D">
            <w:pPr>
              <w:jc w:val="center"/>
              <w:rPr>
                <w:rFonts w:hint="eastAsia" w:ascii="宋体" w:hAnsi="宋体" w:eastAsia="宋体" w:cs="宋体"/>
                <w:i w:val="0"/>
                <w:iCs w:val="0"/>
                <w:color w:val="000000"/>
                <w:sz w:val="20"/>
                <w:szCs w:val="20"/>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1079BC">
            <w:pPr>
              <w:jc w:val="center"/>
              <w:rPr>
                <w:rFonts w:hint="eastAsia" w:ascii="宋体" w:hAnsi="宋体" w:eastAsia="宋体" w:cs="宋体"/>
                <w:i w:val="0"/>
                <w:iCs w:val="0"/>
                <w:color w:val="000000"/>
                <w:sz w:val="20"/>
                <w:szCs w:val="20"/>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47F107">
            <w:pPr>
              <w:jc w:val="center"/>
              <w:rPr>
                <w:rFonts w:hint="eastAsia" w:ascii="宋体" w:hAnsi="宋体" w:eastAsia="宋体" w:cs="宋体"/>
                <w:i w:val="0"/>
                <w:iCs w:val="0"/>
                <w:color w:val="000000"/>
                <w:sz w:val="20"/>
                <w:szCs w:val="20"/>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5E1570">
            <w:pPr>
              <w:jc w:val="center"/>
              <w:rPr>
                <w:rFonts w:hint="eastAsia" w:ascii="宋体" w:hAnsi="宋体" w:eastAsia="宋体" w:cs="宋体"/>
                <w:i w:val="0"/>
                <w:iCs w:val="0"/>
                <w:color w:val="000000"/>
                <w:sz w:val="20"/>
                <w:szCs w:val="20"/>
                <w:u w:val="none"/>
              </w:rPr>
            </w:pPr>
          </w:p>
        </w:tc>
      </w:tr>
      <w:tr w14:paraId="25EB6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62AAE">
            <w:pPr>
              <w:jc w:val="center"/>
              <w:rPr>
                <w:rFonts w:hint="eastAsia" w:ascii="宋体" w:hAnsi="宋体" w:eastAsia="宋体" w:cs="宋体"/>
                <w:i w:val="0"/>
                <w:iCs w:val="0"/>
                <w:color w:val="000000"/>
                <w:sz w:val="20"/>
                <w:szCs w:val="20"/>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3C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0B7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满意度指标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945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企业满意度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77A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&gt;=85%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621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6E5D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DD0B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634DD3">
            <w:pPr>
              <w:jc w:val="center"/>
              <w:rPr>
                <w:rFonts w:hint="eastAsia" w:ascii="宋体" w:hAnsi="宋体" w:eastAsia="宋体" w:cs="宋体"/>
                <w:i w:val="0"/>
                <w:iCs w:val="0"/>
                <w:color w:val="000000"/>
                <w:sz w:val="20"/>
                <w:szCs w:val="20"/>
                <w:u w:val="none"/>
              </w:rPr>
            </w:pPr>
          </w:p>
        </w:tc>
      </w:tr>
      <w:tr w14:paraId="59620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0637D1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0D6E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51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1CDD25">
            <w:pPr>
              <w:jc w:val="center"/>
              <w:rPr>
                <w:rFonts w:hint="eastAsia" w:ascii="宋体" w:hAnsi="宋体" w:eastAsia="宋体" w:cs="宋体"/>
                <w:i w:val="0"/>
                <w:iCs w:val="0"/>
                <w:color w:val="000000"/>
                <w:sz w:val="20"/>
                <w:szCs w:val="20"/>
                <w:u w:val="none"/>
              </w:rPr>
            </w:pPr>
          </w:p>
        </w:tc>
      </w:tr>
    </w:tbl>
    <w:p w14:paraId="47D81358">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7B8D4FEC">
        <w:pPr>
          <w:pStyle w:val="7"/>
          <w:jc w:val="center"/>
        </w:pPr>
        <w:r>
          <w:fldChar w:fldCharType="begin"/>
        </w:r>
        <w:r>
          <w:instrText xml:space="preserve">PAGE   \* MERGEFORMAT</w:instrText>
        </w:r>
        <w:r>
          <w:fldChar w:fldCharType="separate"/>
        </w:r>
        <w:r>
          <w:rPr>
            <w:lang w:val="zh-CN"/>
          </w:rPr>
          <w:t>13</w:t>
        </w:r>
        <w:r>
          <w:fldChar w:fldCharType="end"/>
        </w:r>
      </w:p>
    </w:sdtContent>
  </w:sdt>
  <w:p w14:paraId="554FADA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F40A6"/>
    <w:multiLevelType w:val="singleLevel"/>
    <w:tmpl w:val="BFEF40A6"/>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3EC461B"/>
    <w:rsid w:val="071A5591"/>
    <w:rsid w:val="07397B77"/>
    <w:rsid w:val="0AD007F3"/>
    <w:rsid w:val="0D082A6E"/>
    <w:rsid w:val="0E3C619F"/>
    <w:rsid w:val="0F6273CA"/>
    <w:rsid w:val="100F38EC"/>
    <w:rsid w:val="11170296"/>
    <w:rsid w:val="12C66037"/>
    <w:rsid w:val="12CD1ABC"/>
    <w:rsid w:val="12D35440"/>
    <w:rsid w:val="13471461"/>
    <w:rsid w:val="1362643E"/>
    <w:rsid w:val="13B90F01"/>
    <w:rsid w:val="155E4C4D"/>
    <w:rsid w:val="181066D2"/>
    <w:rsid w:val="18E2113E"/>
    <w:rsid w:val="1C671E73"/>
    <w:rsid w:val="1C76389B"/>
    <w:rsid w:val="1D322C47"/>
    <w:rsid w:val="22290DFD"/>
    <w:rsid w:val="23616034"/>
    <w:rsid w:val="23696C97"/>
    <w:rsid w:val="24480FA2"/>
    <w:rsid w:val="25227A45"/>
    <w:rsid w:val="26AC3A6A"/>
    <w:rsid w:val="2B9D7E25"/>
    <w:rsid w:val="2C7C7A3B"/>
    <w:rsid w:val="2F364819"/>
    <w:rsid w:val="2FD63906"/>
    <w:rsid w:val="37215DAE"/>
    <w:rsid w:val="38CA40DD"/>
    <w:rsid w:val="395F2B56"/>
    <w:rsid w:val="3B482032"/>
    <w:rsid w:val="3BBA0580"/>
    <w:rsid w:val="3BECE841"/>
    <w:rsid w:val="3CDE204C"/>
    <w:rsid w:val="3D363C36"/>
    <w:rsid w:val="3E9C3F6D"/>
    <w:rsid w:val="3FF7797D"/>
    <w:rsid w:val="405F00C4"/>
    <w:rsid w:val="42F16CBA"/>
    <w:rsid w:val="46690BD8"/>
    <w:rsid w:val="49F70BF1"/>
    <w:rsid w:val="4B4340EE"/>
    <w:rsid w:val="4CF074B4"/>
    <w:rsid w:val="503D507A"/>
    <w:rsid w:val="51FA74D0"/>
    <w:rsid w:val="52AA4A52"/>
    <w:rsid w:val="539D3AD1"/>
    <w:rsid w:val="59943D66"/>
    <w:rsid w:val="59E051FD"/>
    <w:rsid w:val="59E6355E"/>
    <w:rsid w:val="5B821531"/>
    <w:rsid w:val="5BFF6039"/>
    <w:rsid w:val="5C914F97"/>
    <w:rsid w:val="5D76A616"/>
    <w:rsid w:val="5D7F20B9"/>
    <w:rsid w:val="5DAC7D0E"/>
    <w:rsid w:val="5F98B5AF"/>
    <w:rsid w:val="5FFE8511"/>
    <w:rsid w:val="5FFEACE2"/>
    <w:rsid w:val="609D5BF6"/>
    <w:rsid w:val="61073070"/>
    <w:rsid w:val="61B9080E"/>
    <w:rsid w:val="61DF3FED"/>
    <w:rsid w:val="62606CE8"/>
    <w:rsid w:val="63695847"/>
    <w:rsid w:val="642B176B"/>
    <w:rsid w:val="643EE26D"/>
    <w:rsid w:val="656019A0"/>
    <w:rsid w:val="65F242EE"/>
    <w:rsid w:val="666D7E19"/>
    <w:rsid w:val="67AF09A7"/>
    <w:rsid w:val="68376930"/>
    <w:rsid w:val="68F91E38"/>
    <w:rsid w:val="69807E63"/>
    <w:rsid w:val="6B3158B9"/>
    <w:rsid w:val="6BA02A3F"/>
    <w:rsid w:val="6C105349"/>
    <w:rsid w:val="6C1E5A53"/>
    <w:rsid w:val="6F5C41AC"/>
    <w:rsid w:val="6FAF6C78"/>
    <w:rsid w:val="716167CC"/>
    <w:rsid w:val="718A7AD1"/>
    <w:rsid w:val="72A44BC2"/>
    <w:rsid w:val="7317C656"/>
    <w:rsid w:val="734ED73F"/>
    <w:rsid w:val="73C82B32"/>
    <w:rsid w:val="73F94DAE"/>
    <w:rsid w:val="74220495"/>
    <w:rsid w:val="747D1B6F"/>
    <w:rsid w:val="749E5641"/>
    <w:rsid w:val="76271066"/>
    <w:rsid w:val="77FD8BE9"/>
    <w:rsid w:val="78000AED"/>
    <w:rsid w:val="78036054"/>
    <w:rsid w:val="79A9BD3F"/>
    <w:rsid w:val="7AC5270E"/>
    <w:rsid w:val="7B776F12"/>
    <w:rsid w:val="7BFFFDD0"/>
    <w:rsid w:val="7C336E5F"/>
    <w:rsid w:val="7C8D4919"/>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137</Words>
  <Characters>160</Characters>
  <Lines>58</Lines>
  <Paragraphs>16</Paragraphs>
  <TotalTime>5</TotalTime>
  <ScaleCrop>false</ScaleCrop>
  <LinksUpToDate>false</LinksUpToDate>
  <CharactersWithSpaces>166</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2025-05-13T04:07:08Z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D9302741B8D547B08635EDF93066BC78_13</vt:lpwstr>
  </property>
  <property fmtid="{D5CDD505-2E9C-101B-9397-08002B2CF9AE}" pid="4" name="KSOTemplateDocerSaveRecord">
    <vt:lpwstr>eyJoZGlkIjoiZWNhZTMxMGFmZDA1YjFhM2FkMTE4YWMzMGMwZmZmNGUifQ==</vt:lpwstr>
  </property>
</Properties>
</file>