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0C3BDD" w14:textId="77777777" w:rsidR="00553F9D" w:rsidRDefault="00553F9D">
      <w:pPr>
        <w:widowControl/>
        <w:jc w:val="left"/>
        <w:rPr>
          <w:rFonts w:ascii="宋体" w:eastAsia="宋体"/>
          <w:sz w:val="32"/>
          <w:szCs w:val="32"/>
        </w:rPr>
      </w:pPr>
    </w:p>
    <w:p w14:paraId="53098519" w14:textId="77777777" w:rsidR="00553F9D" w:rsidRDefault="00553F9D">
      <w:pPr>
        <w:widowControl/>
        <w:jc w:val="left"/>
        <w:rPr>
          <w:rFonts w:ascii="宋体" w:eastAsia="宋体"/>
          <w:sz w:val="44"/>
          <w:szCs w:val="44"/>
        </w:rPr>
      </w:pPr>
    </w:p>
    <w:p w14:paraId="0D308062" w14:textId="77777777" w:rsidR="00553F9D" w:rsidRDefault="00553F9D">
      <w:pPr>
        <w:widowControl/>
        <w:jc w:val="left"/>
        <w:rPr>
          <w:rFonts w:ascii="宋体" w:eastAsia="宋体"/>
          <w:sz w:val="44"/>
          <w:szCs w:val="44"/>
        </w:rPr>
      </w:pPr>
    </w:p>
    <w:p w14:paraId="395152AC" w14:textId="77777777" w:rsidR="00553F9D" w:rsidRDefault="00553F9D">
      <w:pPr>
        <w:widowControl/>
        <w:jc w:val="left"/>
        <w:rPr>
          <w:rFonts w:ascii="宋体" w:eastAsia="宋体"/>
          <w:sz w:val="44"/>
          <w:szCs w:val="44"/>
        </w:rPr>
      </w:pPr>
    </w:p>
    <w:p w14:paraId="10D0A543" w14:textId="77777777" w:rsidR="00553F9D" w:rsidRDefault="00000000">
      <w:pPr>
        <w:widowControl/>
        <w:jc w:val="center"/>
        <w:outlineLvl w:val="0"/>
        <w:rPr>
          <w:rFonts w:ascii="宋体" w:eastAsia="黑体"/>
          <w:sz w:val="44"/>
          <w:szCs w:val="44"/>
        </w:rPr>
      </w:pPr>
      <w:r>
        <w:rPr>
          <w:rFonts w:ascii="宋体" w:eastAsia="黑体"/>
          <w:sz w:val="44"/>
          <w:szCs w:val="44"/>
        </w:rPr>
        <w:t>奇台县司法局</w:t>
      </w:r>
    </w:p>
    <w:p w14:paraId="39E3A740" w14:textId="77777777" w:rsidR="00553F9D" w:rsidRDefault="00000000">
      <w:pPr>
        <w:widowControl/>
        <w:jc w:val="center"/>
        <w:outlineLvl w:val="0"/>
        <w:rPr>
          <w:rFonts w:ascii="黑体" w:eastAsia="黑体"/>
          <w:sz w:val="44"/>
          <w:szCs w:val="44"/>
        </w:rPr>
      </w:pPr>
      <w:r>
        <w:rPr>
          <w:rFonts w:ascii="黑体" w:eastAsia="黑体"/>
          <w:sz w:val="44"/>
          <w:szCs w:val="44"/>
        </w:rPr>
        <w:t>2024年度部门决算公开说明</w:t>
      </w:r>
    </w:p>
    <w:p w14:paraId="5D9F37D7" w14:textId="77777777" w:rsidR="00553F9D" w:rsidRDefault="00000000">
      <w:pPr>
        <w:widowControl/>
      </w:pPr>
      <w:r>
        <w:rPr>
          <w:sz w:val="0"/>
          <w:szCs w:val="0"/>
        </w:rPr>
        <w:br w:type="page"/>
      </w:r>
    </w:p>
    <w:p w14:paraId="6BE528F5" w14:textId="77777777" w:rsidR="00553F9D" w:rsidRDefault="00000000">
      <w:pPr>
        <w:widowControl/>
        <w:jc w:val="center"/>
        <w:rPr>
          <w:rFonts w:ascii="黑体" w:eastAsia="黑体"/>
          <w:sz w:val="32"/>
          <w:szCs w:val="32"/>
        </w:rPr>
      </w:pPr>
      <w:r>
        <w:rPr>
          <w:rFonts w:ascii="黑体" w:eastAsia="黑体"/>
          <w:b/>
          <w:sz w:val="32"/>
          <w:szCs w:val="32"/>
        </w:rPr>
        <w:t>目</w:t>
      </w:r>
      <w:r>
        <w:rPr>
          <w:rFonts w:ascii="黑体" w:eastAsia="黑体"/>
          <w:b/>
          <w:sz w:val="32"/>
          <w:szCs w:val="32"/>
        </w:rPr>
        <w:t> </w:t>
      </w:r>
      <w:r>
        <w:rPr>
          <w:rFonts w:ascii="黑体" w:eastAsia="黑体"/>
          <w:b/>
          <w:sz w:val="32"/>
          <w:szCs w:val="32"/>
        </w:rPr>
        <w:t xml:space="preserve"> 录</w:t>
      </w:r>
    </w:p>
    <w:p w14:paraId="566EBB73" w14:textId="77777777" w:rsidR="00553F9D" w:rsidRDefault="00000000">
      <w:pPr>
        <w:widowControl/>
        <w:jc w:val="left"/>
        <w:rPr>
          <w:rFonts w:ascii="仿宋_GB2312" w:eastAsia="仿宋_GB2312"/>
          <w:sz w:val="32"/>
          <w:szCs w:val="32"/>
        </w:rPr>
      </w:pPr>
      <w:r>
        <w:rPr>
          <w:rFonts w:ascii="仿宋_GB2312" w:eastAsia="仿宋_GB2312"/>
          <w:b/>
          <w:sz w:val="32"/>
          <w:szCs w:val="32"/>
        </w:rPr>
        <w:t>第一部分单位概况</w:t>
      </w:r>
    </w:p>
    <w:p w14:paraId="0B0BBF57" w14:textId="77777777" w:rsidR="00553F9D" w:rsidRDefault="00000000">
      <w:pPr>
        <w:widowControl/>
        <w:jc w:val="left"/>
        <w:rPr>
          <w:rFonts w:ascii="仿宋_GB2312" w:eastAsia="仿宋_GB2312"/>
          <w:sz w:val="32"/>
          <w:szCs w:val="32"/>
        </w:rPr>
      </w:pPr>
      <w:r>
        <w:rPr>
          <w:rFonts w:ascii="仿宋_GB2312" w:eastAsia="仿宋_GB2312"/>
          <w:sz w:val="32"/>
          <w:szCs w:val="32"/>
        </w:rPr>
        <w:t>一、主要职能</w:t>
      </w:r>
    </w:p>
    <w:p w14:paraId="3A041D28" w14:textId="77777777" w:rsidR="00553F9D" w:rsidRDefault="00000000">
      <w:pPr>
        <w:widowControl/>
        <w:jc w:val="left"/>
        <w:rPr>
          <w:rFonts w:ascii="仿宋_GB2312" w:eastAsia="仿宋_GB2312"/>
          <w:sz w:val="32"/>
          <w:szCs w:val="32"/>
        </w:rPr>
      </w:pPr>
      <w:r>
        <w:rPr>
          <w:rFonts w:ascii="仿宋_GB2312" w:eastAsia="仿宋_GB2312"/>
          <w:sz w:val="32"/>
          <w:szCs w:val="32"/>
        </w:rPr>
        <w:t>二、机构设置及人员情况</w:t>
      </w:r>
    </w:p>
    <w:p w14:paraId="544CD5F4" w14:textId="77777777" w:rsidR="00553F9D" w:rsidRDefault="00000000">
      <w:pPr>
        <w:widowControl/>
        <w:jc w:val="left"/>
        <w:rPr>
          <w:rFonts w:ascii="仿宋_GB2312" w:eastAsia="仿宋_GB2312"/>
          <w:sz w:val="32"/>
          <w:szCs w:val="32"/>
        </w:rPr>
      </w:pPr>
      <w:r>
        <w:rPr>
          <w:rFonts w:ascii="仿宋_GB2312" w:eastAsia="仿宋_GB2312"/>
          <w:b/>
          <w:sz w:val="32"/>
          <w:szCs w:val="32"/>
        </w:rPr>
        <w:t>第二部分 部门决算情况说明</w:t>
      </w:r>
    </w:p>
    <w:p w14:paraId="7300C1EE" w14:textId="77777777" w:rsidR="00553F9D" w:rsidRDefault="00000000">
      <w:pPr>
        <w:widowControl/>
        <w:jc w:val="left"/>
        <w:rPr>
          <w:rFonts w:ascii="仿宋_GB2312" w:eastAsia="仿宋_GB2312"/>
          <w:sz w:val="32"/>
          <w:szCs w:val="32"/>
        </w:rPr>
      </w:pPr>
      <w:r>
        <w:rPr>
          <w:rFonts w:ascii="仿宋_GB2312" w:eastAsia="仿宋_GB2312"/>
          <w:sz w:val="32"/>
          <w:szCs w:val="32"/>
        </w:rPr>
        <w:t>一、收入支出决算总体情况说明</w:t>
      </w:r>
    </w:p>
    <w:p w14:paraId="15B5EC24" w14:textId="77777777" w:rsidR="00553F9D" w:rsidRDefault="00000000">
      <w:pPr>
        <w:widowControl/>
        <w:jc w:val="left"/>
        <w:rPr>
          <w:rFonts w:ascii="仿宋_GB2312" w:eastAsia="仿宋_GB2312"/>
          <w:sz w:val="32"/>
          <w:szCs w:val="32"/>
        </w:rPr>
      </w:pPr>
      <w:r>
        <w:rPr>
          <w:rFonts w:ascii="仿宋_GB2312" w:eastAsia="仿宋_GB2312"/>
          <w:sz w:val="32"/>
          <w:szCs w:val="32"/>
        </w:rPr>
        <w:t>二、收入决算情况说明</w:t>
      </w:r>
    </w:p>
    <w:p w14:paraId="70A0B5B7" w14:textId="77777777" w:rsidR="00553F9D" w:rsidRDefault="00000000">
      <w:pPr>
        <w:widowControl/>
        <w:jc w:val="left"/>
        <w:rPr>
          <w:rFonts w:ascii="仿宋_GB2312" w:eastAsia="仿宋_GB2312"/>
          <w:sz w:val="32"/>
          <w:szCs w:val="32"/>
        </w:rPr>
      </w:pPr>
      <w:r>
        <w:rPr>
          <w:rFonts w:ascii="仿宋_GB2312" w:eastAsia="仿宋_GB2312"/>
          <w:sz w:val="32"/>
          <w:szCs w:val="32"/>
        </w:rPr>
        <w:t>三、支出决算情况说明</w:t>
      </w:r>
    </w:p>
    <w:p w14:paraId="0612B8D8" w14:textId="77777777" w:rsidR="00553F9D" w:rsidRDefault="00000000">
      <w:pPr>
        <w:widowControl/>
        <w:jc w:val="left"/>
        <w:rPr>
          <w:rFonts w:ascii="仿宋_GB2312" w:eastAsia="仿宋_GB2312"/>
          <w:sz w:val="32"/>
          <w:szCs w:val="32"/>
        </w:rPr>
      </w:pPr>
      <w:r>
        <w:rPr>
          <w:rFonts w:ascii="仿宋_GB2312" w:eastAsia="仿宋_GB2312"/>
          <w:sz w:val="32"/>
          <w:szCs w:val="32"/>
        </w:rPr>
        <w:t>四、财政拨款收入支出决算总体情况说明</w:t>
      </w:r>
    </w:p>
    <w:p w14:paraId="54DF56F6" w14:textId="77777777" w:rsidR="00553F9D" w:rsidRDefault="00000000">
      <w:pPr>
        <w:widowControl/>
        <w:jc w:val="left"/>
        <w:rPr>
          <w:rFonts w:ascii="仿宋_GB2312" w:eastAsia="仿宋_GB2312"/>
          <w:sz w:val="32"/>
          <w:szCs w:val="32"/>
        </w:rPr>
      </w:pPr>
      <w:r>
        <w:rPr>
          <w:rFonts w:ascii="仿宋_GB2312" w:eastAsia="仿宋_GB2312"/>
          <w:sz w:val="32"/>
          <w:szCs w:val="32"/>
        </w:rPr>
        <w:t>五、一般公共预算财政拨款支出决算情况说明</w:t>
      </w:r>
    </w:p>
    <w:p w14:paraId="56DB525F" w14:textId="77777777" w:rsidR="00553F9D" w:rsidRDefault="00000000">
      <w:pPr>
        <w:widowControl/>
        <w:jc w:val="left"/>
        <w:rPr>
          <w:rFonts w:ascii="仿宋_GB2312" w:eastAsia="仿宋_GB2312"/>
          <w:sz w:val="32"/>
          <w:szCs w:val="32"/>
        </w:rPr>
      </w:pPr>
      <w:r>
        <w:rPr>
          <w:rFonts w:ascii="仿宋_GB2312" w:eastAsia="仿宋_GB2312"/>
          <w:sz w:val="32"/>
          <w:szCs w:val="32"/>
        </w:rPr>
        <w:t>（一）一般公共预算财政拨款支出决算总体情况</w:t>
      </w:r>
    </w:p>
    <w:p w14:paraId="1B2281E4" w14:textId="77777777" w:rsidR="00553F9D" w:rsidRDefault="00000000">
      <w:pPr>
        <w:widowControl/>
        <w:jc w:val="left"/>
        <w:rPr>
          <w:rFonts w:ascii="仿宋_GB2312" w:eastAsia="仿宋_GB2312"/>
          <w:sz w:val="32"/>
          <w:szCs w:val="32"/>
        </w:rPr>
      </w:pPr>
      <w:r>
        <w:rPr>
          <w:rFonts w:ascii="仿宋_GB2312" w:eastAsia="仿宋_GB2312"/>
          <w:sz w:val="32"/>
          <w:szCs w:val="32"/>
        </w:rPr>
        <w:t>（二）一般公共预算财政拨款支出决算结构情况</w:t>
      </w:r>
    </w:p>
    <w:p w14:paraId="6335ACEE" w14:textId="77777777" w:rsidR="00553F9D" w:rsidRDefault="00000000">
      <w:pPr>
        <w:widowControl/>
        <w:jc w:val="left"/>
        <w:rPr>
          <w:rFonts w:ascii="仿宋_GB2312" w:eastAsia="仿宋_GB2312"/>
          <w:sz w:val="32"/>
          <w:szCs w:val="32"/>
        </w:rPr>
      </w:pPr>
      <w:r>
        <w:rPr>
          <w:rFonts w:ascii="仿宋_GB2312" w:eastAsia="仿宋_GB2312"/>
          <w:sz w:val="32"/>
          <w:szCs w:val="32"/>
        </w:rPr>
        <w:t>（三）一般公共预算财政拨款支出决算具体情况</w:t>
      </w:r>
    </w:p>
    <w:p w14:paraId="2221E60B" w14:textId="77777777" w:rsidR="00553F9D" w:rsidRDefault="00000000">
      <w:pPr>
        <w:widowControl/>
        <w:jc w:val="left"/>
        <w:rPr>
          <w:rFonts w:ascii="仿宋_GB2312" w:eastAsia="仿宋_GB2312"/>
          <w:sz w:val="32"/>
          <w:szCs w:val="32"/>
        </w:rPr>
      </w:pPr>
      <w:r>
        <w:rPr>
          <w:rFonts w:ascii="仿宋_GB2312" w:eastAsia="仿宋_GB2312"/>
          <w:sz w:val="32"/>
          <w:szCs w:val="32"/>
        </w:rPr>
        <w:t>​</w:t>
      </w:r>
      <w:r>
        <w:rPr>
          <w:rFonts w:ascii="仿宋_GB2312" w:eastAsia="仿宋_GB2312"/>
          <w:sz w:val="32"/>
          <w:szCs w:val="32"/>
        </w:rPr>
        <w:t>六、一般公共预算财政拨款基本支出决算情况说明</w:t>
      </w:r>
    </w:p>
    <w:p w14:paraId="2EBF2580" w14:textId="77777777" w:rsidR="00553F9D" w:rsidRDefault="00000000">
      <w:pPr>
        <w:widowControl/>
        <w:jc w:val="left"/>
        <w:rPr>
          <w:rFonts w:ascii="仿宋_GB2312" w:eastAsia="仿宋_GB2312"/>
          <w:sz w:val="32"/>
          <w:szCs w:val="32"/>
        </w:rPr>
      </w:pPr>
      <w:r>
        <w:rPr>
          <w:rFonts w:ascii="仿宋_GB2312" w:eastAsia="仿宋_GB2312"/>
          <w:sz w:val="32"/>
          <w:szCs w:val="32"/>
        </w:rPr>
        <w:t>七、政府性基金预算财政拨款收入支出决算情况说明</w:t>
      </w:r>
    </w:p>
    <w:p w14:paraId="5138E44F" w14:textId="77777777" w:rsidR="00553F9D" w:rsidRDefault="00000000">
      <w:pPr>
        <w:widowControl/>
        <w:jc w:val="left"/>
        <w:rPr>
          <w:rFonts w:ascii="仿宋_GB2312" w:eastAsia="仿宋_GB2312"/>
          <w:sz w:val="32"/>
          <w:szCs w:val="32"/>
        </w:rPr>
      </w:pPr>
      <w:r>
        <w:rPr>
          <w:rFonts w:ascii="仿宋_GB2312" w:eastAsia="仿宋_GB2312"/>
          <w:sz w:val="32"/>
          <w:szCs w:val="32"/>
        </w:rPr>
        <w:t>八、国有资本经营预算财政拨款收入支出决算情况说明</w:t>
      </w:r>
    </w:p>
    <w:p w14:paraId="431945C2" w14:textId="77777777" w:rsidR="00553F9D" w:rsidRDefault="00000000">
      <w:pPr>
        <w:widowControl/>
        <w:jc w:val="left"/>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经费支出决算情况说明</w:t>
      </w:r>
    </w:p>
    <w:p w14:paraId="5CAFD033" w14:textId="77777777" w:rsidR="00553F9D" w:rsidRDefault="00000000">
      <w:pPr>
        <w:widowControl/>
        <w:jc w:val="left"/>
        <w:rPr>
          <w:rFonts w:ascii="仿宋_GB2312" w:eastAsia="仿宋_GB2312"/>
          <w:sz w:val="32"/>
          <w:szCs w:val="32"/>
        </w:rPr>
      </w:pPr>
      <w:r>
        <w:rPr>
          <w:rFonts w:ascii="仿宋_GB2312" w:eastAsia="仿宋_GB2312"/>
          <w:sz w:val="32"/>
          <w:szCs w:val="32"/>
        </w:rPr>
        <w:t>​</w:t>
      </w:r>
      <w:r>
        <w:rPr>
          <w:rFonts w:ascii="仿宋_GB2312" w:eastAsia="仿宋_GB2312"/>
          <w:sz w:val="32"/>
          <w:szCs w:val="32"/>
        </w:rPr>
        <w:t>十、其他重要事项的情况说明</w:t>
      </w:r>
    </w:p>
    <w:p w14:paraId="2149D107" w14:textId="77777777" w:rsidR="00553F9D" w:rsidRDefault="00000000">
      <w:pPr>
        <w:widowControl/>
        <w:jc w:val="left"/>
        <w:rPr>
          <w:rFonts w:ascii="仿宋_GB2312" w:eastAsia="仿宋_GB2312"/>
          <w:sz w:val="32"/>
          <w:szCs w:val="32"/>
        </w:rPr>
      </w:pPr>
      <w:r>
        <w:rPr>
          <w:rFonts w:ascii="仿宋_GB2312" w:eastAsia="仿宋_GB2312"/>
          <w:sz w:val="32"/>
          <w:szCs w:val="32"/>
        </w:rPr>
        <w:t>（一）机关运行经费及公用经费支出情况</w:t>
      </w:r>
    </w:p>
    <w:p w14:paraId="67DDC743" w14:textId="77777777" w:rsidR="00553F9D" w:rsidRDefault="00000000">
      <w:pPr>
        <w:widowControl/>
        <w:jc w:val="left"/>
        <w:rPr>
          <w:rFonts w:ascii="仿宋_GB2312" w:eastAsia="仿宋_GB2312"/>
          <w:sz w:val="32"/>
          <w:szCs w:val="32"/>
        </w:rPr>
      </w:pPr>
      <w:r>
        <w:rPr>
          <w:rFonts w:ascii="仿宋_GB2312" w:eastAsia="仿宋_GB2312"/>
          <w:sz w:val="32"/>
          <w:szCs w:val="32"/>
        </w:rPr>
        <w:t>（二）政府采购情况</w:t>
      </w:r>
    </w:p>
    <w:p w14:paraId="6168EE8F" w14:textId="77777777" w:rsidR="00553F9D" w:rsidRDefault="00000000">
      <w:pPr>
        <w:widowControl/>
        <w:jc w:val="left"/>
        <w:rPr>
          <w:rFonts w:ascii="仿宋_GB2312" w:eastAsia="仿宋_GB2312"/>
          <w:sz w:val="32"/>
          <w:szCs w:val="32"/>
        </w:rPr>
      </w:pPr>
      <w:r>
        <w:rPr>
          <w:rFonts w:ascii="仿宋_GB2312" w:eastAsia="仿宋_GB2312"/>
          <w:sz w:val="32"/>
          <w:szCs w:val="32"/>
        </w:rPr>
        <w:t>（三）国有资产占用情况说明</w:t>
      </w:r>
    </w:p>
    <w:p w14:paraId="2CEA12C2" w14:textId="77777777" w:rsidR="00553F9D" w:rsidRDefault="00000000">
      <w:pPr>
        <w:widowControl/>
        <w:jc w:val="left"/>
        <w:rPr>
          <w:rFonts w:ascii="仿宋_GB2312" w:eastAsia="仿宋_GB2312"/>
          <w:sz w:val="32"/>
          <w:szCs w:val="32"/>
        </w:rPr>
      </w:pPr>
      <w:r>
        <w:rPr>
          <w:rFonts w:ascii="仿宋_GB2312" w:eastAsia="仿宋_GB2312"/>
          <w:sz w:val="32"/>
          <w:szCs w:val="32"/>
        </w:rPr>
        <w:t>十一、预算绩效的情况说明</w:t>
      </w:r>
    </w:p>
    <w:p w14:paraId="6D78B9D3" w14:textId="77777777" w:rsidR="00553F9D" w:rsidRDefault="00000000">
      <w:pPr>
        <w:widowControl/>
        <w:jc w:val="left"/>
        <w:rPr>
          <w:rFonts w:ascii="仿宋_GB2312" w:eastAsia="仿宋_GB2312"/>
          <w:sz w:val="32"/>
          <w:szCs w:val="32"/>
        </w:rPr>
      </w:pPr>
      <w:r>
        <w:rPr>
          <w:rFonts w:ascii="仿宋_GB2312" w:eastAsia="仿宋_GB2312"/>
          <w:sz w:val="32"/>
          <w:szCs w:val="32"/>
        </w:rPr>
        <w:t>十二、其他需说明的事项</w:t>
      </w:r>
    </w:p>
    <w:p w14:paraId="496E0CA1" w14:textId="77777777" w:rsidR="00553F9D" w:rsidRDefault="00000000">
      <w:pPr>
        <w:widowControl/>
        <w:jc w:val="left"/>
        <w:rPr>
          <w:rFonts w:ascii="仿宋_GB2312" w:eastAsia="仿宋_GB2312"/>
          <w:sz w:val="32"/>
          <w:szCs w:val="32"/>
        </w:rPr>
      </w:pPr>
      <w:r>
        <w:rPr>
          <w:rFonts w:ascii="仿宋_GB2312" w:eastAsia="仿宋_GB2312"/>
          <w:b/>
          <w:sz w:val="32"/>
          <w:szCs w:val="32"/>
        </w:rPr>
        <w:t>第三部分 专业名词解释</w:t>
      </w:r>
    </w:p>
    <w:p w14:paraId="311593FB" w14:textId="77777777" w:rsidR="00553F9D" w:rsidRDefault="00000000">
      <w:pPr>
        <w:widowControl/>
        <w:jc w:val="left"/>
        <w:rPr>
          <w:rFonts w:ascii="仿宋_GB2312" w:eastAsia="仿宋_GB2312"/>
          <w:sz w:val="32"/>
          <w:szCs w:val="32"/>
        </w:rPr>
      </w:pPr>
      <w:r>
        <w:rPr>
          <w:rFonts w:ascii="仿宋_GB2312" w:eastAsia="仿宋_GB2312"/>
          <w:b/>
          <w:sz w:val="32"/>
          <w:szCs w:val="32"/>
        </w:rPr>
        <w:t>第四部分 部门决算报表（见附表）</w:t>
      </w:r>
    </w:p>
    <w:p w14:paraId="16700619" w14:textId="77777777" w:rsidR="00553F9D" w:rsidRDefault="00000000">
      <w:pPr>
        <w:widowControl/>
        <w:jc w:val="left"/>
        <w:rPr>
          <w:rFonts w:ascii="仿宋_GB2312" w:eastAsia="仿宋_GB2312"/>
          <w:sz w:val="32"/>
          <w:szCs w:val="32"/>
        </w:rPr>
      </w:pPr>
      <w:r>
        <w:rPr>
          <w:rFonts w:ascii="仿宋_GB2312" w:eastAsia="仿宋_GB2312"/>
          <w:sz w:val="32"/>
          <w:szCs w:val="32"/>
        </w:rPr>
        <w:t>一、《收入支出决算总表》</w:t>
      </w:r>
    </w:p>
    <w:p w14:paraId="6E5087F0" w14:textId="77777777" w:rsidR="00553F9D" w:rsidRDefault="00000000">
      <w:pPr>
        <w:widowControl/>
        <w:jc w:val="left"/>
        <w:rPr>
          <w:rFonts w:ascii="仿宋_GB2312" w:eastAsia="仿宋_GB2312"/>
          <w:sz w:val="32"/>
          <w:szCs w:val="32"/>
        </w:rPr>
      </w:pPr>
      <w:r>
        <w:rPr>
          <w:rFonts w:ascii="仿宋_GB2312" w:eastAsia="仿宋_GB2312"/>
          <w:sz w:val="32"/>
          <w:szCs w:val="32"/>
        </w:rPr>
        <w:t>二、《收入决算表》</w:t>
      </w:r>
    </w:p>
    <w:p w14:paraId="2D806962" w14:textId="77777777" w:rsidR="00553F9D" w:rsidRDefault="00000000">
      <w:pPr>
        <w:widowControl/>
        <w:jc w:val="left"/>
        <w:rPr>
          <w:rFonts w:ascii="仿宋_GB2312" w:eastAsia="仿宋_GB2312"/>
          <w:sz w:val="32"/>
          <w:szCs w:val="32"/>
        </w:rPr>
      </w:pPr>
      <w:r>
        <w:rPr>
          <w:rFonts w:ascii="仿宋_GB2312" w:eastAsia="仿宋_GB2312"/>
          <w:sz w:val="32"/>
          <w:szCs w:val="32"/>
        </w:rPr>
        <w:t>三、《支出决算表》</w:t>
      </w:r>
    </w:p>
    <w:p w14:paraId="1FCEAD73" w14:textId="77777777" w:rsidR="00553F9D" w:rsidRDefault="00000000">
      <w:pPr>
        <w:widowControl/>
        <w:jc w:val="left"/>
        <w:rPr>
          <w:rFonts w:ascii="仿宋_GB2312" w:eastAsia="仿宋_GB2312"/>
          <w:sz w:val="32"/>
          <w:szCs w:val="32"/>
        </w:rPr>
      </w:pPr>
      <w:r>
        <w:rPr>
          <w:rFonts w:ascii="仿宋_GB2312" w:eastAsia="仿宋_GB2312"/>
          <w:sz w:val="32"/>
          <w:szCs w:val="32"/>
        </w:rPr>
        <w:t>四、《财政拨款收入支出决算总表》</w:t>
      </w:r>
    </w:p>
    <w:p w14:paraId="52F2FEE1" w14:textId="77777777" w:rsidR="00553F9D" w:rsidRDefault="00000000">
      <w:pPr>
        <w:widowControl/>
        <w:jc w:val="left"/>
        <w:rPr>
          <w:rFonts w:ascii="仿宋_GB2312" w:eastAsia="仿宋_GB2312"/>
          <w:sz w:val="32"/>
          <w:szCs w:val="32"/>
        </w:rPr>
      </w:pPr>
      <w:r>
        <w:rPr>
          <w:rFonts w:ascii="仿宋_GB2312" w:eastAsia="仿宋_GB2312"/>
          <w:sz w:val="32"/>
          <w:szCs w:val="32"/>
        </w:rPr>
        <w:t>五、《一般公共预算财政拨款支出决算表》</w:t>
      </w:r>
    </w:p>
    <w:p w14:paraId="707E446E" w14:textId="77777777" w:rsidR="00553F9D" w:rsidRDefault="00000000">
      <w:pPr>
        <w:widowControl/>
        <w:jc w:val="left"/>
        <w:rPr>
          <w:rFonts w:ascii="仿宋_GB2312" w:eastAsia="仿宋_GB2312"/>
          <w:sz w:val="32"/>
          <w:szCs w:val="32"/>
        </w:rPr>
      </w:pPr>
      <w:r>
        <w:rPr>
          <w:rFonts w:ascii="仿宋_GB2312" w:eastAsia="仿宋_GB2312"/>
          <w:sz w:val="32"/>
          <w:szCs w:val="32"/>
        </w:rPr>
        <w:lastRenderedPageBreak/>
        <w:t>六、《一般公共预算财政拨款基本支出决算表》</w:t>
      </w:r>
    </w:p>
    <w:p w14:paraId="36E7E5C4" w14:textId="77777777" w:rsidR="00553F9D" w:rsidRDefault="00000000">
      <w:pPr>
        <w:widowControl/>
        <w:jc w:val="left"/>
        <w:rPr>
          <w:rFonts w:ascii="仿宋_GB2312" w:eastAsia="仿宋_GB2312"/>
          <w:sz w:val="32"/>
          <w:szCs w:val="32"/>
        </w:rPr>
      </w:pPr>
      <w:r>
        <w:rPr>
          <w:rFonts w:ascii="仿宋_GB2312" w:eastAsia="仿宋_GB2312"/>
          <w:sz w:val="32"/>
          <w:szCs w:val="32"/>
        </w:rPr>
        <w:t>七、《政府性基金预算财政拨款收入支出决算表》</w:t>
      </w:r>
    </w:p>
    <w:p w14:paraId="1B481489" w14:textId="77777777" w:rsidR="00553F9D" w:rsidRDefault="00000000">
      <w:pPr>
        <w:widowControl/>
        <w:jc w:val="left"/>
        <w:rPr>
          <w:rFonts w:ascii="仿宋_GB2312" w:eastAsia="仿宋_GB2312"/>
          <w:sz w:val="32"/>
          <w:szCs w:val="32"/>
        </w:rPr>
      </w:pPr>
      <w:r>
        <w:rPr>
          <w:rFonts w:ascii="仿宋_GB2312" w:eastAsia="仿宋_GB2312"/>
          <w:sz w:val="32"/>
          <w:szCs w:val="32"/>
        </w:rPr>
        <w:t>八、《国有资本经营预算财政拨款收入支出决算表》</w:t>
      </w:r>
    </w:p>
    <w:p w14:paraId="5D00AB42" w14:textId="77777777" w:rsidR="00553F9D" w:rsidRDefault="00000000">
      <w:pPr>
        <w:widowControl/>
        <w:jc w:val="left"/>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经费支出决算表》</w:t>
      </w:r>
    </w:p>
    <w:p w14:paraId="6D028E44" w14:textId="77777777" w:rsidR="00553F9D" w:rsidRDefault="00000000">
      <w:pPr>
        <w:widowControl/>
      </w:pPr>
      <w:r>
        <w:rPr>
          <w:sz w:val="0"/>
          <w:szCs w:val="0"/>
        </w:rPr>
        <w:br w:type="page"/>
      </w:r>
    </w:p>
    <w:p w14:paraId="260FE5A2" w14:textId="77777777" w:rsidR="00553F9D" w:rsidRDefault="00000000">
      <w:pPr>
        <w:widowControl/>
        <w:jc w:val="center"/>
        <w:outlineLvl w:val="0"/>
        <w:rPr>
          <w:rFonts w:ascii="黑体" w:eastAsia="黑体"/>
          <w:sz w:val="32"/>
          <w:szCs w:val="32"/>
        </w:rPr>
      </w:pPr>
      <w:r>
        <w:rPr>
          <w:rFonts w:ascii="黑体" w:eastAsia="黑体"/>
          <w:sz w:val="32"/>
          <w:szCs w:val="32"/>
        </w:rPr>
        <w:t>第一部分</w:t>
      </w:r>
      <w:r>
        <w:rPr>
          <w:rFonts w:ascii="黑体" w:eastAsia="黑体"/>
          <w:sz w:val="32"/>
          <w:szCs w:val="32"/>
        </w:rPr>
        <w:t> </w:t>
      </w:r>
      <w:r>
        <w:rPr>
          <w:rFonts w:ascii="黑体" w:eastAsia="黑体"/>
          <w:sz w:val="32"/>
          <w:szCs w:val="32"/>
        </w:rPr>
        <w:t>单位概况</w:t>
      </w:r>
    </w:p>
    <w:p w14:paraId="2447CDB1" w14:textId="77777777" w:rsidR="00553F9D" w:rsidRDefault="00000000">
      <w:pPr>
        <w:widowControl/>
        <w:ind w:firstLineChars="200" w:firstLine="640"/>
        <w:jc w:val="left"/>
        <w:outlineLvl w:val="1"/>
        <w:rPr>
          <w:rFonts w:ascii="黑体" w:eastAsia="黑体"/>
          <w:sz w:val="32"/>
          <w:szCs w:val="32"/>
        </w:rPr>
      </w:pPr>
      <w:r>
        <w:rPr>
          <w:rFonts w:ascii="黑体" w:eastAsia="黑体"/>
          <w:sz w:val="32"/>
          <w:szCs w:val="32"/>
        </w:rPr>
        <w:t> </w:t>
      </w:r>
      <w:r>
        <w:rPr>
          <w:rFonts w:ascii="黑体" w:eastAsia="黑体"/>
          <w:sz w:val="32"/>
          <w:szCs w:val="32"/>
        </w:rPr>
        <w:t>一、主要职能</w:t>
      </w:r>
    </w:p>
    <w:p w14:paraId="117EEDC8" w14:textId="77777777" w:rsidR="00553F9D" w:rsidRDefault="00000000">
      <w:pPr>
        <w:widowControl/>
        <w:ind w:firstLineChars="200" w:firstLine="640"/>
        <w:rPr>
          <w:rFonts w:ascii="仿宋_GB2312" w:eastAsia="仿宋_GB2312"/>
          <w:sz w:val="32"/>
          <w:szCs w:val="32"/>
        </w:rPr>
      </w:pPr>
      <w:r>
        <w:rPr>
          <w:rFonts w:ascii="仿宋_GB2312" w:eastAsia="仿宋_GB2312"/>
          <w:sz w:val="32"/>
          <w:szCs w:val="32"/>
        </w:rPr>
        <w:t>1、承担全面依法治县重大问题的政策研究，协调有关方面提出全面依法治县中长期规划建议，负责有关重大决策部署督察工作。</w:t>
      </w:r>
    </w:p>
    <w:p w14:paraId="69D45C39" w14:textId="77777777" w:rsidR="00553F9D" w:rsidRDefault="00000000">
      <w:pPr>
        <w:widowControl/>
        <w:ind w:firstLineChars="200" w:firstLine="640"/>
        <w:rPr>
          <w:rFonts w:ascii="仿宋_GB2312" w:eastAsia="仿宋_GB2312"/>
          <w:sz w:val="32"/>
          <w:szCs w:val="32"/>
        </w:rPr>
      </w:pPr>
      <w:r>
        <w:rPr>
          <w:rFonts w:ascii="仿宋_GB2312" w:eastAsia="仿宋_GB2312"/>
          <w:sz w:val="32"/>
          <w:szCs w:val="32"/>
        </w:rPr>
        <w:t>2、负责行政规范性文件合法性审核、备案审查和清理工作。</w:t>
      </w:r>
    </w:p>
    <w:p w14:paraId="68D6489D" w14:textId="77777777" w:rsidR="00553F9D" w:rsidRDefault="00000000">
      <w:pPr>
        <w:widowControl/>
        <w:ind w:firstLineChars="200" w:firstLine="640"/>
        <w:rPr>
          <w:rFonts w:ascii="仿宋_GB2312" w:eastAsia="仿宋_GB2312"/>
          <w:sz w:val="32"/>
          <w:szCs w:val="32"/>
        </w:rPr>
      </w:pPr>
      <w:r>
        <w:rPr>
          <w:rFonts w:ascii="仿宋_GB2312" w:eastAsia="仿宋_GB2312"/>
          <w:sz w:val="32"/>
          <w:szCs w:val="32"/>
        </w:rPr>
        <w:t>3、承担统筹推进法治政府建设的责任。指导、监督各部门、各乡镇人民政府依法行政工作。负责行政执法的监督管理、综合协调工作，承担推进行政执法体制改革有关工作，推进严格规范公正文明执法。指导、监督全县行政复议和行政应诉工作，负责行政复议、行政应诉和行政赔偿案件办理工作。</w:t>
      </w:r>
    </w:p>
    <w:p w14:paraId="45545C8F" w14:textId="77777777" w:rsidR="00553F9D" w:rsidRDefault="00000000">
      <w:pPr>
        <w:widowControl/>
        <w:ind w:firstLineChars="200" w:firstLine="640"/>
        <w:rPr>
          <w:rFonts w:ascii="仿宋_GB2312" w:eastAsia="仿宋_GB2312"/>
          <w:sz w:val="32"/>
          <w:szCs w:val="32"/>
        </w:rPr>
      </w:pPr>
      <w:r>
        <w:rPr>
          <w:rFonts w:ascii="仿宋_GB2312" w:eastAsia="仿宋_GB2312"/>
          <w:sz w:val="32"/>
          <w:szCs w:val="32"/>
        </w:rPr>
        <w:t>4、承担统筹规划法治社会建设的责任。负责拟订法治宣传教育规划，组织实施普法宣传工作，组织对外法治宣传。负责促进和谐预防犯罪宣传教育工作。推动人民参与和促进法治建设。指导依法治理和法治创建工作。负责人民监督员选任管理工作。指导、监督人民调解、行政调解、人民陪审员选任工作，推进司法所建设。</w:t>
      </w:r>
    </w:p>
    <w:p w14:paraId="43D844B7" w14:textId="77777777" w:rsidR="00553F9D" w:rsidRDefault="00000000">
      <w:pPr>
        <w:widowControl/>
        <w:ind w:firstLineChars="200" w:firstLine="640"/>
        <w:rPr>
          <w:rFonts w:ascii="仿宋_GB2312" w:eastAsia="仿宋_GB2312"/>
          <w:sz w:val="32"/>
          <w:szCs w:val="32"/>
        </w:rPr>
      </w:pPr>
      <w:r>
        <w:rPr>
          <w:rFonts w:ascii="仿宋_GB2312" w:eastAsia="仿宋_GB2312"/>
          <w:sz w:val="32"/>
          <w:szCs w:val="32"/>
        </w:rPr>
        <w:t>5、负责社区矫正工作。指导刑满释放人员帮教安置工作。</w:t>
      </w:r>
    </w:p>
    <w:p w14:paraId="466A32E0" w14:textId="77777777" w:rsidR="00553F9D" w:rsidRDefault="00000000">
      <w:pPr>
        <w:widowControl/>
        <w:ind w:firstLineChars="200" w:firstLine="640"/>
        <w:rPr>
          <w:rFonts w:ascii="仿宋_GB2312" w:eastAsia="仿宋_GB2312"/>
          <w:sz w:val="32"/>
          <w:szCs w:val="32"/>
        </w:rPr>
      </w:pPr>
      <w:r>
        <w:rPr>
          <w:rFonts w:ascii="仿宋_GB2312" w:eastAsia="仿宋_GB2312"/>
          <w:sz w:val="32"/>
          <w:szCs w:val="32"/>
        </w:rPr>
        <w:t>6、负责拟订公共法律服务体系建设规划并指导实施，统筹和布局城乡、区域法律服务资源。指导、监督律师、法律援助、司法鉴定、公证、仲裁和基层法律服务管理工作。指导法律顾问工作。</w:t>
      </w:r>
    </w:p>
    <w:p w14:paraId="4E3756C1" w14:textId="77777777" w:rsidR="00553F9D" w:rsidRDefault="00000000">
      <w:pPr>
        <w:widowControl/>
        <w:ind w:firstLineChars="200" w:firstLine="640"/>
        <w:rPr>
          <w:rFonts w:ascii="仿宋_GB2312" w:eastAsia="仿宋_GB2312"/>
          <w:sz w:val="32"/>
          <w:szCs w:val="32"/>
        </w:rPr>
      </w:pPr>
      <w:r>
        <w:rPr>
          <w:rFonts w:ascii="仿宋_GB2312" w:eastAsia="仿宋_GB2312"/>
          <w:sz w:val="32"/>
          <w:szCs w:val="32"/>
        </w:rPr>
        <w:t>7、规划、协调、指导法治人才队伍建设相关工作，指导、监督本系统队伍建设。负责本系统警务管理和警务督察工作。负责本系统警车管理，指导、监督本系统财务、装备、设施、场所等保障工作。</w:t>
      </w:r>
    </w:p>
    <w:p w14:paraId="5B1DE0A0" w14:textId="77777777" w:rsidR="00553F9D" w:rsidRDefault="00000000">
      <w:pPr>
        <w:widowControl/>
        <w:ind w:firstLineChars="200" w:firstLine="640"/>
        <w:jc w:val="left"/>
        <w:outlineLvl w:val="1"/>
        <w:rPr>
          <w:rFonts w:ascii="黑体" w:eastAsia="黑体"/>
          <w:sz w:val="32"/>
          <w:szCs w:val="32"/>
        </w:rPr>
      </w:pPr>
      <w:r>
        <w:rPr>
          <w:rFonts w:ascii="黑体" w:eastAsia="黑体"/>
          <w:sz w:val="32"/>
          <w:szCs w:val="32"/>
        </w:rPr>
        <w:t>二、机构设置及人员情况</w:t>
      </w:r>
    </w:p>
    <w:p w14:paraId="5DD6C2EA" w14:textId="77777777" w:rsidR="00553F9D" w:rsidRDefault="00000000">
      <w:pPr>
        <w:widowControl/>
        <w:ind w:firstLineChars="200" w:firstLine="640"/>
        <w:rPr>
          <w:rFonts w:ascii="仿宋_GB2312" w:eastAsia="仿宋_GB2312"/>
          <w:sz w:val="32"/>
          <w:szCs w:val="32"/>
        </w:rPr>
      </w:pPr>
      <w:r>
        <w:rPr>
          <w:rFonts w:ascii="仿宋_GB2312" w:eastAsia="仿宋_GB2312"/>
          <w:sz w:val="32"/>
          <w:szCs w:val="32"/>
        </w:rPr>
        <w:lastRenderedPageBreak/>
        <w:t>奇台县司法局2024年度，实有人数72人，其中：在职人员52人，增加3人；离休人员0人，较上年无变化；退休人员20人，较上年无变化</w:t>
      </w:r>
      <w:r>
        <w:rPr>
          <w:rFonts w:ascii="仿宋_GB2312" w:eastAsia="仿宋_GB2312" w:hint="eastAsia"/>
          <w:sz w:val="32"/>
          <w:szCs w:val="32"/>
        </w:rPr>
        <w:t>。</w:t>
      </w:r>
    </w:p>
    <w:p w14:paraId="41DE0EB1" w14:textId="77777777" w:rsidR="00553F9D" w:rsidRDefault="00000000">
      <w:pPr>
        <w:widowControl/>
        <w:ind w:firstLineChars="200" w:firstLine="640"/>
        <w:rPr>
          <w:rFonts w:ascii="仿宋_GB2312" w:eastAsia="仿宋_GB2312"/>
          <w:sz w:val="32"/>
          <w:szCs w:val="32"/>
        </w:rPr>
      </w:pPr>
      <w:r>
        <w:rPr>
          <w:rFonts w:ascii="仿宋_GB2312" w:eastAsia="仿宋_GB2312"/>
          <w:sz w:val="32"/>
          <w:szCs w:val="32"/>
        </w:rPr>
        <w:t>奇台县司法局无下属预算单位，下设6个</w:t>
      </w:r>
      <w:r>
        <w:rPr>
          <w:rFonts w:ascii="仿宋_GB2312" w:eastAsia="仿宋_GB2312" w:hint="eastAsia"/>
          <w:sz w:val="32"/>
          <w:szCs w:val="32"/>
        </w:rPr>
        <w:t>科室</w:t>
      </w:r>
      <w:r>
        <w:rPr>
          <w:rFonts w:ascii="仿宋_GB2312" w:eastAsia="仿宋_GB2312"/>
          <w:sz w:val="32"/>
          <w:szCs w:val="32"/>
        </w:rPr>
        <w:t>，分别是：行政办公室、普法与依法治理办公室（县党委全面依法治县委员会办公室）、法治办公室（行政审批办公室）、社区管理办公室、人民参与和促进法治办公室（安置帮教办公室）、公共法律服务管理办公室。</w:t>
      </w:r>
    </w:p>
    <w:p w14:paraId="4BC4B5D0" w14:textId="77777777" w:rsidR="00553F9D" w:rsidRDefault="00000000">
      <w:pPr>
        <w:widowControl/>
      </w:pPr>
      <w:r>
        <w:rPr>
          <w:sz w:val="0"/>
          <w:szCs w:val="0"/>
        </w:rPr>
        <w:br w:type="page"/>
      </w:r>
    </w:p>
    <w:p w14:paraId="0C8E4F00" w14:textId="77777777" w:rsidR="00553F9D" w:rsidRDefault="00000000">
      <w:pPr>
        <w:widowControl/>
        <w:jc w:val="center"/>
        <w:outlineLvl w:val="0"/>
        <w:rPr>
          <w:rFonts w:ascii="黑体" w:eastAsia="黑体"/>
          <w:sz w:val="32"/>
          <w:szCs w:val="32"/>
        </w:rPr>
      </w:pPr>
      <w:r>
        <w:rPr>
          <w:rFonts w:ascii="黑体" w:eastAsia="黑体"/>
          <w:sz w:val="32"/>
          <w:szCs w:val="32"/>
        </w:rPr>
        <w:t>第二部分 部门决算情况说明</w:t>
      </w:r>
    </w:p>
    <w:p w14:paraId="13AD7CEF" w14:textId="77777777" w:rsidR="00553F9D" w:rsidRDefault="00000000">
      <w:pPr>
        <w:widowControl/>
        <w:ind w:firstLineChars="200" w:firstLine="640"/>
        <w:jc w:val="left"/>
        <w:outlineLvl w:val="1"/>
        <w:rPr>
          <w:rFonts w:ascii="黑体" w:eastAsia="黑体"/>
          <w:sz w:val="32"/>
          <w:szCs w:val="32"/>
        </w:rPr>
      </w:pPr>
      <w:r>
        <w:rPr>
          <w:rFonts w:ascii="黑体" w:eastAsia="黑体"/>
          <w:sz w:val="32"/>
          <w:szCs w:val="32"/>
        </w:rPr>
        <w:t>一、收入支出决算总体情况说明</w:t>
      </w:r>
    </w:p>
    <w:p w14:paraId="30C2C312" w14:textId="77777777" w:rsidR="00553F9D" w:rsidRDefault="00000000">
      <w:pPr>
        <w:widowControl/>
        <w:ind w:firstLineChars="200" w:firstLine="640"/>
        <w:rPr>
          <w:rFonts w:ascii="仿宋_GB2312" w:eastAsia="仿宋_GB2312"/>
          <w:sz w:val="32"/>
          <w:szCs w:val="32"/>
        </w:rPr>
      </w:pPr>
      <w:r>
        <w:rPr>
          <w:rFonts w:ascii="仿宋_GB2312" w:eastAsia="仿宋_GB2312"/>
          <w:sz w:val="32"/>
          <w:szCs w:val="32"/>
        </w:rPr>
        <w:t>2024年度收入总计1,414.93万元，其中：本年收入合计1,414.93万元，使用非财政拨款结余（含专用结余）0.00万元，年初结转和结余0.00万元。</w:t>
      </w:r>
    </w:p>
    <w:p w14:paraId="27006476" w14:textId="77777777" w:rsidR="00553F9D" w:rsidRDefault="00000000">
      <w:pPr>
        <w:widowControl/>
        <w:ind w:firstLineChars="200" w:firstLine="640"/>
        <w:rPr>
          <w:rFonts w:ascii="仿宋_GB2312" w:eastAsia="仿宋_GB2312"/>
          <w:sz w:val="32"/>
          <w:szCs w:val="32"/>
        </w:rPr>
      </w:pPr>
      <w:r>
        <w:rPr>
          <w:rFonts w:ascii="仿宋_GB2312" w:eastAsia="仿宋_GB2312"/>
          <w:sz w:val="32"/>
          <w:szCs w:val="32"/>
        </w:rPr>
        <w:t>2024年度支出总计1,414.93万元，其中：本年支出合计1,414.93万元，结余分配0.00万元，年末结转和结余0.00万元。</w:t>
      </w:r>
    </w:p>
    <w:p w14:paraId="1BED6C3D" w14:textId="74DC3ED4" w:rsidR="00553F9D" w:rsidRDefault="00000000">
      <w:pPr>
        <w:widowControl/>
        <w:ind w:firstLineChars="200" w:firstLine="640"/>
        <w:rPr>
          <w:rFonts w:ascii="仿宋_GB2312" w:eastAsia="仿宋_GB2312"/>
          <w:sz w:val="32"/>
          <w:szCs w:val="32"/>
        </w:rPr>
      </w:pPr>
      <w:r>
        <w:rPr>
          <w:rFonts w:ascii="仿宋_GB2312" w:eastAsia="仿宋_GB2312"/>
          <w:sz w:val="32"/>
          <w:szCs w:val="32"/>
        </w:rPr>
        <w:t>收入支出总体与上年相比，增加310.98万元，增长28.17%，主要原因是：</w:t>
      </w:r>
      <w:r>
        <w:rPr>
          <w:rFonts w:ascii="仿宋_GB2312" w:eastAsia="仿宋_GB2312" w:hint="eastAsia"/>
          <w:sz w:val="32"/>
          <w:szCs w:val="32"/>
        </w:rPr>
        <w:t>中央解决特殊疑难信访问题资金、推动化解涉政府项目拖欠类信访事项（第二批）、中央政法纪检监察转移支付资金、奇台县社会综合治理服务中心改造项目经费增加。</w:t>
      </w:r>
    </w:p>
    <w:p w14:paraId="658E58F4" w14:textId="77777777" w:rsidR="00553F9D" w:rsidRDefault="00000000">
      <w:pPr>
        <w:widowControl/>
        <w:ind w:firstLineChars="200" w:firstLine="640"/>
        <w:jc w:val="left"/>
        <w:outlineLvl w:val="1"/>
        <w:rPr>
          <w:rFonts w:ascii="黑体" w:eastAsia="黑体"/>
          <w:sz w:val="32"/>
          <w:szCs w:val="32"/>
        </w:rPr>
      </w:pPr>
      <w:r>
        <w:rPr>
          <w:rFonts w:ascii="黑体" w:eastAsia="黑体"/>
          <w:sz w:val="32"/>
          <w:szCs w:val="32"/>
        </w:rPr>
        <w:t>二、收入决算情况说明</w:t>
      </w:r>
    </w:p>
    <w:p w14:paraId="667BA4EE" w14:textId="77777777" w:rsidR="00553F9D" w:rsidRDefault="00000000">
      <w:pPr>
        <w:widowControl/>
        <w:ind w:firstLineChars="200" w:firstLine="640"/>
        <w:rPr>
          <w:rFonts w:ascii="仿宋_GB2312" w:eastAsia="仿宋_GB2312"/>
          <w:sz w:val="32"/>
          <w:szCs w:val="32"/>
        </w:rPr>
      </w:pPr>
      <w:r>
        <w:rPr>
          <w:rFonts w:ascii="仿宋_GB2312" w:eastAsia="仿宋_GB2312"/>
          <w:sz w:val="32"/>
          <w:szCs w:val="32"/>
        </w:rPr>
        <w:t>本年收入1,414.93万元，其中：财政拨款收入1,414.92万元,占100.00%；上级补助收入0.00万元,占0.00%；事业收入0.00万元，占0.00%；经营收入0.00万元,占0.00%；附属单位上缴收入0.00万元，占0.00%；其他收入0.01万元，占0.00%。</w:t>
      </w:r>
    </w:p>
    <w:p w14:paraId="4F8DBC1E" w14:textId="77777777" w:rsidR="00553F9D" w:rsidRDefault="00000000">
      <w:pPr>
        <w:widowControl/>
        <w:ind w:firstLineChars="200" w:firstLine="640"/>
        <w:jc w:val="left"/>
        <w:outlineLvl w:val="1"/>
        <w:rPr>
          <w:rFonts w:ascii="黑体" w:eastAsia="黑体"/>
          <w:sz w:val="32"/>
          <w:szCs w:val="32"/>
        </w:rPr>
      </w:pPr>
      <w:r>
        <w:rPr>
          <w:rFonts w:ascii="黑体" w:eastAsia="黑体"/>
          <w:sz w:val="32"/>
          <w:szCs w:val="32"/>
        </w:rPr>
        <w:t>三、支出决算情况说明</w:t>
      </w:r>
    </w:p>
    <w:p w14:paraId="3E0A1674" w14:textId="77777777" w:rsidR="00553F9D" w:rsidRDefault="00000000">
      <w:pPr>
        <w:widowControl/>
        <w:ind w:firstLineChars="200" w:firstLine="640"/>
        <w:rPr>
          <w:rFonts w:ascii="仿宋_GB2312" w:eastAsia="仿宋_GB2312"/>
          <w:sz w:val="32"/>
          <w:szCs w:val="32"/>
        </w:rPr>
      </w:pPr>
      <w:r>
        <w:rPr>
          <w:rFonts w:ascii="仿宋_GB2312" w:eastAsia="仿宋_GB2312"/>
          <w:sz w:val="32"/>
          <w:szCs w:val="32"/>
        </w:rPr>
        <w:t>本年支出1,414.93万元，其中：基本支出1,040.69万元，占73.55%；项目支出374.24万元，占26.45%；上缴上级支出0.00万元，占0.00%；经营支出0.00万元，占0.00%；对附属单位补助支出0.00万元，占0.00%。</w:t>
      </w:r>
    </w:p>
    <w:p w14:paraId="7F2AB28A" w14:textId="77777777" w:rsidR="00553F9D" w:rsidRDefault="00000000">
      <w:pPr>
        <w:widowControl/>
        <w:ind w:firstLineChars="200" w:firstLine="640"/>
        <w:jc w:val="left"/>
        <w:outlineLvl w:val="1"/>
        <w:rPr>
          <w:rFonts w:ascii="黑体" w:eastAsia="黑体"/>
          <w:sz w:val="32"/>
          <w:szCs w:val="32"/>
        </w:rPr>
      </w:pPr>
      <w:r>
        <w:rPr>
          <w:rFonts w:ascii="黑体" w:eastAsia="黑体"/>
          <w:sz w:val="32"/>
          <w:szCs w:val="32"/>
        </w:rPr>
        <w:t>四、财政拨款收入支出决算总体情况说明</w:t>
      </w:r>
    </w:p>
    <w:p w14:paraId="5E4784B9" w14:textId="77777777" w:rsidR="00553F9D" w:rsidRDefault="00000000">
      <w:pPr>
        <w:widowControl/>
        <w:ind w:firstLineChars="200" w:firstLine="640"/>
        <w:rPr>
          <w:rFonts w:ascii="仿宋_GB2312" w:eastAsia="仿宋_GB2312"/>
          <w:sz w:val="32"/>
          <w:szCs w:val="32"/>
        </w:rPr>
      </w:pPr>
      <w:r>
        <w:rPr>
          <w:rFonts w:ascii="仿宋_GB2312" w:eastAsia="仿宋_GB2312"/>
          <w:sz w:val="32"/>
          <w:szCs w:val="32"/>
        </w:rPr>
        <w:t>2024年度财政拨款收入总计1,414.92万元，其中：年初财政拨款结转和结余0.00万元，本年财政拨款收入1,414.92万元。财政拨款支出总计1,414.92万元，其中：年末财政拨款结转和结余0.00万元，本年财政拨款支出1,414.92万元。</w:t>
      </w:r>
    </w:p>
    <w:p w14:paraId="639C3F67" w14:textId="3CE1CE29" w:rsidR="00553F9D" w:rsidRDefault="00000000">
      <w:pPr>
        <w:widowControl/>
        <w:ind w:firstLineChars="200" w:firstLine="640"/>
        <w:rPr>
          <w:rFonts w:ascii="仿宋_GB2312" w:eastAsia="仿宋_GB2312"/>
          <w:sz w:val="32"/>
          <w:szCs w:val="32"/>
        </w:rPr>
      </w:pPr>
      <w:r>
        <w:rPr>
          <w:rFonts w:ascii="仿宋_GB2312" w:eastAsia="仿宋_GB2312"/>
          <w:sz w:val="32"/>
          <w:szCs w:val="32"/>
        </w:rPr>
        <w:lastRenderedPageBreak/>
        <w:t>财政拨款收入支出总体与上年相比，增加310.97万元，增长28.17%，主要原因是：</w:t>
      </w:r>
      <w:r>
        <w:rPr>
          <w:rFonts w:ascii="仿宋_GB2312" w:eastAsia="仿宋_GB2312" w:hint="eastAsia"/>
          <w:sz w:val="32"/>
          <w:szCs w:val="32"/>
        </w:rPr>
        <w:t>中央解决特殊疑难信访问题资金、推动化解涉政府项目拖欠类信访事项（第二批）、中央政法纪检监察转移支付资金、奇台县社会综合治理服务中心改造项目经费增加。</w:t>
      </w:r>
      <w:r>
        <w:rPr>
          <w:rFonts w:ascii="仿宋_GB2312" w:eastAsia="仿宋_GB2312"/>
          <w:sz w:val="32"/>
          <w:szCs w:val="32"/>
        </w:rPr>
        <w:t>与年初预算相比，年初预算数1,164.08万元，决算数1,414.92万元，预决算差异率21.55%，主要原因是：</w:t>
      </w:r>
      <w:r>
        <w:rPr>
          <w:rFonts w:ascii="仿宋_GB2312" w:eastAsia="仿宋_GB2312" w:hint="eastAsia"/>
          <w:sz w:val="32"/>
          <w:szCs w:val="32"/>
        </w:rPr>
        <w:t>年中追加中央解决特殊疑难信访问题资金、推动化解涉政府项目拖欠类信访事项（第二批）、中央政法纪检监察转移支付资金、奇台县社会综合治理服务中心改造项目经费。</w:t>
      </w:r>
    </w:p>
    <w:p w14:paraId="3E389EBE" w14:textId="77777777" w:rsidR="00553F9D" w:rsidRDefault="00000000">
      <w:pPr>
        <w:widowControl/>
        <w:ind w:firstLineChars="200" w:firstLine="640"/>
        <w:jc w:val="left"/>
        <w:outlineLvl w:val="1"/>
        <w:rPr>
          <w:rFonts w:ascii="黑体" w:eastAsia="黑体"/>
          <w:sz w:val="32"/>
          <w:szCs w:val="32"/>
        </w:rPr>
      </w:pPr>
      <w:r>
        <w:rPr>
          <w:rFonts w:ascii="黑体" w:eastAsia="黑体"/>
          <w:sz w:val="32"/>
          <w:szCs w:val="32"/>
        </w:rPr>
        <w:t>五、一般公共预算财政拨款支出决算情况说明</w:t>
      </w:r>
    </w:p>
    <w:p w14:paraId="490C667D" w14:textId="77777777" w:rsidR="00553F9D" w:rsidRDefault="00000000">
      <w:pPr>
        <w:widowControl/>
        <w:ind w:firstLineChars="200" w:firstLine="640"/>
        <w:jc w:val="left"/>
        <w:outlineLvl w:val="2"/>
        <w:rPr>
          <w:rFonts w:ascii="黑体" w:eastAsia="黑体"/>
          <w:sz w:val="32"/>
          <w:szCs w:val="32"/>
        </w:rPr>
      </w:pPr>
      <w:r>
        <w:rPr>
          <w:rFonts w:ascii="黑体" w:eastAsia="黑体"/>
          <w:sz w:val="32"/>
          <w:szCs w:val="32"/>
        </w:rPr>
        <w:t>（一）一般公共预算财政拨款支出决算总体情况</w:t>
      </w:r>
    </w:p>
    <w:p w14:paraId="6EABC3D4" w14:textId="78D60E70" w:rsidR="00553F9D" w:rsidRDefault="00000000">
      <w:pPr>
        <w:widowControl/>
        <w:ind w:firstLineChars="200" w:firstLine="640"/>
        <w:rPr>
          <w:rFonts w:ascii="仿宋_GB2312" w:eastAsia="仿宋_GB2312"/>
          <w:sz w:val="32"/>
          <w:szCs w:val="32"/>
        </w:rPr>
      </w:pPr>
      <w:r>
        <w:rPr>
          <w:rFonts w:ascii="仿宋_GB2312" w:eastAsia="仿宋_GB2312"/>
          <w:sz w:val="32"/>
          <w:szCs w:val="32"/>
        </w:rPr>
        <w:t>2024年度一般公共预算财政拨款支出1,414.92万元，占本年支出合计的100.00%。与上年相比，增加310.97万元，增长28.17%，主要原因是：</w:t>
      </w:r>
      <w:r>
        <w:rPr>
          <w:rFonts w:ascii="仿宋_GB2312" w:eastAsia="仿宋_GB2312" w:hint="eastAsia"/>
          <w:sz w:val="32"/>
          <w:szCs w:val="32"/>
        </w:rPr>
        <w:t>中央解决特殊疑难信访问题资金、推动化解涉政府项目拖欠类信访事项（第二批）、中央政法纪检监察转移支付资金、奇台县社会综合治理服务中心改造项目经费增加。</w:t>
      </w:r>
      <w:r>
        <w:rPr>
          <w:rFonts w:ascii="仿宋_GB2312" w:eastAsia="仿宋_GB2312"/>
          <w:sz w:val="32"/>
          <w:szCs w:val="32"/>
        </w:rPr>
        <w:t>与年初预算相比，年初预算数1,164.08万元，决算数1,414.92万元，预决算差异率21.55%，主要原因是：</w:t>
      </w:r>
      <w:r>
        <w:rPr>
          <w:rFonts w:ascii="仿宋_GB2312" w:eastAsia="仿宋_GB2312" w:hint="eastAsia"/>
          <w:sz w:val="32"/>
          <w:szCs w:val="32"/>
        </w:rPr>
        <w:t>年中追加中央解决特殊疑难信访问题资金、推动化解涉政府项目拖欠类信访事项（第二批）、中央政法纪检监察转移支付资金、奇台县社会综合治理服务中心改造项目经费。</w:t>
      </w:r>
    </w:p>
    <w:p w14:paraId="4B39A2D4" w14:textId="77777777" w:rsidR="00553F9D" w:rsidRDefault="00000000">
      <w:pPr>
        <w:widowControl/>
        <w:ind w:firstLineChars="200" w:firstLine="640"/>
        <w:jc w:val="left"/>
        <w:outlineLvl w:val="2"/>
        <w:rPr>
          <w:rFonts w:ascii="黑体" w:eastAsia="黑体"/>
          <w:sz w:val="32"/>
          <w:szCs w:val="32"/>
        </w:rPr>
      </w:pPr>
      <w:r>
        <w:rPr>
          <w:rFonts w:ascii="黑体" w:eastAsia="黑体"/>
          <w:sz w:val="32"/>
          <w:szCs w:val="32"/>
        </w:rPr>
        <w:t>（二）一般公共预算财政拨款支出决算结构情况</w:t>
      </w:r>
    </w:p>
    <w:p w14:paraId="133BBDDC" w14:textId="77777777" w:rsidR="00553F9D" w:rsidRDefault="00000000">
      <w:pPr>
        <w:widowControl/>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一般公共服务支出（类）34.47万元，占2.44%。</w:t>
      </w:r>
    </w:p>
    <w:p w14:paraId="5794D2D7" w14:textId="77777777" w:rsidR="00553F9D" w:rsidRDefault="00000000">
      <w:pPr>
        <w:widowControl/>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公共安全支出（类）1,033.45万元，占73.04%。</w:t>
      </w:r>
    </w:p>
    <w:p w14:paraId="7A192702" w14:textId="77777777" w:rsidR="00553F9D" w:rsidRDefault="00000000">
      <w:pPr>
        <w:widowControl/>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社会保障和就业支出（类）209.75万元，占14.82%。</w:t>
      </w:r>
    </w:p>
    <w:p w14:paraId="33298DBB" w14:textId="77777777" w:rsidR="00553F9D" w:rsidRDefault="00000000">
      <w:pPr>
        <w:widowControl/>
        <w:ind w:firstLineChars="200" w:firstLine="640"/>
        <w:rPr>
          <w:rFonts w:ascii="仿宋_GB2312" w:eastAsia="仿宋_GB2312"/>
          <w:sz w:val="32"/>
          <w:szCs w:val="32"/>
        </w:rPr>
      </w:pPr>
      <w:r>
        <w:rPr>
          <w:rFonts w:ascii="仿宋_GB2312" w:eastAsia="仿宋_GB2312" w:hint="eastAsia"/>
          <w:sz w:val="32"/>
          <w:szCs w:val="32"/>
        </w:rPr>
        <w:t>4.</w:t>
      </w:r>
      <w:r>
        <w:rPr>
          <w:rFonts w:ascii="仿宋_GB2312" w:eastAsia="仿宋_GB2312"/>
          <w:sz w:val="32"/>
          <w:szCs w:val="32"/>
        </w:rPr>
        <w:t>卫生健康支出（类）53.38万元，占3.77%。</w:t>
      </w:r>
    </w:p>
    <w:p w14:paraId="3E386F16" w14:textId="77777777" w:rsidR="00553F9D" w:rsidRDefault="00000000">
      <w:pPr>
        <w:widowControl/>
        <w:ind w:firstLineChars="200" w:firstLine="640"/>
        <w:rPr>
          <w:rFonts w:ascii="仿宋_GB2312" w:eastAsia="仿宋_GB2312"/>
          <w:sz w:val="32"/>
          <w:szCs w:val="32"/>
        </w:rPr>
      </w:pPr>
      <w:r>
        <w:rPr>
          <w:rFonts w:ascii="仿宋_GB2312" w:eastAsia="仿宋_GB2312" w:hint="eastAsia"/>
          <w:sz w:val="32"/>
          <w:szCs w:val="32"/>
        </w:rPr>
        <w:t>5.</w:t>
      </w:r>
      <w:r>
        <w:rPr>
          <w:rFonts w:ascii="仿宋_GB2312" w:eastAsia="仿宋_GB2312"/>
          <w:sz w:val="32"/>
          <w:szCs w:val="32"/>
        </w:rPr>
        <w:t>住房保障支出（类）68.87万元，占4.87%。</w:t>
      </w:r>
    </w:p>
    <w:p w14:paraId="6ECD29CB" w14:textId="77777777" w:rsidR="00553F9D" w:rsidRDefault="00000000">
      <w:pPr>
        <w:widowControl/>
        <w:ind w:firstLineChars="200" w:firstLine="640"/>
        <w:rPr>
          <w:rFonts w:ascii="仿宋_GB2312" w:eastAsia="仿宋_GB2312"/>
          <w:sz w:val="32"/>
          <w:szCs w:val="32"/>
        </w:rPr>
      </w:pPr>
      <w:r>
        <w:rPr>
          <w:rFonts w:ascii="仿宋_GB2312" w:eastAsia="仿宋_GB2312" w:hint="eastAsia"/>
          <w:sz w:val="32"/>
          <w:szCs w:val="32"/>
        </w:rPr>
        <w:t>6.</w:t>
      </w:r>
      <w:r>
        <w:rPr>
          <w:rFonts w:ascii="仿宋_GB2312" w:eastAsia="仿宋_GB2312"/>
          <w:sz w:val="32"/>
          <w:szCs w:val="32"/>
        </w:rPr>
        <w:t>其他支出（类）15.00万元，占1.06%。</w:t>
      </w:r>
    </w:p>
    <w:p w14:paraId="76EBB3EB" w14:textId="77777777" w:rsidR="00553F9D" w:rsidRDefault="00000000">
      <w:pPr>
        <w:widowControl/>
        <w:ind w:firstLineChars="200" w:firstLine="640"/>
        <w:jc w:val="left"/>
        <w:outlineLvl w:val="2"/>
        <w:rPr>
          <w:rFonts w:ascii="黑体" w:eastAsia="黑体"/>
          <w:sz w:val="32"/>
          <w:szCs w:val="32"/>
        </w:rPr>
      </w:pPr>
      <w:r>
        <w:rPr>
          <w:rFonts w:ascii="黑体" w:eastAsia="黑体"/>
          <w:sz w:val="32"/>
          <w:szCs w:val="32"/>
        </w:rPr>
        <w:t>（三）一般公共预算财政拨款支出决算具体情况</w:t>
      </w:r>
    </w:p>
    <w:p w14:paraId="152DFE56" w14:textId="77777777" w:rsidR="00553F9D" w:rsidRDefault="00000000">
      <w:pPr>
        <w:widowControl/>
        <w:ind w:firstLineChars="200" w:firstLine="640"/>
        <w:rPr>
          <w:rFonts w:ascii="仿宋_GB2312" w:eastAsia="仿宋_GB2312"/>
          <w:sz w:val="32"/>
          <w:szCs w:val="32"/>
        </w:rPr>
      </w:pPr>
      <w:r>
        <w:rPr>
          <w:rFonts w:ascii="仿宋_GB2312" w:eastAsia="仿宋_GB2312"/>
          <w:sz w:val="32"/>
          <w:szCs w:val="32"/>
        </w:rPr>
        <w:t>1、一般公共服务支出（类）信访事务（款）信访业务（项）：支出决算数为12.72万元，比上年决算增加12.72万</w:t>
      </w:r>
      <w:r>
        <w:rPr>
          <w:rFonts w:ascii="仿宋_GB2312" w:eastAsia="仿宋_GB2312"/>
          <w:sz w:val="32"/>
          <w:szCs w:val="32"/>
        </w:rPr>
        <w:lastRenderedPageBreak/>
        <w:t>元，增长100.00%，主要原因是：</w:t>
      </w:r>
      <w:r>
        <w:rPr>
          <w:rFonts w:ascii="仿宋_GB2312" w:eastAsia="仿宋_GB2312" w:hint="eastAsia"/>
          <w:sz w:val="32"/>
          <w:szCs w:val="32"/>
        </w:rPr>
        <w:t>中央解决特殊疑难信访问题资金增加。</w:t>
      </w:r>
    </w:p>
    <w:p w14:paraId="6FE71AEA" w14:textId="77777777" w:rsidR="00553F9D" w:rsidRDefault="00000000">
      <w:pPr>
        <w:widowControl/>
        <w:ind w:firstLineChars="200" w:firstLine="640"/>
        <w:rPr>
          <w:rFonts w:ascii="仿宋_GB2312" w:eastAsia="仿宋_GB2312"/>
          <w:sz w:val="32"/>
          <w:szCs w:val="32"/>
        </w:rPr>
      </w:pPr>
      <w:r>
        <w:rPr>
          <w:rFonts w:ascii="仿宋_GB2312" w:eastAsia="仿宋_GB2312"/>
          <w:sz w:val="32"/>
          <w:szCs w:val="32"/>
        </w:rPr>
        <w:t>2、一般公共服务支出（类）信访事务（款）其他信访事务支出（项）：支出决算数为21.75万元，比上年决算增加21.75万元，增长100.00%，主要原因是：</w:t>
      </w:r>
      <w:r>
        <w:rPr>
          <w:rFonts w:ascii="仿宋_GB2312" w:eastAsia="仿宋_GB2312" w:hint="eastAsia"/>
          <w:sz w:val="32"/>
          <w:szCs w:val="32"/>
        </w:rPr>
        <w:t>推动化解涉政府项目拖欠类信访事项（第二批）项目经费增加。</w:t>
      </w:r>
    </w:p>
    <w:p w14:paraId="37DF4783" w14:textId="77777777" w:rsidR="00553F9D" w:rsidRDefault="00000000">
      <w:pPr>
        <w:widowControl/>
        <w:ind w:firstLineChars="200" w:firstLine="640"/>
        <w:rPr>
          <w:rFonts w:ascii="仿宋_GB2312" w:eastAsia="仿宋_GB2312"/>
          <w:sz w:val="32"/>
          <w:szCs w:val="32"/>
        </w:rPr>
      </w:pPr>
      <w:r>
        <w:rPr>
          <w:rFonts w:ascii="仿宋_GB2312" w:eastAsia="仿宋_GB2312"/>
          <w:sz w:val="32"/>
          <w:szCs w:val="32"/>
        </w:rPr>
        <w:t>3、公共安全支出（类）司法（款）行政运行（项）：支出决算数为708.68万元，比上年决算增加42.08万元，增长6.31%，主要原因是：</w:t>
      </w:r>
      <w:r>
        <w:rPr>
          <w:rFonts w:ascii="仿宋_GB2312" w:eastAsia="仿宋_GB2312" w:hint="eastAsia"/>
          <w:sz w:val="32"/>
          <w:szCs w:val="32"/>
        </w:rPr>
        <w:t>单位本年在职人员增加，基本工资、奖金等人员经费增加。</w:t>
      </w:r>
    </w:p>
    <w:p w14:paraId="0816F856" w14:textId="77777777" w:rsidR="00553F9D" w:rsidRDefault="00000000">
      <w:pPr>
        <w:widowControl/>
        <w:ind w:firstLineChars="200" w:firstLine="640"/>
        <w:rPr>
          <w:rFonts w:ascii="仿宋_GB2312" w:eastAsia="仿宋_GB2312"/>
          <w:sz w:val="32"/>
          <w:szCs w:val="32"/>
        </w:rPr>
      </w:pPr>
      <w:r>
        <w:rPr>
          <w:rFonts w:ascii="仿宋_GB2312" w:eastAsia="仿宋_GB2312"/>
          <w:sz w:val="32"/>
          <w:szCs w:val="32"/>
        </w:rPr>
        <w:t>4、公共安全支出（类）司法（款）公共法律服务（项）：支出决算数为22.31万元，比上年决算减少74.68万元，下降77.00%，主要原因是：本年度公共法律支出资金减少，所以较上年度相比有所减少。</w:t>
      </w:r>
      <w:r>
        <w:rPr>
          <w:rFonts w:ascii="仿宋_GB2312" w:eastAsia="仿宋_GB2312" w:hint="eastAsia"/>
          <w:sz w:val="32"/>
          <w:szCs w:val="32"/>
        </w:rPr>
        <w:t>中央政法纪检监察转移支付资金、法律援助中心业务经费减少。</w:t>
      </w:r>
    </w:p>
    <w:p w14:paraId="18798F17" w14:textId="77777777" w:rsidR="00553F9D" w:rsidRDefault="00000000">
      <w:pPr>
        <w:widowControl/>
        <w:ind w:firstLineChars="200" w:firstLine="640"/>
        <w:rPr>
          <w:rFonts w:ascii="仿宋_GB2312" w:eastAsia="仿宋_GB2312"/>
          <w:sz w:val="32"/>
          <w:szCs w:val="32"/>
        </w:rPr>
      </w:pPr>
      <w:r>
        <w:rPr>
          <w:rFonts w:ascii="仿宋_GB2312" w:eastAsia="仿宋_GB2312"/>
          <w:sz w:val="32"/>
          <w:szCs w:val="32"/>
        </w:rPr>
        <w:t>5、公共安全支出（类）司法（款）其他司法支出（项）：支出决算数为302.46万元，比上年决算增加247.11万元，增长446.45%，主要原因是：</w:t>
      </w:r>
      <w:r>
        <w:rPr>
          <w:rFonts w:ascii="仿宋_GB2312" w:eastAsia="仿宋_GB2312" w:hint="eastAsia"/>
          <w:sz w:val="32"/>
          <w:szCs w:val="32"/>
        </w:rPr>
        <w:t>奇台县社会综合治理服务中心改造项目、中央政法纪检监察转移支付资金等项目经费增加。</w:t>
      </w:r>
    </w:p>
    <w:p w14:paraId="41DB1D5F" w14:textId="648A6DEC" w:rsidR="00553F9D" w:rsidRDefault="00000000">
      <w:pPr>
        <w:widowControl/>
        <w:ind w:firstLineChars="200" w:firstLine="640"/>
        <w:rPr>
          <w:rFonts w:ascii="仿宋_GB2312" w:eastAsia="仿宋_GB2312"/>
          <w:sz w:val="32"/>
          <w:szCs w:val="32"/>
        </w:rPr>
      </w:pPr>
      <w:r>
        <w:rPr>
          <w:rFonts w:ascii="仿宋_GB2312" w:eastAsia="仿宋_GB2312"/>
          <w:sz w:val="32"/>
          <w:szCs w:val="32"/>
        </w:rPr>
        <w:t>6、社会保障和就业支出（类）行政事业单位养老支出（款）行政单位离退休（项）：支出决算数为13.82万元，比上年决算增加3.95万元，增长40.02%，主要原因是：</w:t>
      </w:r>
      <w:bookmarkStart w:id="0" w:name="_Hlk209517172"/>
      <w:bookmarkStart w:id="1" w:name="_Hlk209523054"/>
      <w:r w:rsidR="00923644" w:rsidRPr="00306323">
        <w:rPr>
          <w:rFonts w:ascii="仿宋_GB2312" w:eastAsia="仿宋_GB2312" w:hint="eastAsia"/>
          <w:sz w:val="32"/>
          <w:szCs w:val="32"/>
        </w:rPr>
        <w:t>单位本年退休人员取暖费、交通补助费用</w:t>
      </w:r>
      <w:bookmarkEnd w:id="1"/>
      <w:r w:rsidR="00923644" w:rsidRPr="00306323">
        <w:rPr>
          <w:rFonts w:ascii="仿宋_GB2312" w:eastAsia="仿宋_GB2312" w:hint="eastAsia"/>
          <w:sz w:val="32"/>
          <w:szCs w:val="32"/>
        </w:rPr>
        <w:t>增加</w:t>
      </w:r>
      <w:bookmarkEnd w:id="0"/>
      <w:r>
        <w:rPr>
          <w:rFonts w:ascii="仿宋_GB2312" w:eastAsia="仿宋_GB2312" w:hint="eastAsia"/>
          <w:sz w:val="32"/>
          <w:szCs w:val="32"/>
        </w:rPr>
        <w:t>。</w:t>
      </w:r>
    </w:p>
    <w:p w14:paraId="5C39F7A9" w14:textId="77777777" w:rsidR="00553F9D" w:rsidRDefault="00000000">
      <w:pPr>
        <w:widowControl/>
        <w:ind w:firstLineChars="200" w:firstLine="640"/>
        <w:rPr>
          <w:rFonts w:ascii="仿宋_GB2312" w:eastAsia="仿宋_GB2312"/>
          <w:sz w:val="32"/>
          <w:szCs w:val="32"/>
        </w:rPr>
      </w:pPr>
      <w:r>
        <w:rPr>
          <w:rFonts w:ascii="仿宋_GB2312" w:eastAsia="仿宋_GB2312"/>
          <w:sz w:val="32"/>
          <w:szCs w:val="32"/>
        </w:rPr>
        <w:t>7、社会保障和就业支出（类）行政事业单位养老支出（款）机关事业单位基本养老保险缴费支出（项）：支出决算数为85.44万元，比上年决算增加4.06万元，增长4.99%，主要原因是：</w:t>
      </w:r>
      <w:r>
        <w:rPr>
          <w:rFonts w:ascii="仿宋_GB2312" w:eastAsia="仿宋_GB2312" w:hint="eastAsia"/>
          <w:sz w:val="32"/>
          <w:szCs w:val="32"/>
        </w:rPr>
        <w:t>单位本年在职人员增加，养老保险缴费支出增加。</w:t>
      </w:r>
    </w:p>
    <w:p w14:paraId="62609EFA" w14:textId="77777777" w:rsidR="00553F9D" w:rsidRDefault="00000000">
      <w:pPr>
        <w:widowControl/>
        <w:ind w:firstLineChars="200" w:firstLine="640"/>
        <w:rPr>
          <w:rFonts w:ascii="仿宋_GB2312" w:eastAsia="仿宋_GB2312"/>
          <w:sz w:val="32"/>
          <w:szCs w:val="32"/>
        </w:rPr>
      </w:pPr>
      <w:r>
        <w:rPr>
          <w:rFonts w:ascii="仿宋_GB2312" w:eastAsia="仿宋_GB2312"/>
          <w:sz w:val="32"/>
          <w:szCs w:val="32"/>
        </w:rPr>
        <w:t>8、社会保障和就业支出（类）行政事业单位养老支出（款）机关事业单位职业年金缴费支出（项）：支出决算数为43.04万元，比上年决算增加23.11万元，增长115.96%，主要原因是：</w:t>
      </w:r>
      <w:r>
        <w:rPr>
          <w:rFonts w:ascii="仿宋_GB2312" w:eastAsia="仿宋_GB2312" w:hint="eastAsia"/>
          <w:sz w:val="32"/>
          <w:szCs w:val="32"/>
        </w:rPr>
        <w:t>单位本年一次性职业年金缴费支出增加。</w:t>
      </w:r>
    </w:p>
    <w:p w14:paraId="18EB9975" w14:textId="57D1CE8D" w:rsidR="00553F9D" w:rsidRDefault="00000000">
      <w:pPr>
        <w:widowControl/>
        <w:ind w:firstLineChars="200" w:firstLine="640"/>
        <w:rPr>
          <w:rFonts w:ascii="仿宋_GB2312" w:eastAsia="仿宋_GB2312"/>
          <w:sz w:val="32"/>
          <w:szCs w:val="32"/>
        </w:rPr>
      </w:pPr>
      <w:r>
        <w:rPr>
          <w:rFonts w:ascii="仿宋_GB2312" w:eastAsia="仿宋_GB2312"/>
          <w:sz w:val="32"/>
          <w:szCs w:val="32"/>
        </w:rPr>
        <w:lastRenderedPageBreak/>
        <w:t>9、社会保障和就业支出（类）抚恤（款）死亡抚恤（项）：支出决算数为67.45万元，比上年决算增加17.99万元，增长36.37%，主要原因是：</w:t>
      </w:r>
      <w:bookmarkStart w:id="2" w:name="_Hlk209273923"/>
      <w:bookmarkStart w:id="3" w:name="_Hlk209269077"/>
      <w:r w:rsidR="00923644" w:rsidRPr="00492284">
        <w:rPr>
          <w:rFonts w:ascii="仿宋_GB2312" w:eastAsia="仿宋_GB2312" w:hint="eastAsia"/>
          <w:sz w:val="32"/>
          <w:szCs w:val="32"/>
        </w:rPr>
        <w:t>单位本年人员丧葬费、抚恤金补助经费</w:t>
      </w:r>
      <w:bookmarkEnd w:id="2"/>
      <w:bookmarkEnd w:id="3"/>
      <w:r>
        <w:rPr>
          <w:rFonts w:ascii="仿宋_GB2312" w:eastAsia="仿宋_GB2312" w:hint="eastAsia"/>
          <w:sz w:val="32"/>
          <w:szCs w:val="32"/>
        </w:rPr>
        <w:t>增加。</w:t>
      </w:r>
    </w:p>
    <w:p w14:paraId="31E43BA8" w14:textId="2FC6EAA5" w:rsidR="00553F9D" w:rsidRDefault="00000000">
      <w:pPr>
        <w:widowControl/>
        <w:ind w:firstLineChars="200" w:firstLine="640"/>
        <w:rPr>
          <w:rFonts w:ascii="仿宋_GB2312" w:eastAsia="仿宋_GB2312"/>
          <w:sz w:val="32"/>
          <w:szCs w:val="32"/>
        </w:rPr>
      </w:pPr>
      <w:r>
        <w:rPr>
          <w:rFonts w:ascii="仿宋_GB2312" w:eastAsia="仿宋_GB2312"/>
          <w:sz w:val="32"/>
          <w:szCs w:val="32"/>
        </w:rPr>
        <w:t>10、卫生健康支出（类）行政事业单位医疗（款）行政单位医疗（项）：支出决算数为39.47万元，比上年决算减少1.61万元，下降3.92%，主要原因是：</w:t>
      </w:r>
      <w:r>
        <w:rPr>
          <w:rFonts w:ascii="仿宋_GB2312" w:eastAsia="仿宋_GB2312" w:hint="eastAsia"/>
          <w:sz w:val="32"/>
          <w:szCs w:val="32"/>
        </w:rPr>
        <w:t>单位本年将行政单位医疗及</w:t>
      </w:r>
      <w:r>
        <w:rPr>
          <w:rFonts w:ascii="仿宋_GB2312" w:eastAsia="仿宋_GB2312"/>
          <w:sz w:val="32"/>
          <w:szCs w:val="32"/>
        </w:rPr>
        <w:t>其他行政事业单位医疗</w:t>
      </w:r>
      <w:r>
        <w:rPr>
          <w:rFonts w:ascii="仿宋_GB2312" w:eastAsia="仿宋_GB2312" w:hint="eastAsia"/>
          <w:sz w:val="32"/>
          <w:szCs w:val="32"/>
        </w:rPr>
        <w:t>部分支出转移至2101102事业单位医疗反映</w:t>
      </w:r>
      <w:r w:rsidR="00923644">
        <w:rPr>
          <w:rFonts w:ascii="仿宋_GB2312" w:eastAsia="仿宋_GB2312" w:hint="eastAsia"/>
          <w:sz w:val="32"/>
          <w:szCs w:val="32"/>
        </w:rPr>
        <w:t>，导致此项经费减少</w:t>
      </w:r>
      <w:r>
        <w:rPr>
          <w:rFonts w:ascii="仿宋_GB2312" w:eastAsia="仿宋_GB2312" w:hint="eastAsia"/>
          <w:sz w:val="32"/>
          <w:szCs w:val="32"/>
        </w:rPr>
        <w:t>。</w:t>
      </w:r>
    </w:p>
    <w:p w14:paraId="6A57C1C3" w14:textId="36494E5C" w:rsidR="00553F9D" w:rsidRDefault="00000000">
      <w:pPr>
        <w:widowControl/>
        <w:ind w:firstLineChars="200" w:firstLine="640"/>
        <w:rPr>
          <w:rFonts w:ascii="仿宋_GB2312" w:eastAsia="仿宋_GB2312"/>
          <w:sz w:val="32"/>
          <w:szCs w:val="32"/>
        </w:rPr>
      </w:pPr>
      <w:r>
        <w:rPr>
          <w:rFonts w:ascii="仿宋_GB2312" w:eastAsia="仿宋_GB2312"/>
          <w:sz w:val="32"/>
          <w:szCs w:val="32"/>
        </w:rPr>
        <w:t>11、卫生健康支出（类）行政事业单位医疗（款）事业单位医疗（项）：支出决算数为3.68万元，比上年决算增加3.68万元，增长100.00%，主要原因是：</w:t>
      </w:r>
      <w:r>
        <w:rPr>
          <w:rFonts w:ascii="仿宋_GB2312" w:eastAsia="仿宋_GB2312" w:hint="eastAsia"/>
          <w:sz w:val="32"/>
          <w:szCs w:val="32"/>
        </w:rPr>
        <w:t>单位本年将行政单位医疗及</w:t>
      </w:r>
      <w:r>
        <w:rPr>
          <w:rFonts w:ascii="仿宋_GB2312" w:eastAsia="仿宋_GB2312"/>
          <w:sz w:val="32"/>
          <w:szCs w:val="32"/>
        </w:rPr>
        <w:t>其他行政事业单位医疗</w:t>
      </w:r>
      <w:r>
        <w:rPr>
          <w:rFonts w:ascii="仿宋_GB2312" w:eastAsia="仿宋_GB2312" w:hint="eastAsia"/>
          <w:sz w:val="32"/>
          <w:szCs w:val="32"/>
        </w:rPr>
        <w:t>部分支出转移至2101102事业单位医疗反映</w:t>
      </w:r>
      <w:r w:rsidR="00923644">
        <w:rPr>
          <w:rFonts w:ascii="仿宋_GB2312" w:eastAsia="仿宋_GB2312" w:hint="eastAsia"/>
          <w:sz w:val="32"/>
          <w:szCs w:val="32"/>
        </w:rPr>
        <w:t>，导致此项经费</w:t>
      </w:r>
      <w:r w:rsidR="00923644">
        <w:rPr>
          <w:rFonts w:ascii="仿宋_GB2312" w:eastAsia="仿宋_GB2312" w:hint="eastAsia"/>
          <w:sz w:val="32"/>
          <w:szCs w:val="32"/>
        </w:rPr>
        <w:t>增加</w:t>
      </w:r>
      <w:r>
        <w:rPr>
          <w:rFonts w:ascii="仿宋_GB2312" w:eastAsia="仿宋_GB2312" w:hint="eastAsia"/>
          <w:sz w:val="32"/>
          <w:szCs w:val="32"/>
        </w:rPr>
        <w:t>。</w:t>
      </w:r>
    </w:p>
    <w:p w14:paraId="4DBDB81F" w14:textId="77777777" w:rsidR="00553F9D" w:rsidRDefault="00000000">
      <w:pPr>
        <w:widowControl/>
        <w:ind w:firstLineChars="200" w:firstLine="640"/>
        <w:rPr>
          <w:rFonts w:ascii="仿宋_GB2312" w:eastAsia="仿宋_GB2312"/>
          <w:sz w:val="32"/>
          <w:szCs w:val="32"/>
        </w:rPr>
      </w:pPr>
      <w:r>
        <w:rPr>
          <w:rFonts w:ascii="仿宋_GB2312" w:eastAsia="仿宋_GB2312"/>
          <w:sz w:val="32"/>
          <w:szCs w:val="32"/>
        </w:rPr>
        <w:t>12、卫生健康支出（类）行政事业单位医疗（款）公务员医疗补助（项）：支出决算数为9.93万元，比上年决算增加0.29万元，增长3.01%，主要原因是：</w:t>
      </w:r>
      <w:r>
        <w:rPr>
          <w:rFonts w:ascii="仿宋_GB2312" w:eastAsia="仿宋_GB2312" w:hint="eastAsia"/>
          <w:sz w:val="32"/>
          <w:szCs w:val="32"/>
        </w:rPr>
        <w:t>单位本年在职人员增加，公务员医疗补助支出增加。</w:t>
      </w:r>
    </w:p>
    <w:p w14:paraId="4C3927B6" w14:textId="354FE542" w:rsidR="00553F9D" w:rsidRDefault="00000000">
      <w:pPr>
        <w:widowControl/>
        <w:ind w:firstLineChars="200" w:firstLine="640"/>
        <w:rPr>
          <w:rFonts w:ascii="仿宋_GB2312" w:eastAsia="仿宋_GB2312"/>
          <w:sz w:val="32"/>
          <w:szCs w:val="32"/>
        </w:rPr>
      </w:pPr>
      <w:r>
        <w:rPr>
          <w:rFonts w:ascii="仿宋_GB2312" w:eastAsia="仿宋_GB2312"/>
          <w:sz w:val="32"/>
          <w:szCs w:val="32"/>
        </w:rPr>
        <w:t>13、卫生健康支出（类）行政事业单位医疗（款）其他行政事业单位医疗支出（项）：支出决算数为0.31万元，比上年决算减少0.12万元，下降27.91%，主要原因是：</w:t>
      </w:r>
      <w:r>
        <w:rPr>
          <w:rFonts w:ascii="仿宋_GB2312" w:eastAsia="仿宋_GB2312" w:hint="eastAsia"/>
          <w:sz w:val="32"/>
          <w:szCs w:val="32"/>
        </w:rPr>
        <w:t>单位本年将行政单位医疗及</w:t>
      </w:r>
      <w:r>
        <w:rPr>
          <w:rFonts w:ascii="仿宋_GB2312" w:eastAsia="仿宋_GB2312"/>
          <w:sz w:val="32"/>
          <w:szCs w:val="32"/>
        </w:rPr>
        <w:t>其他行政事业单位医疗</w:t>
      </w:r>
      <w:r>
        <w:rPr>
          <w:rFonts w:ascii="仿宋_GB2312" w:eastAsia="仿宋_GB2312" w:hint="eastAsia"/>
          <w:sz w:val="32"/>
          <w:szCs w:val="32"/>
        </w:rPr>
        <w:t>部分支出转移至2101102事业单位医疗反映</w:t>
      </w:r>
      <w:r w:rsidR="00923644">
        <w:rPr>
          <w:rFonts w:ascii="仿宋_GB2312" w:eastAsia="仿宋_GB2312" w:hint="eastAsia"/>
          <w:sz w:val="32"/>
          <w:szCs w:val="32"/>
        </w:rPr>
        <w:t>，导致此项经费减少</w:t>
      </w:r>
      <w:r>
        <w:rPr>
          <w:rFonts w:ascii="仿宋_GB2312" w:eastAsia="仿宋_GB2312" w:hint="eastAsia"/>
          <w:sz w:val="32"/>
          <w:szCs w:val="32"/>
        </w:rPr>
        <w:t>。</w:t>
      </w:r>
    </w:p>
    <w:p w14:paraId="555AEC00" w14:textId="77777777" w:rsidR="00553F9D" w:rsidRDefault="00000000">
      <w:pPr>
        <w:widowControl/>
        <w:ind w:firstLineChars="200" w:firstLine="640"/>
        <w:rPr>
          <w:rFonts w:ascii="仿宋_GB2312" w:eastAsia="仿宋_GB2312"/>
          <w:sz w:val="32"/>
          <w:szCs w:val="32"/>
        </w:rPr>
      </w:pPr>
      <w:r>
        <w:rPr>
          <w:rFonts w:ascii="仿宋_GB2312" w:eastAsia="仿宋_GB2312"/>
          <w:sz w:val="32"/>
          <w:szCs w:val="32"/>
        </w:rPr>
        <w:t>14、住房保障支出（类）住房改革支出（款）住房公积金（项）：支出决算数为68.87万元，比上年决算增加3.46万元，增长5.29%，主要原因是：</w:t>
      </w:r>
      <w:r>
        <w:rPr>
          <w:rFonts w:ascii="仿宋_GB2312" w:eastAsia="仿宋_GB2312" w:hint="eastAsia"/>
          <w:sz w:val="32"/>
          <w:szCs w:val="32"/>
        </w:rPr>
        <w:t>单位本年在职人员增加，住房公积金支出增加。</w:t>
      </w:r>
    </w:p>
    <w:p w14:paraId="37BF0D97" w14:textId="7C0823DF" w:rsidR="00553F9D" w:rsidRDefault="00000000">
      <w:pPr>
        <w:widowControl/>
        <w:ind w:firstLineChars="200" w:firstLine="640"/>
        <w:rPr>
          <w:rFonts w:ascii="仿宋_GB2312" w:eastAsia="仿宋_GB2312"/>
          <w:sz w:val="32"/>
          <w:szCs w:val="32"/>
        </w:rPr>
      </w:pPr>
      <w:r>
        <w:rPr>
          <w:rFonts w:ascii="仿宋_GB2312" w:eastAsia="仿宋_GB2312"/>
          <w:sz w:val="32"/>
          <w:szCs w:val="32"/>
        </w:rPr>
        <w:t>15、其他支出（类）其他支出（款）其他支出（项）：支出决算数为15.00万元，比上年决算增加7.19万元，增长92.06%，主要原因是：</w:t>
      </w:r>
      <w:r w:rsidR="00923644">
        <w:rPr>
          <w:rFonts w:ascii="仿宋_GB2312" w:eastAsia="仿宋_GB2312" w:hint="eastAsia"/>
          <w:sz w:val="32"/>
          <w:szCs w:val="32"/>
        </w:rPr>
        <w:t>本年</w:t>
      </w:r>
      <w:r>
        <w:rPr>
          <w:rFonts w:ascii="仿宋_GB2312" w:eastAsia="仿宋_GB2312" w:hint="eastAsia"/>
          <w:sz w:val="32"/>
          <w:szCs w:val="32"/>
        </w:rPr>
        <w:t>自治区工作专项经费较上年增加。</w:t>
      </w:r>
    </w:p>
    <w:p w14:paraId="7E37F890" w14:textId="77777777" w:rsidR="00553F9D" w:rsidRDefault="00000000">
      <w:pPr>
        <w:widowControl/>
        <w:ind w:firstLineChars="200" w:firstLine="640"/>
        <w:jc w:val="left"/>
        <w:outlineLvl w:val="1"/>
        <w:rPr>
          <w:rFonts w:ascii="黑体" w:eastAsia="黑体"/>
          <w:sz w:val="32"/>
          <w:szCs w:val="32"/>
        </w:rPr>
      </w:pPr>
      <w:r>
        <w:rPr>
          <w:rFonts w:ascii="黑体" w:eastAsia="黑体"/>
          <w:sz w:val="32"/>
          <w:szCs w:val="32"/>
        </w:rPr>
        <w:t>六、一般公共预算财政拨款基本支出决算情况说明</w:t>
      </w:r>
    </w:p>
    <w:p w14:paraId="17812A15" w14:textId="77777777" w:rsidR="00553F9D" w:rsidRDefault="00000000">
      <w:pPr>
        <w:widowControl/>
        <w:ind w:firstLineChars="200" w:firstLine="640"/>
        <w:rPr>
          <w:rFonts w:ascii="仿宋_GB2312" w:eastAsia="仿宋_GB2312"/>
          <w:sz w:val="32"/>
          <w:szCs w:val="32"/>
        </w:rPr>
      </w:pPr>
      <w:r>
        <w:rPr>
          <w:rFonts w:ascii="仿宋_GB2312" w:eastAsia="仿宋_GB2312"/>
          <w:sz w:val="32"/>
          <w:szCs w:val="32"/>
        </w:rPr>
        <w:lastRenderedPageBreak/>
        <w:t>2024年度一般公共预算财政拨款基本支出1,040.68万元，其中：人员经费975.87万元，包括：基本工资、津贴补贴、奖金、绩效工资、机关事业单位基本养老保险缴费、职业年金缴费、职工基本医疗保险缴费、公务员医疗补助缴费、其他社会保障缴费、住房公积金、其他工资福利支出、退休费、抚恤金、生活补助和奖励金。</w:t>
      </w:r>
    </w:p>
    <w:p w14:paraId="3FAAFADF" w14:textId="77777777" w:rsidR="00553F9D" w:rsidRDefault="00000000">
      <w:pPr>
        <w:widowControl/>
        <w:ind w:firstLineChars="200" w:firstLine="640"/>
        <w:rPr>
          <w:rFonts w:ascii="仿宋_GB2312" w:eastAsia="仿宋_GB2312"/>
          <w:sz w:val="32"/>
          <w:szCs w:val="32"/>
        </w:rPr>
      </w:pPr>
      <w:r>
        <w:rPr>
          <w:rFonts w:ascii="仿宋_GB2312" w:eastAsia="仿宋_GB2312"/>
          <w:sz w:val="32"/>
          <w:szCs w:val="32"/>
        </w:rPr>
        <w:t>公用经费64.81万元，包括：办公费、印刷费、电费、邮电费、差旅费、维修（护）费、劳务费和工会经费。</w:t>
      </w:r>
    </w:p>
    <w:p w14:paraId="236F2B6F" w14:textId="77777777" w:rsidR="00553F9D" w:rsidRDefault="00000000">
      <w:pPr>
        <w:widowControl/>
        <w:ind w:firstLineChars="200" w:firstLine="640"/>
        <w:jc w:val="left"/>
        <w:outlineLvl w:val="1"/>
        <w:rPr>
          <w:rFonts w:ascii="黑体" w:eastAsia="黑体"/>
          <w:sz w:val="32"/>
          <w:szCs w:val="32"/>
        </w:rPr>
      </w:pPr>
      <w:r>
        <w:rPr>
          <w:rFonts w:ascii="黑体" w:eastAsia="黑体"/>
          <w:sz w:val="32"/>
          <w:szCs w:val="32"/>
        </w:rPr>
        <w:t>七、政府性基金预算财政拨款收入支出决算情况说明</w:t>
      </w:r>
    </w:p>
    <w:p w14:paraId="33200922" w14:textId="77777777" w:rsidR="00553F9D" w:rsidRDefault="00000000">
      <w:pPr>
        <w:widowControl/>
        <w:ind w:firstLineChars="200" w:firstLine="640"/>
        <w:rPr>
          <w:rFonts w:ascii="仿宋_GB2312" w:eastAsia="仿宋_GB2312"/>
          <w:sz w:val="32"/>
          <w:szCs w:val="32"/>
        </w:rPr>
      </w:pPr>
      <w:r>
        <w:rPr>
          <w:rFonts w:ascii="仿宋_GB2312" w:eastAsia="仿宋_GB2312"/>
          <w:sz w:val="32"/>
          <w:szCs w:val="32"/>
        </w:rPr>
        <w:t>本单位本年度无政府性基金预算财政拨款收入、支出及结转和结余，政府性基金预算财政拨款收入支出决算表为空表。</w:t>
      </w:r>
    </w:p>
    <w:p w14:paraId="3383C901" w14:textId="77777777" w:rsidR="00553F9D" w:rsidRDefault="00000000">
      <w:pPr>
        <w:widowControl/>
        <w:ind w:firstLineChars="200" w:firstLine="640"/>
        <w:jc w:val="left"/>
        <w:outlineLvl w:val="1"/>
        <w:rPr>
          <w:rFonts w:ascii="黑体" w:eastAsia="黑体"/>
          <w:sz w:val="32"/>
          <w:szCs w:val="32"/>
        </w:rPr>
      </w:pPr>
      <w:r>
        <w:rPr>
          <w:rFonts w:ascii="黑体" w:eastAsia="黑体"/>
          <w:sz w:val="32"/>
          <w:szCs w:val="32"/>
        </w:rPr>
        <w:t>八、国有资本经营预算财政拨款收入支出决算情况说明</w:t>
      </w:r>
    </w:p>
    <w:p w14:paraId="632EB74B" w14:textId="77777777" w:rsidR="00553F9D" w:rsidRDefault="00000000">
      <w:pPr>
        <w:widowControl/>
        <w:ind w:firstLineChars="200" w:firstLine="640"/>
        <w:rPr>
          <w:rFonts w:ascii="仿宋_GB2312" w:eastAsia="仿宋_GB2312"/>
          <w:sz w:val="32"/>
          <w:szCs w:val="32"/>
        </w:rPr>
      </w:pPr>
      <w:r>
        <w:rPr>
          <w:rFonts w:ascii="仿宋_GB2312" w:eastAsia="仿宋_GB2312"/>
          <w:sz w:val="32"/>
          <w:szCs w:val="32"/>
        </w:rPr>
        <w:t>本单位本年度无国有资本经营预算财政拨款收入、支出及结转和结余，国有资本经营预算财政拨款收入支出决算表为空表。</w:t>
      </w:r>
    </w:p>
    <w:p w14:paraId="719381F3" w14:textId="77777777" w:rsidR="00553F9D" w:rsidRDefault="00000000">
      <w:pPr>
        <w:widowControl/>
        <w:ind w:firstLineChars="200" w:firstLine="640"/>
        <w:jc w:val="left"/>
        <w:outlineLvl w:val="1"/>
        <w:rPr>
          <w:rFonts w:ascii="黑体" w:eastAsia="黑体"/>
          <w:sz w:val="32"/>
          <w:szCs w:val="32"/>
        </w:rPr>
      </w:pPr>
      <w:r>
        <w:rPr>
          <w:rFonts w:ascii="黑体" w:eastAsia="黑体"/>
          <w:sz w:val="32"/>
          <w:szCs w:val="32"/>
        </w:rPr>
        <w:t>九、财政拨款</w:t>
      </w:r>
      <w:r>
        <w:rPr>
          <w:rFonts w:ascii="黑体" w:eastAsia="黑体"/>
          <w:sz w:val="32"/>
          <w:szCs w:val="32"/>
        </w:rPr>
        <w:t>“</w:t>
      </w:r>
      <w:r>
        <w:rPr>
          <w:rFonts w:ascii="黑体" w:eastAsia="黑体"/>
          <w:sz w:val="32"/>
          <w:szCs w:val="32"/>
        </w:rPr>
        <w:t>三公</w:t>
      </w:r>
      <w:r>
        <w:rPr>
          <w:rFonts w:ascii="黑体" w:eastAsia="黑体"/>
          <w:sz w:val="32"/>
          <w:szCs w:val="32"/>
        </w:rPr>
        <w:t>”</w:t>
      </w:r>
      <w:r>
        <w:rPr>
          <w:rFonts w:ascii="黑体" w:eastAsia="黑体"/>
          <w:sz w:val="32"/>
          <w:szCs w:val="32"/>
        </w:rPr>
        <w:t>经费支出决算情况说明</w:t>
      </w:r>
    </w:p>
    <w:p w14:paraId="7FA7A913" w14:textId="20048F39" w:rsidR="00553F9D" w:rsidRDefault="00000000">
      <w:pPr>
        <w:widowControl/>
        <w:ind w:firstLineChars="200" w:firstLine="640"/>
        <w:rPr>
          <w:rFonts w:ascii="仿宋_GB2312" w:eastAsia="仿宋_GB2312"/>
          <w:sz w:val="32"/>
          <w:szCs w:val="32"/>
        </w:rPr>
      </w:pPr>
      <w:r>
        <w:rPr>
          <w:rFonts w:ascii="仿宋_GB2312" w:eastAsia="仿宋_GB2312"/>
          <w:sz w:val="32"/>
          <w:szCs w:val="32"/>
        </w:rPr>
        <w:t>2024年度财政拨款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经费支出5.50万元，</w:t>
      </w:r>
      <w:r w:rsidR="00923644">
        <w:rPr>
          <w:rFonts w:ascii="仿宋_GB2312" w:eastAsia="仿宋_GB2312"/>
          <w:sz w:val="32"/>
          <w:szCs w:val="32"/>
        </w:rPr>
        <w:t>与上年相比无变化</w:t>
      </w:r>
      <w:r>
        <w:rPr>
          <w:rFonts w:ascii="仿宋_GB2312" w:eastAsia="仿宋_GB2312"/>
          <w:sz w:val="32"/>
          <w:szCs w:val="32"/>
        </w:rPr>
        <w:t>，主要原因是：本年度较上年度相比无变化。其中：因公出国（境）费支出0.00万元,占0.00%，与上年相比无变化，主要原因是：</w:t>
      </w:r>
      <w:r>
        <w:rPr>
          <w:rFonts w:ascii="仿宋_GB2312" w:eastAsia="仿宋_GB2312" w:hint="eastAsia"/>
          <w:sz w:val="32"/>
          <w:szCs w:val="32"/>
        </w:rPr>
        <w:t>我单位上年度与本年度均无因公出国（境）费</w:t>
      </w:r>
      <w:r>
        <w:rPr>
          <w:rFonts w:ascii="仿宋_GB2312" w:eastAsia="仿宋_GB2312"/>
          <w:sz w:val="32"/>
          <w:szCs w:val="32"/>
        </w:rPr>
        <w:t>；公务用车购置及运行维护费支出5.50万元，占100.00%，</w:t>
      </w:r>
      <w:r w:rsidR="00923644">
        <w:rPr>
          <w:rFonts w:ascii="仿宋_GB2312" w:eastAsia="仿宋_GB2312"/>
          <w:sz w:val="32"/>
          <w:szCs w:val="32"/>
        </w:rPr>
        <w:t>与上年相比无变化</w:t>
      </w:r>
      <w:r>
        <w:rPr>
          <w:rFonts w:ascii="仿宋_GB2312" w:eastAsia="仿宋_GB2312"/>
          <w:sz w:val="32"/>
          <w:szCs w:val="32"/>
        </w:rPr>
        <w:t>，主要原因是：本年度较上年度相比无变化；公务接待费支出0.00万元，占0.00%，与上年相比无变化，主要原因是：</w:t>
      </w:r>
      <w:r>
        <w:rPr>
          <w:rFonts w:ascii="仿宋_GB2312" w:eastAsia="仿宋_GB2312" w:hint="eastAsia"/>
          <w:sz w:val="32"/>
          <w:szCs w:val="32"/>
        </w:rPr>
        <w:t>我单位上年度与本年度均无公务接待费</w:t>
      </w:r>
      <w:r>
        <w:rPr>
          <w:rFonts w:ascii="仿宋_GB2312" w:eastAsia="仿宋_GB2312"/>
          <w:sz w:val="32"/>
          <w:szCs w:val="32"/>
        </w:rPr>
        <w:t>。</w:t>
      </w:r>
    </w:p>
    <w:p w14:paraId="62B3C533" w14:textId="77777777" w:rsidR="00553F9D" w:rsidRDefault="00000000">
      <w:pPr>
        <w:widowControl/>
        <w:ind w:firstLineChars="200" w:firstLine="640"/>
        <w:jc w:val="left"/>
        <w:rPr>
          <w:rFonts w:ascii="仿宋_GB2312" w:eastAsia="仿宋_GB2312"/>
          <w:sz w:val="32"/>
          <w:szCs w:val="32"/>
        </w:rPr>
      </w:pPr>
      <w:r>
        <w:rPr>
          <w:rFonts w:ascii="仿宋_GB2312" w:eastAsia="仿宋_GB2312"/>
          <w:sz w:val="32"/>
          <w:szCs w:val="32"/>
        </w:rPr>
        <w:t>具体情况如下：</w:t>
      </w:r>
    </w:p>
    <w:p w14:paraId="73301E2C" w14:textId="77777777" w:rsidR="00553F9D" w:rsidRDefault="00000000">
      <w:pPr>
        <w:widowControl/>
        <w:ind w:firstLineChars="200" w:firstLine="640"/>
        <w:rPr>
          <w:rFonts w:ascii="仿宋_GB2312" w:eastAsia="仿宋_GB2312"/>
          <w:sz w:val="32"/>
          <w:szCs w:val="32"/>
        </w:rPr>
      </w:pPr>
      <w:r>
        <w:rPr>
          <w:rFonts w:ascii="仿宋_GB2312" w:eastAsia="仿宋_GB2312"/>
          <w:sz w:val="32"/>
          <w:szCs w:val="32"/>
        </w:rPr>
        <w:t>因公出国（境）费支出0.00万元，开支内容包括单位本年无</w:t>
      </w:r>
      <w:r>
        <w:rPr>
          <w:rFonts w:ascii="仿宋_GB2312" w:eastAsia="仿宋_GB2312" w:hint="eastAsia"/>
          <w:sz w:val="32"/>
          <w:szCs w:val="32"/>
        </w:rPr>
        <w:t>因公出国（境）费</w:t>
      </w:r>
      <w:r>
        <w:rPr>
          <w:rFonts w:ascii="仿宋_GB2312" w:eastAsia="仿宋_GB2312"/>
          <w:sz w:val="32"/>
          <w:szCs w:val="32"/>
        </w:rPr>
        <w:t>。单位全年安排的因公出国（境）团组0个，因公出国（境）0人次。</w:t>
      </w:r>
    </w:p>
    <w:p w14:paraId="7E0E80AD" w14:textId="77777777" w:rsidR="00553F9D" w:rsidRDefault="00000000">
      <w:pPr>
        <w:widowControl/>
        <w:ind w:firstLineChars="200" w:firstLine="640"/>
        <w:rPr>
          <w:rFonts w:ascii="仿宋_GB2312" w:eastAsia="仿宋_GB2312"/>
          <w:sz w:val="32"/>
          <w:szCs w:val="32"/>
        </w:rPr>
      </w:pPr>
      <w:r>
        <w:rPr>
          <w:rFonts w:ascii="仿宋_GB2312" w:eastAsia="仿宋_GB2312"/>
          <w:sz w:val="32"/>
          <w:szCs w:val="32"/>
        </w:rPr>
        <w:t>公务用车购置及运行维护费5.50万元，其中：公务用车购置费0.00万元，公务用车运行维护费5.50万元。公务用车运行维护费开支内容包括</w:t>
      </w:r>
      <w:r>
        <w:rPr>
          <w:rFonts w:ascii="仿宋_GB2312" w:eastAsia="仿宋_GB2312" w:hint="eastAsia"/>
          <w:sz w:val="32"/>
          <w:szCs w:val="32"/>
        </w:rPr>
        <w:t>公务用车维修维护费、燃油费、保险</w:t>
      </w:r>
      <w:r>
        <w:rPr>
          <w:rFonts w:ascii="仿宋_GB2312" w:eastAsia="仿宋_GB2312" w:hint="eastAsia"/>
          <w:sz w:val="32"/>
          <w:szCs w:val="32"/>
        </w:rPr>
        <w:lastRenderedPageBreak/>
        <w:t>费、过路费等</w:t>
      </w:r>
      <w:r>
        <w:rPr>
          <w:rFonts w:ascii="仿宋_GB2312" w:eastAsia="仿宋_GB2312"/>
          <w:sz w:val="32"/>
          <w:szCs w:val="32"/>
        </w:rPr>
        <w:t>。公务用车购置数0辆，公务用车保有量5辆。国有资产占用情况中固定资产车辆9辆，与公务用车保有量差异原因是：</w:t>
      </w:r>
      <w:r>
        <w:rPr>
          <w:rFonts w:ascii="仿宋_GB2312" w:eastAsia="仿宋_GB2312" w:hint="eastAsia"/>
          <w:sz w:val="32"/>
          <w:szCs w:val="32"/>
        </w:rPr>
        <w:t>差异车辆为一般业务用车4辆，车辆费用未使用财政拨款公务用车运行维护费支付</w:t>
      </w:r>
      <w:r>
        <w:rPr>
          <w:rFonts w:ascii="仿宋_GB2312" w:eastAsia="仿宋_GB2312"/>
          <w:sz w:val="32"/>
          <w:szCs w:val="32"/>
        </w:rPr>
        <w:t>。</w:t>
      </w:r>
    </w:p>
    <w:p w14:paraId="3727749B" w14:textId="77777777" w:rsidR="00553F9D" w:rsidRDefault="00000000">
      <w:pPr>
        <w:widowControl/>
        <w:ind w:firstLineChars="200" w:firstLine="640"/>
        <w:rPr>
          <w:rFonts w:ascii="仿宋_GB2312" w:eastAsia="仿宋_GB2312"/>
          <w:sz w:val="32"/>
          <w:szCs w:val="32"/>
        </w:rPr>
      </w:pPr>
      <w:r>
        <w:rPr>
          <w:rFonts w:ascii="仿宋_GB2312" w:eastAsia="仿宋_GB2312"/>
          <w:sz w:val="32"/>
          <w:szCs w:val="32"/>
        </w:rPr>
        <w:t>公务接待费0.00万元，开支内容包括单位本年无</w:t>
      </w:r>
      <w:r>
        <w:rPr>
          <w:rFonts w:ascii="仿宋_GB2312" w:eastAsia="仿宋_GB2312" w:hint="eastAsia"/>
          <w:sz w:val="32"/>
          <w:szCs w:val="32"/>
        </w:rPr>
        <w:t>公务接待费</w:t>
      </w:r>
      <w:r>
        <w:rPr>
          <w:rFonts w:ascii="仿宋_GB2312" w:eastAsia="仿宋_GB2312"/>
          <w:sz w:val="32"/>
          <w:szCs w:val="32"/>
        </w:rPr>
        <w:t>。单位全年安排的国内公务接待0批次，0人次。</w:t>
      </w:r>
    </w:p>
    <w:p w14:paraId="32C11D2A" w14:textId="77777777" w:rsidR="00553F9D" w:rsidRDefault="00000000">
      <w:pPr>
        <w:widowControl/>
        <w:ind w:firstLineChars="200" w:firstLine="640"/>
        <w:rPr>
          <w:rFonts w:ascii="仿宋_GB2312" w:eastAsia="仿宋_GB2312"/>
          <w:sz w:val="32"/>
          <w:szCs w:val="32"/>
        </w:rPr>
      </w:pPr>
      <w:r>
        <w:rPr>
          <w:rFonts w:ascii="仿宋_GB2312" w:eastAsia="仿宋_GB2312"/>
          <w:sz w:val="32"/>
          <w:szCs w:val="32"/>
        </w:rPr>
        <w:t>与全年预算相比，财政拨款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经费支出全年预算数5.50万元，决算数5.50万元，预决算差异率0.00%，主要原因是：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。其中：因公出国（境）费全年预算数0.00万元，决算数0.00万元，预决算差异率0.00%，主要原因是：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；公务用车购置费全年预算数0.00万元，决算数0.00万元，预决算差异率0.00%，主要原因是：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；公务用车运行维护费全年预算数5.50万元，决算数5.50万元，预决算差异率0.00%，主要原因是：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；公务接待费全年预算数0.00万元，决算数0.00万元，预决算差异率0.00%，主要原因是：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w:t>
      </w:r>
    </w:p>
    <w:p w14:paraId="3E9DD2BA" w14:textId="77777777" w:rsidR="00553F9D" w:rsidRDefault="00000000">
      <w:pPr>
        <w:widowControl/>
        <w:ind w:firstLineChars="200" w:firstLine="640"/>
        <w:jc w:val="left"/>
        <w:outlineLvl w:val="1"/>
        <w:rPr>
          <w:rFonts w:ascii="黑体" w:eastAsia="黑体"/>
          <w:sz w:val="32"/>
          <w:szCs w:val="32"/>
        </w:rPr>
      </w:pPr>
      <w:r>
        <w:rPr>
          <w:rFonts w:ascii="黑体" w:eastAsia="黑体"/>
          <w:sz w:val="32"/>
          <w:szCs w:val="32"/>
        </w:rPr>
        <w:t>十、其他重要事项的情况说明</w:t>
      </w:r>
    </w:p>
    <w:p w14:paraId="61D6E3A1" w14:textId="77777777" w:rsidR="00553F9D" w:rsidRDefault="00000000">
      <w:pPr>
        <w:widowControl/>
        <w:ind w:firstLineChars="200" w:firstLine="640"/>
        <w:jc w:val="left"/>
        <w:outlineLvl w:val="2"/>
        <w:rPr>
          <w:rFonts w:ascii="黑体" w:eastAsia="黑体"/>
          <w:sz w:val="32"/>
          <w:szCs w:val="32"/>
        </w:rPr>
      </w:pPr>
      <w:r>
        <w:rPr>
          <w:rFonts w:ascii="黑体" w:eastAsia="黑体"/>
          <w:sz w:val="32"/>
          <w:szCs w:val="32"/>
        </w:rPr>
        <w:t>（一）机关运行经费及公用经费支出情况</w:t>
      </w:r>
    </w:p>
    <w:p w14:paraId="22968D91" w14:textId="77777777" w:rsidR="00553F9D" w:rsidRDefault="00000000">
      <w:pPr>
        <w:widowControl/>
        <w:ind w:firstLineChars="200" w:firstLine="640"/>
        <w:rPr>
          <w:rFonts w:ascii="仿宋_GB2312" w:eastAsia="仿宋_GB2312"/>
          <w:sz w:val="32"/>
          <w:szCs w:val="32"/>
        </w:rPr>
      </w:pPr>
      <w:r>
        <w:rPr>
          <w:rFonts w:ascii="仿宋_GB2312" w:eastAsia="仿宋_GB2312"/>
          <w:sz w:val="32"/>
          <w:szCs w:val="32"/>
        </w:rPr>
        <w:t>2024年度奇台县司法局单位（行政单位和参照公务员法管理事业单位）机关运行经费支出64.81万元，比上年增加21.05万元，增长48.10%，主要原因是：</w:t>
      </w:r>
      <w:r>
        <w:rPr>
          <w:rFonts w:ascii="仿宋_GB2312" w:eastAsia="仿宋_GB2312" w:hint="eastAsia"/>
          <w:sz w:val="32"/>
          <w:szCs w:val="32"/>
        </w:rPr>
        <w:t>单位本年印刷费、劳务费、工会经费等费用增加。</w:t>
      </w:r>
    </w:p>
    <w:p w14:paraId="6F60BD5C" w14:textId="77777777" w:rsidR="00553F9D" w:rsidRDefault="00000000">
      <w:pPr>
        <w:widowControl/>
        <w:ind w:firstLineChars="200" w:firstLine="640"/>
        <w:jc w:val="left"/>
        <w:outlineLvl w:val="2"/>
        <w:rPr>
          <w:rFonts w:ascii="黑体" w:eastAsia="黑体"/>
          <w:sz w:val="32"/>
          <w:szCs w:val="32"/>
        </w:rPr>
      </w:pPr>
      <w:r>
        <w:rPr>
          <w:rFonts w:ascii="黑体" w:eastAsia="黑体"/>
          <w:sz w:val="32"/>
          <w:szCs w:val="32"/>
        </w:rPr>
        <w:t>（二）政府采购情况</w:t>
      </w:r>
    </w:p>
    <w:p w14:paraId="4FC409C5" w14:textId="77777777" w:rsidR="00553F9D" w:rsidRDefault="00000000">
      <w:pPr>
        <w:widowControl/>
        <w:ind w:firstLineChars="200" w:firstLine="640"/>
        <w:rPr>
          <w:rFonts w:ascii="仿宋_GB2312" w:eastAsia="仿宋_GB2312"/>
          <w:sz w:val="32"/>
          <w:szCs w:val="32"/>
        </w:rPr>
      </w:pPr>
      <w:r>
        <w:rPr>
          <w:rFonts w:ascii="仿宋_GB2312" w:eastAsia="仿宋_GB2312"/>
          <w:sz w:val="32"/>
          <w:szCs w:val="32"/>
        </w:rPr>
        <w:t>2024年度政府采购支出总额54.96万元，其中：政府采购货物支出19.54万元、政府采购工程支出33.37万元、政府采购服务支出2.05万元。</w:t>
      </w:r>
    </w:p>
    <w:p w14:paraId="4C7EB4DC" w14:textId="77777777" w:rsidR="00553F9D" w:rsidRDefault="00000000">
      <w:pPr>
        <w:widowControl/>
        <w:ind w:firstLineChars="200" w:firstLine="640"/>
        <w:rPr>
          <w:rFonts w:ascii="仿宋_GB2312" w:eastAsia="仿宋_GB2312"/>
          <w:sz w:val="32"/>
          <w:szCs w:val="32"/>
        </w:rPr>
      </w:pPr>
      <w:r>
        <w:rPr>
          <w:rFonts w:ascii="仿宋_GB2312" w:eastAsia="仿宋_GB2312"/>
          <w:sz w:val="32"/>
          <w:szCs w:val="32"/>
        </w:rPr>
        <w:t>授予中小企业合同金额54.33万元，占政府采购支出总额的98.85%，其中：授予小微企业合同金额52.64万元，占政府采购支出总额的95.78%。</w:t>
      </w:r>
    </w:p>
    <w:p w14:paraId="470F5921" w14:textId="77777777" w:rsidR="00553F9D" w:rsidRDefault="00000000">
      <w:pPr>
        <w:widowControl/>
        <w:ind w:firstLineChars="200" w:firstLine="640"/>
        <w:jc w:val="left"/>
        <w:outlineLvl w:val="2"/>
        <w:rPr>
          <w:rFonts w:ascii="黑体" w:eastAsia="黑体"/>
          <w:sz w:val="32"/>
          <w:szCs w:val="32"/>
        </w:rPr>
      </w:pPr>
      <w:r>
        <w:rPr>
          <w:rFonts w:ascii="黑体" w:eastAsia="黑体"/>
          <w:sz w:val="32"/>
          <w:szCs w:val="32"/>
        </w:rPr>
        <w:lastRenderedPageBreak/>
        <w:t>（三）国有资产占用情况说明</w:t>
      </w:r>
    </w:p>
    <w:p w14:paraId="01D35318" w14:textId="77777777" w:rsidR="00553F9D" w:rsidRDefault="00000000">
      <w:pPr>
        <w:widowControl/>
        <w:ind w:firstLineChars="200" w:firstLine="640"/>
        <w:rPr>
          <w:rFonts w:ascii="仿宋_GB2312" w:eastAsia="仿宋_GB2312"/>
          <w:sz w:val="32"/>
          <w:szCs w:val="32"/>
        </w:rPr>
      </w:pPr>
      <w:r>
        <w:rPr>
          <w:rFonts w:ascii="仿宋_GB2312" w:eastAsia="仿宋_GB2312"/>
          <w:sz w:val="32"/>
          <w:szCs w:val="32"/>
        </w:rPr>
        <w:t>截至2024年12月31日，房屋4,576.44平方米，价值1,106.15万元。车辆9辆，价值133.42万元，其中：副部（省）级及以上领导用车0辆、主要负责人用车0辆、机要通信用车0辆、应急保障用车0辆、执法执勤用车2辆、特种专业技术用车1辆、离退休干部服务用车0辆、其他用车6辆，其他用车主要是：业务用车;单价100万元（含）以上设备（不含车辆）0台（套）。</w:t>
      </w:r>
    </w:p>
    <w:p w14:paraId="6B1D63C7" w14:textId="77777777" w:rsidR="00553F9D" w:rsidRDefault="00000000">
      <w:pPr>
        <w:widowControl/>
        <w:ind w:firstLineChars="200" w:firstLine="640"/>
        <w:jc w:val="left"/>
        <w:outlineLvl w:val="1"/>
        <w:rPr>
          <w:rFonts w:ascii="黑体" w:eastAsia="黑体"/>
          <w:sz w:val="32"/>
          <w:szCs w:val="32"/>
        </w:rPr>
      </w:pPr>
      <w:r>
        <w:rPr>
          <w:rFonts w:ascii="黑体" w:eastAsia="黑体"/>
          <w:sz w:val="32"/>
          <w:szCs w:val="32"/>
        </w:rPr>
        <w:t>十一、预算绩效的情况说明</w:t>
      </w:r>
    </w:p>
    <w:p w14:paraId="0DFA6ACD" w14:textId="4B014B6D" w:rsidR="00553F9D" w:rsidRDefault="00000000">
      <w:pPr>
        <w:widowControl/>
        <w:ind w:firstLineChars="200" w:firstLine="640"/>
        <w:rPr>
          <w:rFonts w:ascii="仿宋_GB2312" w:eastAsia="仿宋_GB2312"/>
          <w:sz w:val="32"/>
          <w:szCs w:val="32"/>
        </w:rPr>
      </w:pPr>
      <w:r>
        <w:rPr>
          <w:rFonts w:ascii="仿宋_GB2312" w:eastAsia="仿宋_GB2312"/>
          <w:sz w:val="32"/>
          <w:szCs w:val="32"/>
        </w:rPr>
        <w:t>根据预算绩效管理要求，本单位2024年度预算绩效管理形成整体支出绩效自评表1个，全年预算总额1,414.92万元，实际执行总额1,414.92万元；预算绩效评价项目</w:t>
      </w:r>
      <w:r w:rsidR="00923644">
        <w:rPr>
          <w:rFonts w:ascii="仿宋_GB2312" w:eastAsia="仿宋_GB2312" w:hint="eastAsia"/>
          <w:sz w:val="32"/>
          <w:szCs w:val="32"/>
        </w:rPr>
        <w:t>2</w:t>
      </w:r>
      <w:r>
        <w:rPr>
          <w:rFonts w:ascii="仿宋_GB2312" w:eastAsia="仿宋_GB2312"/>
          <w:sz w:val="32"/>
          <w:szCs w:val="32"/>
        </w:rPr>
        <w:t>个，全年预算数</w:t>
      </w:r>
      <w:r>
        <w:rPr>
          <w:rFonts w:ascii="仿宋_GB2312" w:eastAsia="仿宋_GB2312" w:hint="eastAsia"/>
          <w:sz w:val="32"/>
          <w:szCs w:val="32"/>
        </w:rPr>
        <w:t>226.00</w:t>
      </w:r>
      <w:r>
        <w:rPr>
          <w:rFonts w:ascii="仿宋_GB2312" w:eastAsia="仿宋_GB2312"/>
          <w:sz w:val="32"/>
          <w:szCs w:val="32"/>
        </w:rPr>
        <w:t>万元，全年执行数</w:t>
      </w:r>
      <w:r>
        <w:rPr>
          <w:rFonts w:ascii="仿宋_GB2312" w:eastAsia="仿宋_GB2312" w:hint="eastAsia"/>
          <w:sz w:val="32"/>
          <w:szCs w:val="32"/>
        </w:rPr>
        <w:t>224.31</w:t>
      </w:r>
      <w:r>
        <w:rPr>
          <w:rFonts w:ascii="仿宋_GB2312" w:eastAsia="仿宋_GB2312"/>
          <w:sz w:val="32"/>
          <w:szCs w:val="32"/>
        </w:rPr>
        <w:t>万元。</w:t>
      </w:r>
      <w:r>
        <w:rPr>
          <w:rFonts w:ascii="仿宋_GB2312" w:eastAsia="仿宋_GB2312" w:hint="eastAsia"/>
          <w:sz w:val="32"/>
          <w:szCs w:val="32"/>
        </w:rPr>
        <w:t>预算绩效管理取得的成效：一是通过预算绩效管理，规范了项目资金的使用，不断提高专项资金使用效益，加强了项目资金的管理；二是实行预算绩效管理，推进项目的实施进度。发现的问题及原因：一是项目实施中出现进度缓慢的现象，组织实施绩效管理的程序、步骤、方法、原则和要求进行统一的规定；二是资金管理不够规范，项目实施过程中的上报、跟踪、反馈机制尚未真正形成，对本项目资金的使用、实施等监管措施仍然存在改进的空间建议以规章规则的形式，出台绩效管理制度，对绩效管理的目的、意义、性质和特点。下一步改进措施：一是继续规范资金管理，全面做好项目绩效预算；二是业务部门进行指导、监督和检查时进一步加强主动性，积极探索更有效和积极主动的监管方式。</w:t>
      </w:r>
      <w:r>
        <w:rPr>
          <w:rFonts w:ascii="仿宋_GB2312" w:eastAsia="仿宋_GB2312"/>
          <w:sz w:val="32"/>
          <w:szCs w:val="32"/>
        </w:rPr>
        <w:t>具体附部门整体支出绩效自评表，项目支出绩效自评表和部门评价报告。</w:t>
      </w:r>
    </w:p>
    <w:p w14:paraId="3FB794C5" w14:textId="77777777" w:rsidR="00553F9D" w:rsidRDefault="00000000">
      <w:pPr>
        <w:jc w:val="center"/>
        <w:rPr>
          <w:rFonts w:ascii="宋体" w:eastAsia="宋体" w:hAnsi="宋体" w:cs="宋体" w:hint="eastAsia"/>
          <w:b/>
          <w:bCs/>
          <w:sz w:val="28"/>
          <w:szCs w:val="28"/>
        </w:rPr>
      </w:pPr>
      <w:r>
        <w:rPr>
          <w:rFonts w:ascii="宋体" w:eastAsia="宋体" w:hAnsi="宋体" w:cs="宋体" w:hint="eastAsia"/>
          <w:b/>
          <w:bCs/>
          <w:sz w:val="28"/>
          <w:szCs w:val="28"/>
        </w:rPr>
        <w:t>部门（单位）整体支出绩效目标自评表</w:t>
      </w:r>
    </w:p>
    <w:p w14:paraId="33805B9A" w14:textId="77777777" w:rsidR="00553F9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024"/>
        <w:gridCol w:w="630"/>
        <w:gridCol w:w="660"/>
      </w:tblGrid>
      <w:tr w:rsidR="00553F9D" w14:paraId="7027B5D3"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7B89C58C" w14:textId="77777777" w:rsidR="00553F9D"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部门（单位）名称</w:t>
            </w:r>
          </w:p>
        </w:tc>
        <w:tc>
          <w:tcPr>
            <w:tcW w:w="8282" w:type="dxa"/>
            <w:gridSpan w:val="7"/>
            <w:tcBorders>
              <w:top w:val="single" w:sz="4" w:space="0" w:color="auto"/>
              <w:left w:val="nil"/>
              <w:bottom w:val="single" w:sz="4" w:space="0" w:color="auto"/>
              <w:right w:val="single" w:sz="4" w:space="0" w:color="auto"/>
            </w:tcBorders>
            <w:noWrap/>
            <w:vAlign w:val="center"/>
          </w:tcPr>
          <w:p w14:paraId="11A557AF" w14:textId="77777777" w:rsidR="00553F9D"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奇台县司法局</w:t>
            </w:r>
          </w:p>
        </w:tc>
        <w:tc>
          <w:tcPr>
            <w:tcW w:w="660" w:type="dxa"/>
            <w:tcBorders>
              <w:top w:val="nil"/>
              <w:left w:val="nil"/>
              <w:bottom w:val="nil"/>
              <w:right w:val="nil"/>
            </w:tcBorders>
            <w:noWrap/>
            <w:vAlign w:val="center"/>
          </w:tcPr>
          <w:p w14:paraId="56392486" w14:textId="77777777" w:rsidR="00553F9D" w:rsidRDefault="00553F9D">
            <w:pPr>
              <w:widowControl/>
              <w:jc w:val="left"/>
              <w:rPr>
                <w:rFonts w:ascii="宋体" w:eastAsia="宋体" w:hAnsi="宋体" w:cs="宋体" w:hint="eastAsia"/>
                <w:b/>
                <w:bCs/>
                <w:sz w:val="18"/>
                <w:szCs w:val="18"/>
              </w:rPr>
            </w:pPr>
          </w:p>
        </w:tc>
      </w:tr>
      <w:tr w:rsidR="00553F9D" w14:paraId="0788EDCC"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2BE19E7D" w14:textId="77777777" w:rsidR="00553F9D"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部门资金（万元）</w:t>
            </w:r>
          </w:p>
        </w:tc>
        <w:tc>
          <w:tcPr>
            <w:tcW w:w="1417" w:type="dxa"/>
            <w:tcBorders>
              <w:top w:val="nil"/>
              <w:left w:val="nil"/>
              <w:bottom w:val="single" w:sz="4" w:space="0" w:color="auto"/>
              <w:right w:val="single" w:sz="4" w:space="0" w:color="auto"/>
            </w:tcBorders>
            <w:vAlign w:val="center"/>
          </w:tcPr>
          <w:p w14:paraId="0165025F" w14:textId="77777777" w:rsidR="00553F9D"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资金来源</w:t>
            </w:r>
          </w:p>
        </w:tc>
        <w:tc>
          <w:tcPr>
            <w:tcW w:w="1418" w:type="dxa"/>
            <w:tcBorders>
              <w:top w:val="nil"/>
              <w:left w:val="nil"/>
              <w:bottom w:val="single" w:sz="4" w:space="0" w:color="auto"/>
              <w:right w:val="single" w:sz="4" w:space="0" w:color="auto"/>
            </w:tcBorders>
            <w:vAlign w:val="center"/>
          </w:tcPr>
          <w:p w14:paraId="3838F42C" w14:textId="77777777" w:rsidR="00553F9D"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年初预算数</w:t>
            </w:r>
          </w:p>
        </w:tc>
        <w:tc>
          <w:tcPr>
            <w:tcW w:w="1242" w:type="dxa"/>
            <w:tcBorders>
              <w:top w:val="nil"/>
              <w:left w:val="nil"/>
              <w:bottom w:val="single" w:sz="4" w:space="0" w:color="auto"/>
              <w:right w:val="single" w:sz="4" w:space="0" w:color="auto"/>
            </w:tcBorders>
            <w:vAlign w:val="center"/>
          </w:tcPr>
          <w:p w14:paraId="1B614677" w14:textId="77777777" w:rsidR="00553F9D"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全年预算数</w:t>
            </w:r>
          </w:p>
        </w:tc>
        <w:tc>
          <w:tcPr>
            <w:tcW w:w="1417" w:type="dxa"/>
            <w:tcBorders>
              <w:top w:val="nil"/>
              <w:left w:val="nil"/>
              <w:bottom w:val="single" w:sz="4" w:space="0" w:color="auto"/>
              <w:right w:val="single" w:sz="4" w:space="0" w:color="auto"/>
            </w:tcBorders>
            <w:vAlign w:val="center"/>
          </w:tcPr>
          <w:p w14:paraId="34572E9E" w14:textId="77777777" w:rsidR="00553F9D"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全年执行数</w:t>
            </w:r>
          </w:p>
        </w:tc>
        <w:tc>
          <w:tcPr>
            <w:tcW w:w="1134" w:type="dxa"/>
            <w:tcBorders>
              <w:top w:val="nil"/>
              <w:left w:val="nil"/>
              <w:bottom w:val="single" w:sz="4" w:space="0" w:color="auto"/>
              <w:right w:val="single" w:sz="4" w:space="0" w:color="auto"/>
            </w:tcBorders>
            <w:vAlign w:val="center"/>
          </w:tcPr>
          <w:p w14:paraId="11886C8A" w14:textId="77777777" w:rsidR="00553F9D"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024" w:type="dxa"/>
            <w:tcBorders>
              <w:top w:val="nil"/>
              <w:left w:val="nil"/>
              <w:bottom w:val="single" w:sz="4" w:space="0" w:color="auto"/>
              <w:right w:val="single" w:sz="4" w:space="0" w:color="auto"/>
            </w:tcBorders>
            <w:vAlign w:val="center"/>
          </w:tcPr>
          <w:p w14:paraId="6D5FC5E9" w14:textId="77777777" w:rsidR="00553F9D"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执行率</w:t>
            </w:r>
          </w:p>
        </w:tc>
        <w:tc>
          <w:tcPr>
            <w:tcW w:w="630" w:type="dxa"/>
            <w:tcBorders>
              <w:top w:val="nil"/>
              <w:left w:val="nil"/>
              <w:bottom w:val="single" w:sz="4" w:space="0" w:color="auto"/>
              <w:right w:val="single" w:sz="4" w:space="0" w:color="auto"/>
            </w:tcBorders>
            <w:vAlign w:val="center"/>
          </w:tcPr>
          <w:p w14:paraId="543F5B6B" w14:textId="77777777" w:rsidR="00553F9D"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得分</w:t>
            </w:r>
          </w:p>
        </w:tc>
        <w:tc>
          <w:tcPr>
            <w:tcW w:w="660" w:type="dxa"/>
            <w:tcBorders>
              <w:top w:val="nil"/>
              <w:left w:val="nil"/>
              <w:bottom w:val="nil"/>
              <w:right w:val="nil"/>
            </w:tcBorders>
            <w:noWrap/>
            <w:vAlign w:val="center"/>
          </w:tcPr>
          <w:p w14:paraId="7A932CDF" w14:textId="77777777" w:rsidR="00553F9D" w:rsidRDefault="00553F9D">
            <w:pPr>
              <w:widowControl/>
              <w:jc w:val="center"/>
              <w:rPr>
                <w:rFonts w:ascii="宋体" w:eastAsia="宋体" w:hAnsi="宋体" w:cs="宋体" w:hint="eastAsia"/>
                <w:b/>
                <w:bCs/>
                <w:sz w:val="18"/>
                <w:szCs w:val="18"/>
              </w:rPr>
            </w:pPr>
          </w:p>
        </w:tc>
      </w:tr>
      <w:tr w:rsidR="00553F9D" w14:paraId="5877B3D1"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010C9B2F" w14:textId="77777777" w:rsidR="00553F9D" w:rsidRDefault="00553F9D">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57F39A19" w14:textId="77777777" w:rsidR="00553F9D"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上级资金</w:t>
            </w:r>
          </w:p>
        </w:tc>
        <w:tc>
          <w:tcPr>
            <w:tcW w:w="1418" w:type="dxa"/>
            <w:tcBorders>
              <w:top w:val="nil"/>
              <w:left w:val="nil"/>
              <w:bottom w:val="single" w:sz="4" w:space="0" w:color="auto"/>
              <w:right w:val="single" w:sz="4" w:space="0" w:color="auto"/>
            </w:tcBorders>
            <w:vAlign w:val="center"/>
          </w:tcPr>
          <w:p w14:paraId="2852A8AB" w14:textId="77777777" w:rsidR="00553F9D"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161.72</w:t>
            </w:r>
          </w:p>
        </w:tc>
        <w:tc>
          <w:tcPr>
            <w:tcW w:w="1242" w:type="dxa"/>
            <w:tcBorders>
              <w:top w:val="nil"/>
              <w:left w:val="nil"/>
              <w:bottom w:val="single" w:sz="4" w:space="0" w:color="auto"/>
              <w:right w:val="single" w:sz="4" w:space="0" w:color="auto"/>
            </w:tcBorders>
            <w:vAlign w:val="center"/>
          </w:tcPr>
          <w:p w14:paraId="3E4F586C" w14:textId="77777777" w:rsidR="00553F9D"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237.70</w:t>
            </w:r>
          </w:p>
        </w:tc>
        <w:tc>
          <w:tcPr>
            <w:tcW w:w="1417" w:type="dxa"/>
            <w:tcBorders>
              <w:top w:val="nil"/>
              <w:left w:val="nil"/>
              <w:bottom w:val="single" w:sz="4" w:space="0" w:color="auto"/>
              <w:right w:val="single" w:sz="4" w:space="0" w:color="auto"/>
            </w:tcBorders>
            <w:vAlign w:val="center"/>
          </w:tcPr>
          <w:p w14:paraId="0F550682" w14:textId="77777777" w:rsidR="00553F9D"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237.70</w:t>
            </w:r>
          </w:p>
        </w:tc>
        <w:tc>
          <w:tcPr>
            <w:tcW w:w="1134" w:type="dxa"/>
            <w:tcBorders>
              <w:top w:val="nil"/>
              <w:left w:val="nil"/>
              <w:bottom w:val="single" w:sz="4" w:space="0" w:color="auto"/>
              <w:right w:val="single" w:sz="4" w:space="0" w:color="auto"/>
            </w:tcBorders>
            <w:vAlign w:val="center"/>
          </w:tcPr>
          <w:p w14:paraId="737E6F4A" w14:textId="77777777" w:rsidR="00553F9D"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1024" w:type="dxa"/>
            <w:tcBorders>
              <w:top w:val="nil"/>
              <w:left w:val="nil"/>
              <w:bottom w:val="single" w:sz="4" w:space="0" w:color="auto"/>
              <w:right w:val="single" w:sz="4" w:space="0" w:color="auto"/>
            </w:tcBorders>
            <w:vAlign w:val="center"/>
          </w:tcPr>
          <w:p w14:paraId="311C5CA4" w14:textId="77777777" w:rsidR="00553F9D"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100%</w:t>
            </w:r>
          </w:p>
        </w:tc>
        <w:tc>
          <w:tcPr>
            <w:tcW w:w="630" w:type="dxa"/>
            <w:tcBorders>
              <w:top w:val="nil"/>
              <w:left w:val="nil"/>
              <w:bottom w:val="single" w:sz="4" w:space="0" w:color="auto"/>
              <w:right w:val="single" w:sz="4" w:space="0" w:color="auto"/>
            </w:tcBorders>
            <w:vAlign w:val="center"/>
          </w:tcPr>
          <w:p w14:paraId="338527A1" w14:textId="77777777" w:rsidR="00553F9D"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660" w:type="dxa"/>
            <w:tcBorders>
              <w:top w:val="nil"/>
              <w:left w:val="nil"/>
              <w:bottom w:val="nil"/>
              <w:right w:val="nil"/>
            </w:tcBorders>
            <w:noWrap/>
            <w:vAlign w:val="center"/>
          </w:tcPr>
          <w:p w14:paraId="46C1202C" w14:textId="77777777" w:rsidR="00553F9D" w:rsidRDefault="00553F9D">
            <w:pPr>
              <w:widowControl/>
              <w:jc w:val="center"/>
              <w:rPr>
                <w:rFonts w:ascii="宋体" w:eastAsia="宋体" w:hAnsi="宋体" w:cs="宋体" w:hint="eastAsia"/>
                <w:b/>
                <w:bCs/>
                <w:sz w:val="18"/>
                <w:szCs w:val="18"/>
              </w:rPr>
            </w:pPr>
          </w:p>
        </w:tc>
      </w:tr>
      <w:tr w:rsidR="00553F9D" w14:paraId="6120DFD1"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52894F9C" w14:textId="77777777" w:rsidR="00553F9D" w:rsidRDefault="00553F9D">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78FA591F" w14:textId="77777777" w:rsidR="00553F9D"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本级资金</w:t>
            </w:r>
          </w:p>
        </w:tc>
        <w:tc>
          <w:tcPr>
            <w:tcW w:w="1418" w:type="dxa"/>
            <w:tcBorders>
              <w:top w:val="nil"/>
              <w:left w:val="nil"/>
              <w:bottom w:val="single" w:sz="4" w:space="0" w:color="auto"/>
              <w:right w:val="single" w:sz="4" w:space="0" w:color="auto"/>
            </w:tcBorders>
            <w:vAlign w:val="center"/>
          </w:tcPr>
          <w:p w14:paraId="0D7288F0" w14:textId="77777777" w:rsidR="00553F9D"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1,002.36</w:t>
            </w:r>
          </w:p>
        </w:tc>
        <w:tc>
          <w:tcPr>
            <w:tcW w:w="1242" w:type="dxa"/>
            <w:tcBorders>
              <w:top w:val="nil"/>
              <w:left w:val="nil"/>
              <w:bottom w:val="single" w:sz="4" w:space="0" w:color="auto"/>
              <w:right w:val="single" w:sz="4" w:space="0" w:color="auto"/>
            </w:tcBorders>
            <w:vAlign w:val="center"/>
          </w:tcPr>
          <w:p w14:paraId="6D02AC4F" w14:textId="77777777" w:rsidR="00553F9D"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1,177.22</w:t>
            </w:r>
          </w:p>
        </w:tc>
        <w:tc>
          <w:tcPr>
            <w:tcW w:w="1417" w:type="dxa"/>
            <w:tcBorders>
              <w:top w:val="nil"/>
              <w:left w:val="nil"/>
              <w:bottom w:val="single" w:sz="4" w:space="0" w:color="auto"/>
              <w:right w:val="single" w:sz="4" w:space="0" w:color="auto"/>
            </w:tcBorders>
            <w:vAlign w:val="center"/>
          </w:tcPr>
          <w:p w14:paraId="2B4039EA" w14:textId="77777777" w:rsidR="00553F9D"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1,177.22</w:t>
            </w:r>
          </w:p>
        </w:tc>
        <w:tc>
          <w:tcPr>
            <w:tcW w:w="1134" w:type="dxa"/>
            <w:tcBorders>
              <w:top w:val="nil"/>
              <w:left w:val="nil"/>
              <w:bottom w:val="single" w:sz="4" w:space="0" w:color="auto"/>
              <w:right w:val="single" w:sz="4" w:space="0" w:color="auto"/>
            </w:tcBorders>
            <w:vAlign w:val="center"/>
          </w:tcPr>
          <w:p w14:paraId="3D4DF5A1" w14:textId="77777777" w:rsidR="00553F9D"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1024" w:type="dxa"/>
            <w:tcBorders>
              <w:top w:val="nil"/>
              <w:left w:val="nil"/>
              <w:bottom w:val="single" w:sz="4" w:space="0" w:color="auto"/>
              <w:right w:val="single" w:sz="4" w:space="0" w:color="auto"/>
            </w:tcBorders>
            <w:vAlign w:val="center"/>
          </w:tcPr>
          <w:p w14:paraId="4FDDB46E" w14:textId="77777777" w:rsidR="00553F9D"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630" w:type="dxa"/>
            <w:tcBorders>
              <w:top w:val="nil"/>
              <w:left w:val="nil"/>
              <w:bottom w:val="single" w:sz="4" w:space="0" w:color="auto"/>
              <w:right w:val="single" w:sz="4" w:space="0" w:color="auto"/>
            </w:tcBorders>
            <w:vAlign w:val="center"/>
          </w:tcPr>
          <w:p w14:paraId="3B1971F1" w14:textId="77777777" w:rsidR="00553F9D"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660" w:type="dxa"/>
            <w:tcBorders>
              <w:top w:val="nil"/>
              <w:left w:val="nil"/>
              <w:bottom w:val="nil"/>
              <w:right w:val="nil"/>
            </w:tcBorders>
            <w:noWrap/>
            <w:vAlign w:val="center"/>
          </w:tcPr>
          <w:p w14:paraId="006E2B9A" w14:textId="77777777" w:rsidR="00553F9D" w:rsidRDefault="00553F9D">
            <w:pPr>
              <w:widowControl/>
              <w:jc w:val="center"/>
              <w:rPr>
                <w:rFonts w:ascii="宋体" w:eastAsia="宋体" w:hAnsi="宋体" w:cs="宋体" w:hint="eastAsia"/>
                <w:sz w:val="18"/>
                <w:szCs w:val="18"/>
              </w:rPr>
            </w:pPr>
          </w:p>
        </w:tc>
      </w:tr>
      <w:tr w:rsidR="00553F9D" w14:paraId="03F6FFB6"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364044D8" w14:textId="77777777" w:rsidR="00553F9D" w:rsidRDefault="00553F9D">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07D6467C" w14:textId="77777777" w:rsidR="00553F9D"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其他资金</w:t>
            </w:r>
          </w:p>
        </w:tc>
        <w:tc>
          <w:tcPr>
            <w:tcW w:w="1418" w:type="dxa"/>
            <w:tcBorders>
              <w:top w:val="nil"/>
              <w:left w:val="nil"/>
              <w:bottom w:val="single" w:sz="4" w:space="0" w:color="auto"/>
              <w:right w:val="single" w:sz="4" w:space="0" w:color="auto"/>
            </w:tcBorders>
            <w:vAlign w:val="center"/>
          </w:tcPr>
          <w:p w14:paraId="219C7E1E" w14:textId="77777777" w:rsidR="00553F9D"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0AF6143B" w14:textId="77777777" w:rsidR="00553F9D"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2B5687E5" w14:textId="77777777" w:rsidR="00553F9D"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47C0CBBD" w14:textId="77777777" w:rsidR="00553F9D"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1024" w:type="dxa"/>
            <w:tcBorders>
              <w:top w:val="nil"/>
              <w:left w:val="nil"/>
              <w:bottom w:val="single" w:sz="4" w:space="0" w:color="auto"/>
              <w:right w:val="single" w:sz="4" w:space="0" w:color="auto"/>
            </w:tcBorders>
            <w:vAlign w:val="center"/>
          </w:tcPr>
          <w:p w14:paraId="6B0AFBD9" w14:textId="77777777" w:rsidR="00553F9D"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630" w:type="dxa"/>
            <w:tcBorders>
              <w:top w:val="nil"/>
              <w:left w:val="nil"/>
              <w:bottom w:val="single" w:sz="4" w:space="0" w:color="auto"/>
              <w:right w:val="single" w:sz="4" w:space="0" w:color="auto"/>
            </w:tcBorders>
            <w:vAlign w:val="center"/>
          </w:tcPr>
          <w:p w14:paraId="10A173BD" w14:textId="77777777" w:rsidR="00553F9D"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660" w:type="dxa"/>
            <w:tcBorders>
              <w:top w:val="nil"/>
              <w:left w:val="nil"/>
              <w:bottom w:val="nil"/>
              <w:right w:val="nil"/>
            </w:tcBorders>
            <w:noWrap/>
            <w:vAlign w:val="center"/>
          </w:tcPr>
          <w:p w14:paraId="56539FE6" w14:textId="77777777" w:rsidR="00553F9D" w:rsidRDefault="00553F9D">
            <w:pPr>
              <w:widowControl/>
              <w:jc w:val="center"/>
              <w:rPr>
                <w:rFonts w:ascii="宋体" w:eastAsia="宋体" w:hAnsi="宋体" w:cs="宋体" w:hint="eastAsia"/>
                <w:sz w:val="18"/>
                <w:szCs w:val="18"/>
              </w:rPr>
            </w:pPr>
          </w:p>
        </w:tc>
      </w:tr>
      <w:tr w:rsidR="00553F9D" w14:paraId="1A922AC9"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657FF3AF" w14:textId="77777777" w:rsidR="00553F9D" w:rsidRDefault="00553F9D">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317B9E5C" w14:textId="77777777" w:rsidR="00553F9D"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合计</w:t>
            </w:r>
          </w:p>
        </w:tc>
        <w:tc>
          <w:tcPr>
            <w:tcW w:w="1418" w:type="dxa"/>
            <w:tcBorders>
              <w:top w:val="nil"/>
              <w:left w:val="nil"/>
              <w:bottom w:val="single" w:sz="4" w:space="0" w:color="auto"/>
              <w:right w:val="single" w:sz="4" w:space="0" w:color="auto"/>
            </w:tcBorders>
            <w:vAlign w:val="center"/>
          </w:tcPr>
          <w:p w14:paraId="2EBF778B" w14:textId="77777777" w:rsidR="00553F9D"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1,164.08</w:t>
            </w:r>
          </w:p>
        </w:tc>
        <w:tc>
          <w:tcPr>
            <w:tcW w:w="1242" w:type="dxa"/>
            <w:tcBorders>
              <w:top w:val="nil"/>
              <w:left w:val="nil"/>
              <w:bottom w:val="single" w:sz="4" w:space="0" w:color="auto"/>
              <w:right w:val="single" w:sz="4" w:space="0" w:color="auto"/>
            </w:tcBorders>
            <w:vAlign w:val="center"/>
          </w:tcPr>
          <w:p w14:paraId="4319064C" w14:textId="77777777" w:rsidR="00553F9D"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1,414.92</w:t>
            </w:r>
          </w:p>
        </w:tc>
        <w:tc>
          <w:tcPr>
            <w:tcW w:w="1417" w:type="dxa"/>
            <w:tcBorders>
              <w:top w:val="nil"/>
              <w:left w:val="nil"/>
              <w:bottom w:val="single" w:sz="4" w:space="0" w:color="auto"/>
              <w:right w:val="single" w:sz="4" w:space="0" w:color="auto"/>
            </w:tcBorders>
            <w:vAlign w:val="center"/>
          </w:tcPr>
          <w:p w14:paraId="69D59620" w14:textId="77777777" w:rsidR="00553F9D"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1,414.92</w:t>
            </w:r>
          </w:p>
        </w:tc>
        <w:tc>
          <w:tcPr>
            <w:tcW w:w="1134" w:type="dxa"/>
            <w:tcBorders>
              <w:top w:val="nil"/>
              <w:left w:val="nil"/>
              <w:bottom w:val="single" w:sz="4" w:space="0" w:color="auto"/>
              <w:right w:val="single" w:sz="4" w:space="0" w:color="auto"/>
            </w:tcBorders>
            <w:vAlign w:val="center"/>
          </w:tcPr>
          <w:p w14:paraId="4CDA2B63" w14:textId="77777777" w:rsidR="00553F9D"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w:t>
            </w:r>
          </w:p>
        </w:tc>
        <w:tc>
          <w:tcPr>
            <w:tcW w:w="1024" w:type="dxa"/>
            <w:tcBorders>
              <w:top w:val="nil"/>
              <w:left w:val="nil"/>
              <w:bottom w:val="single" w:sz="4" w:space="0" w:color="auto"/>
              <w:right w:val="single" w:sz="4" w:space="0" w:color="auto"/>
            </w:tcBorders>
            <w:vAlign w:val="center"/>
          </w:tcPr>
          <w:p w14:paraId="73D66946" w14:textId="77777777" w:rsidR="00553F9D"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w:t>
            </w:r>
          </w:p>
        </w:tc>
        <w:tc>
          <w:tcPr>
            <w:tcW w:w="630" w:type="dxa"/>
            <w:tcBorders>
              <w:top w:val="nil"/>
              <w:left w:val="nil"/>
              <w:bottom w:val="single" w:sz="4" w:space="0" w:color="auto"/>
              <w:right w:val="single" w:sz="4" w:space="0" w:color="auto"/>
            </w:tcBorders>
            <w:vAlign w:val="center"/>
          </w:tcPr>
          <w:p w14:paraId="081761B8" w14:textId="77777777" w:rsidR="00553F9D"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w:t>
            </w:r>
          </w:p>
        </w:tc>
        <w:tc>
          <w:tcPr>
            <w:tcW w:w="660" w:type="dxa"/>
            <w:tcBorders>
              <w:top w:val="nil"/>
              <w:left w:val="nil"/>
              <w:bottom w:val="nil"/>
              <w:right w:val="nil"/>
            </w:tcBorders>
            <w:noWrap/>
            <w:vAlign w:val="center"/>
          </w:tcPr>
          <w:p w14:paraId="223446BE" w14:textId="77777777" w:rsidR="00553F9D" w:rsidRDefault="00553F9D">
            <w:pPr>
              <w:widowControl/>
              <w:jc w:val="center"/>
              <w:rPr>
                <w:rFonts w:ascii="宋体" w:eastAsia="宋体" w:hAnsi="宋体" w:cs="宋体" w:hint="eastAsia"/>
                <w:sz w:val="18"/>
                <w:szCs w:val="18"/>
              </w:rPr>
            </w:pPr>
          </w:p>
        </w:tc>
      </w:tr>
      <w:tr w:rsidR="00553F9D" w14:paraId="178836F0"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79990F38" w14:textId="77777777" w:rsidR="00553F9D"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2F93882F" w14:textId="77777777" w:rsidR="00553F9D"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预期目标</w:t>
            </w:r>
          </w:p>
        </w:tc>
        <w:tc>
          <w:tcPr>
            <w:tcW w:w="4205" w:type="dxa"/>
            <w:gridSpan w:val="4"/>
            <w:tcBorders>
              <w:top w:val="single" w:sz="4" w:space="0" w:color="auto"/>
              <w:left w:val="nil"/>
              <w:bottom w:val="single" w:sz="4" w:space="0" w:color="auto"/>
              <w:right w:val="single" w:sz="4" w:space="0" w:color="auto"/>
            </w:tcBorders>
            <w:noWrap/>
            <w:vAlign w:val="center"/>
          </w:tcPr>
          <w:p w14:paraId="1C33064D" w14:textId="77777777" w:rsidR="00553F9D"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实际完成情况</w:t>
            </w:r>
          </w:p>
        </w:tc>
        <w:tc>
          <w:tcPr>
            <w:tcW w:w="660" w:type="dxa"/>
            <w:tcBorders>
              <w:top w:val="nil"/>
              <w:left w:val="nil"/>
              <w:bottom w:val="nil"/>
              <w:right w:val="nil"/>
            </w:tcBorders>
            <w:noWrap/>
            <w:vAlign w:val="center"/>
          </w:tcPr>
          <w:p w14:paraId="3B6A3FBA" w14:textId="77777777" w:rsidR="00553F9D" w:rsidRDefault="00553F9D">
            <w:pPr>
              <w:widowControl/>
              <w:jc w:val="left"/>
              <w:rPr>
                <w:rFonts w:ascii="宋体" w:eastAsia="宋体" w:hAnsi="宋体" w:cs="宋体" w:hint="eastAsia"/>
                <w:b/>
                <w:bCs/>
                <w:sz w:val="18"/>
                <w:szCs w:val="18"/>
              </w:rPr>
            </w:pPr>
          </w:p>
        </w:tc>
      </w:tr>
      <w:tr w:rsidR="00553F9D" w14:paraId="15970DF2"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4FF64AAD" w14:textId="77777777" w:rsidR="00553F9D" w:rsidRDefault="00553F9D">
            <w:pPr>
              <w:widowControl/>
              <w:jc w:val="left"/>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7689AA26" w14:textId="77777777" w:rsidR="00553F9D"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司法局贯彻落实党中央、区、州、县委关于全面依法治国工作方针政策和决策部署，全面贯彻落实县委关于全面依法治县工作的部署要求，在履行职责过程中加强党对全面依法治县的集中统一领导。1、进一步压实责任，完善法治政府建设工作机制；2、全面加强司法所建设，筑牢基层法治基础；3、切实抓好“八五”普法工作，加大全民法治宣传教育力度；4、继续深入开展刑罚执行一体化工作，认真落实社区矫正监管职责；5、提高实效，做实做细，尽心尽力为受援人服务；6、突出重点，抓好公共法律服务体系建设。</w:t>
            </w:r>
          </w:p>
        </w:tc>
        <w:tc>
          <w:tcPr>
            <w:tcW w:w="4205" w:type="dxa"/>
            <w:gridSpan w:val="4"/>
            <w:tcBorders>
              <w:top w:val="single" w:sz="4" w:space="0" w:color="auto"/>
              <w:left w:val="nil"/>
              <w:bottom w:val="single" w:sz="4" w:space="0" w:color="auto"/>
              <w:right w:val="single" w:sz="4" w:space="0" w:color="auto"/>
            </w:tcBorders>
          </w:tcPr>
          <w:p w14:paraId="5F4E29BE" w14:textId="77777777" w:rsidR="00553F9D"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2024年我单位全年预算数为1414.93万元，全年执行数为1414.93万元，总预算执行率为100%。截止2024年12月31日，已完成下列各项工作：1、打造示范性司法所2个；2、全年开展法治宣传活动12次；3、落实社区矫正监管次数12次；4、法律援助热线接通1500次；5、签订法律顾问合同89个。通过以上工作的实施，我单位进一步压实责任，完善法治政府建设工作机制，全面加强司法所建设，筑牢基层法治基础，切实抓好“八五”普法工作，加大全民法治宣传教育力度，继续深入开展刑罚执行一体化工作，认真落实社区矫正监管职责，提高实效，做实做细，尽心尽力为受援人服务，突出重点，抓好公共法律服务体系建设。</w:t>
            </w:r>
          </w:p>
        </w:tc>
        <w:tc>
          <w:tcPr>
            <w:tcW w:w="660" w:type="dxa"/>
            <w:tcBorders>
              <w:top w:val="nil"/>
              <w:left w:val="nil"/>
              <w:bottom w:val="nil"/>
              <w:right w:val="nil"/>
            </w:tcBorders>
            <w:noWrap/>
            <w:vAlign w:val="center"/>
          </w:tcPr>
          <w:p w14:paraId="2214980B" w14:textId="77777777" w:rsidR="00553F9D" w:rsidRDefault="00553F9D">
            <w:pPr>
              <w:widowControl/>
              <w:jc w:val="left"/>
              <w:rPr>
                <w:rFonts w:ascii="宋体" w:eastAsia="宋体" w:hAnsi="宋体" w:cs="宋体" w:hint="eastAsia"/>
                <w:sz w:val="18"/>
                <w:szCs w:val="18"/>
              </w:rPr>
            </w:pPr>
          </w:p>
        </w:tc>
      </w:tr>
      <w:tr w:rsidR="00553F9D" w14:paraId="27EB9886"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194C0818" w14:textId="77777777" w:rsidR="00553F9D"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一级指标</w:t>
            </w:r>
          </w:p>
        </w:tc>
        <w:tc>
          <w:tcPr>
            <w:tcW w:w="1417" w:type="dxa"/>
            <w:tcBorders>
              <w:top w:val="nil"/>
              <w:left w:val="nil"/>
              <w:bottom w:val="single" w:sz="4" w:space="0" w:color="auto"/>
              <w:right w:val="single" w:sz="4" w:space="0" w:color="auto"/>
            </w:tcBorders>
            <w:vAlign w:val="center"/>
          </w:tcPr>
          <w:p w14:paraId="78BCE3D0" w14:textId="77777777" w:rsidR="00553F9D"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二级指标</w:t>
            </w:r>
          </w:p>
        </w:tc>
        <w:tc>
          <w:tcPr>
            <w:tcW w:w="1418" w:type="dxa"/>
            <w:tcBorders>
              <w:top w:val="nil"/>
              <w:left w:val="nil"/>
              <w:bottom w:val="single" w:sz="4" w:space="0" w:color="auto"/>
              <w:right w:val="single" w:sz="4" w:space="0" w:color="auto"/>
            </w:tcBorders>
            <w:vAlign w:val="center"/>
          </w:tcPr>
          <w:p w14:paraId="7DFA75DD" w14:textId="77777777" w:rsidR="00553F9D"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三级指标</w:t>
            </w:r>
          </w:p>
        </w:tc>
        <w:tc>
          <w:tcPr>
            <w:tcW w:w="1242" w:type="dxa"/>
            <w:tcBorders>
              <w:top w:val="nil"/>
              <w:left w:val="nil"/>
              <w:bottom w:val="single" w:sz="4" w:space="0" w:color="auto"/>
              <w:right w:val="single" w:sz="4" w:space="0" w:color="auto"/>
            </w:tcBorders>
            <w:vAlign w:val="center"/>
          </w:tcPr>
          <w:p w14:paraId="0ECEB4DF" w14:textId="77777777" w:rsidR="00553F9D"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预期指标值</w:t>
            </w:r>
          </w:p>
        </w:tc>
        <w:tc>
          <w:tcPr>
            <w:tcW w:w="1417" w:type="dxa"/>
            <w:tcBorders>
              <w:top w:val="nil"/>
              <w:left w:val="nil"/>
              <w:bottom w:val="single" w:sz="4" w:space="0" w:color="auto"/>
              <w:right w:val="single" w:sz="4" w:space="0" w:color="auto"/>
            </w:tcBorders>
            <w:vAlign w:val="center"/>
          </w:tcPr>
          <w:p w14:paraId="72BA9167" w14:textId="77777777" w:rsidR="00553F9D"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指标值设定依据</w:t>
            </w:r>
          </w:p>
        </w:tc>
        <w:tc>
          <w:tcPr>
            <w:tcW w:w="1134" w:type="dxa"/>
            <w:tcBorders>
              <w:top w:val="nil"/>
              <w:left w:val="nil"/>
              <w:bottom w:val="single" w:sz="4" w:space="0" w:color="auto"/>
              <w:right w:val="single" w:sz="4" w:space="0" w:color="auto"/>
            </w:tcBorders>
            <w:vAlign w:val="center"/>
          </w:tcPr>
          <w:p w14:paraId="3DBC1622" w14:textId="77777777" w:rsidR="00553F9D"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024" w:type="dxa"/>
            <w:tcBorders>
              <w:top w:val="nil"/>
              <w:left w:val="nil"/>
              <w:bottom w:val="single" w:sz="4" w:space="0" w:color="auto"/>
              <w:right w:val="single" w:sz="4" w:space="0" w:color="auto"/>
            </w:tcBorders>
            <w:vAlign w:val="center"/>
          </w:tcPr>
          <w:p w14:paraId="0442C724" w14:textId="77777777" w:rsidR="00553F9D"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实际完成指标值</w:t>
            </w:r>
          </w:p>
        </w:tc>
        <w:tc>
          <w:tcPr>
            <w:tcW w:w="630" w:type="dxa"/>
            <w:tcBorders>
              <w:top w:val="nil"/>
              <w:left w:val="nil"/>
              <w:bottom w:val="single" w:sz="4" w:space="0" w:color="auto"/>
              <w:right w:val="single" w:sz="4" w:space="0" w:color="auto"/>
            </w:tcBorders>
            <w:vAlign w:val="center"/>
          </w:tcPr>
          <w:p w14:paraId="671C2C03" w14:textId="77777777" w:rsidR="00553F9D"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得分</w:t>
            </w:r>
          </w:p>
        </w:tc>
        <w:tc>
          <w:tcPr>
            <w:tcW w:w="660" w:type="dxa"/>
            <w:tcBorders>
              <w:top w:val="nil"/>
              <w:left w:val="nil"/>
              <w:bottom w:val="nil"/>
              <w:right w:val="nil"/>
            </w:tcBorders>
            <w:noWrap/>
            <w:vAlign w:val="center"/>
          </w:tcPr>
          <w:p w14:paraId="09CD161D" w14:textId="77777777" w:rsidR="00553F9D" w:rsidRDefault="00553F9D">
            <w:pPr>
              <w:widowControl/>
              <w:jc w:val="left"/>
              <w:rPr>
                <w:rFonts w:ascii="宋体" w:eastAsia="宋体" w:hAnsi="宋体" w:cs="宋体" w:hint="eastAsia"/>
                <w:b/>
                <w:bCs/>
                <w:sz w:val="18"/>
                <w:szCs w:val="18"/>
              </w:rPr>
            </w:pPr>
          </w:p>
        </w:tc>
      </w:tr>
      <w:tr w:rsidR="00553F9D" w14:paraId="5543C527"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22116986" w14:textId="77777777" w:rsidR="00553F9D"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履职效能</w:t>
            </w:r>
          </w:p>
        </w:tc>
        <w:tc>
          <w:tcPr>
            <w:tcW w:w="1417" w:type="dxa"/>
            <w:vMerge w:val="restart"/>
            <w:tcBorders>
              <w:top w:val="nil"/>
              <w:left w:val="nil"/>
              <w:right w:val="single" w:sz="4" w:space="0" w:color="auto"/>
            </w:tcBorders>
            <w:noWrap/>
            <w:vAlign w:val="center"/>
          </w:tcPr>
          <w:p w14:paraId="292B4FFE" w14:textId="77777777" w:rsidR="00553F9D"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数量指标</w:t>
            </w:r>
          </w:p>
        </w:tc>
        <w:tc>
          <w:tcPr>
            <w:tcW w:w="1418" w:type="dxa"/>
            <w:tcBorders>
              <w:top w:val="nil"/>
              <w:left w:val="nil"/>
              <w:bottom w:val="single" w:sz="4" w:space="0" w:color="auto"/>
              <w:right w:val="single" w:sz="4" w:space="0" w:color="auto"/>
            </w:tcBorders>
            <w:noWrap/>
            <w:vAlign w:val="center"/>
          </w:tcPr>
          <w:p w14:paraId="7733DFBC" w14:textId="77777777" w:rsidR="00553F9D"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打造示范性司法所个数</w:t>
            </w:r>
          </w:p>
        </w:tc>
        <w:tc>
          <w:tcPr>
            <w:tcW w:w="1242" w:type="dxa"/>
            <w:tcBorders>
              <w:top w:val="nil"/>
              <w:left w:val="nil"/>
              <w:bottom w:val="single" w:sz="4" w:space="0" w:color="auto"/>
              <w:right w:val="single" w:sz="4" w:space="0" w:color="auto"/>
            </w:tcBorders>
            <w:noWrap/>
            <w:vAlign w:val="center"/>
          </w:tcPr>
          <w:p w14:paraId="1989F10E" w14:textId="77777777" w:rsidR="00553F9D"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&gt;=2个</w:t>
            </w:r>
          </w:p>
        </w:tc>
        <w:tc>
          <w:tcPr>
            <w:tcW w:w="1417" w:type="dxa"/>
            <w:tcBorders>
              <w:top w:val="nil"/>
              <w:left w:val="nil"/>
              <w:bottom w:val="single" w:sz="4" w:space="0" w:color="auto"/>
              <w:right w:val="single" w:sz="4" w:space="0" w:color="auto"/>
            </w:tcBorders>
            <w:noWrap/>
            <w:vAlign w:val="center"/>
          </w:tcPr>
          <w:p w14:paraId="60051DC7" w14:textId="77777777" w:rsidR="00553F9D"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奇台县司法局2024年工作计划</w:t>
            </w:r>
          </w:p>
        </w:tc>
        <w:tc>
          <w:tcPr>
            <w:tcW w:w="1134" w:type="dxa"/>
            <w:tcBorders>
              <w:top w:val="nil"/>
              <w:left w:val="nil"/>
              <w:bottom w:val="single" w:sz="4" w:space="0" w:color="auto"/>
              <w:right w:val="single" w:sz="4" w:space="0" w:color="auto"/>
            </w:tcBorders>
            <w:noWrap/>
            <w:vAlign w:val="center"/>
          </w:tcPr>
          <w:p w14:paraId="6C6A01F1" w14:textId="77777777" w:rsidR="00553F9D"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20</w:t>
            </w:r>
          </w:p>
        </w:tc>
        <w:tc>
          <w:tcPr>
            <w:tcW w:w="1024" w:type="dxa"/>
            <w:tcBorders>
              <w:top w:val="nil"/>
              <w:left w:val="nil"/>
              <w:bottom w:val="single" w:sz="4" w:space="0" w:color="auto"/>
              <w:right w:val="single" w:sz="4" w:space="0" w:color="auto"/>
            </w:tcBorders>
            <w:noWrap/>
            <w:vAlign w:val="center"/>
          </w:tcPr>
          <w:p w14:paraId="2838BB22" w14:textId="77777777" w:rsidR="00553F9D"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=2个</w:t>
            </w:r>
          </w:p>
        </w:tc>
        <w:tc>
          <w:tcPr>
            <w:tcW w:w="630" w:type="dxa"/>
            <w:tcBorders>
              <w:top w:val="nil"/>
              <w:left w:val="nil"/>
              <w:bottom w:val="single" w:sz="4" w:space="0" w:color="auto"/>
              <w:right w:val="single" w:sz="4" w:space="0" w:color="auto"/>
            </w:tcBorders>
            <w:noWrap/>
            <w:vAlign w:val="center"/>
          </w:tcPr>
          <w:p w14:paraId="7D133EC8" w14:textId="77777777" w:rsidR="00553F9D"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20</w:t>
            </w:r>
          </w:p>
        </w:tc>
        <w:tc>
          <w:tcPr>
            <w:tcW w:w="660" w:type="dxa"/>
            <w:tcBorders>
              <w:top w:val="nil"/>
              <w:left w:val="nil"/>
              <w:bottom w:val="nil"/>
              <w:right w:val="nil"/>
            </w:tcBorders>
            <w:noWrap/>
            <w:vAlign w:val="center"/>
          </w:tcPr>
          <w:p w14:paraId="64101AE1" w14:textId="77777777" w:rsidR="00553F9D" w:rsidRDefault="00553F9D">
            <w:pPr>
              <w:widowControl/>
              <w:jc w:val="center"/>
              <w:rPr>
                <w:rFonts w:ascii="宋体" w:eastAsia="宋体" w:hAnsi="宋体" w:cs="宋体" w:hint="eastAsia"/>
                <w:sz w:val="18"/>
                <w:szCs w:val="18"/>
              </w:rPr>
            </w:pPr>
          </w:p>
        </w:tc>
      </w:tr>
      <w:tr w:rsidR="00553F9D" w14:paraId="61EA43EB" w14:textId="77777777">
        <w:trPr>
          <w:cantSplit/>
          <w:trHeight w:val="740"/>
        </w:trPr>
        <w:tc>
          <w:tcPr>
            <w:tcW w:w="993" w:type="dxa"/>
            <w:vMerge/>
            <w:tcBorders>
              <w:left w:val="single" w:sz="4" w:space="0" w:color="auto"/>
              <w:right w:val="single" w:sz="4" w:space="0" w:color="auto"/>
            </w:tcBorders>
            <w:noWrap/>
            <w:vAlign w:val="center"/>
          </w:tcPr>
          <w:p w14:paraId="61E11F28" w14:textId="77777777" w:rsidR="00553F9D" w:rsidRDefault="00553F9D">
            <w:pPr>
              <w:widowControl/>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6C81DD2B" w14:textId="77777777" w:rsidR="00553F9D" w:rsidRDefault="00553F9D">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372596A4" w14:textId="77777777" w:rsidR="00553F9D"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全年开展法治宣传活动次数</w:t>
            </w:r>
          </w:p>
        </w:tc>
        <w:tc>
          <w:tcPr>
            <w:tcW w:w="1242" w:type="dxa"/>
            <w:tcBorders>
              <w:top w:val="nil"/>
              <w:left w:val="nil"/>
              <w:bottom w:val="single" w:sz="4" w:space="0" w:color="auto"/>
              <w:right w:val="single" w:sz="4" w:space="0" w:color="auto"/>
            </w:tcBorders>
            <w:noWrap/>
            <w:vAlign w:val="center"/>
          </w:tcPr>
          <w:p w14:paraId="38DACCC0" w14:textId="77777777" w:rsidR="00553F9D"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&gt;=12次</w:t>
            </w:r>
          </w:p>
        </w:tc>
        <w:tc>
          <w:tcPr>
            <w:tcW w:w="1417" w:type="dxa"/>
            <w:tcBorders>
              <w:top w:val="nil"/>
              <w:left w:val="nil"/>
              <w:bottom w:val="single" w:sz="4" w:space="0" w:color="auto"/>
              <w:right w:val="single" w:sz="4" w:space="0" w:color="auto"/>
            </w:tcBorders>
            <w:noWrap/>
            <w:vAlign w:val="center"/>
          </w:tcPr>
          <w:p w14:paraId="6BAA822E" w14:textId="77777777" w:rsidR="00553F9D"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奇台县司法局2024年工作计划</w:t>
            </w:r>
          </w:p>
        </w:tc>
        <w:tc>
          <w:tcPr>
            <w:tcW w:w="1134" w:type="dxa"/>
            <w:tcBorders>
              <w:top w:val="nil"/>
              <w:left w:val="nil"/>
              <w:bottom w:val="single" w:sz="4" w:space="0" w:color="auto"/>
              <w:right w:val="single" w:sz="4" w:space="0" w:color="auto"/>
            </w:tcBorders>
            <w:noWrap/>
            <w:vAlign w:val="center"/>
          </w:tcPr>
          <w:p w14:paraId="410B6A61" w14:textId="77777777" w:rsidR="00553F9D"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20</w:t>
            </w:r>
          </w:p>
        </w:tc>
        <w:tc>
          <w:tcPr>
            <w:tcW w:w="1024" w:type="dxa"/>
            <w:tcBorders>
              <w:top w:val="nil"/>
              <w:left w:val="nil"/>
              <w:bottom w:val="single" w:sz="4" w:space="0" w:color="auto"/>
              <w:right w:val="single" w:sz="4" w:space="0" w:color="auto"/>
            </w:tcBorders>
            <w:noWrap/>
            <w:vAlign w:val="center"/>
          </w:tcPr>
          <w:p w14:paraId="7D9C5948" w14:textId="77777777" w:rsidR="00553F9D"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=12次</w:t>
            </w:r>
          </w:p>
        </w:tc>
        <w:tc>
          <w:tcPr>
            <w:tcW w:w="630" w:type="dxa"/>
            <w:tcBorders>
              <w:top w:val="nil"/>
              <w:left w:val="nil"/>
              <w:bottom w:val="single" w:sz="4" w:space="0" w:color="auto"/>
              <w:right w:val="single" w:sz="4" w:space="0" w:color="auto"/>
            </w:tcBorders>
            <w:noWrap/>
            <w:vAlign w:val="center"/>
          </w:tcPr>
          <w:p w14:paraId="6BD2C32C" w14:textId="77777777" w:rsidR="00553F9D"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20</w:t>
            </w:r>
          </w:p>
        </w:tc>
        <w:tc>
          <w:tcPr>
            <w:tcW w:w="660" w:type="dxa"/>
            <w:tcBorders>
              <w:top w:val="nil"/>
              <w:left w:val="nil"/>
              <w:bottom w:val="nil"/>
              <w:right w:val="nil"/>
            </w:tcBorders>
            <w:noWrap/>
            <w:vAlign w:val="center"/>
          </w:tcPr>
          <w:p w14:paraId="68471D20" w14:textId="77777777" w:rsidR="00553F9D" w:rsidRDefault="00553F9D">
            <w:pPr>
              <w:widowControl/>
              <w:jc w:val="center"/>
              <w:rPr>
                <w:rFonts w:ascii="宋体" w:eastAsia="宋体" w:hAnsi="宋体" w:cs="宋体" w:hint="eastAsia"/>
                <w:sz w:val="18"/>
                <w:szCs w:val="18"/>
              </w:rPr>
            </w:pPr>
          </w:p>
        </w:tc>
      </w:tr>
      <w:tr w:rsidR="00553F9D" w14:paraId="534BD4F7" w14:textId="77777777">
        <w:trPr>
          <w:cantSplit/>
          <w:trHeight w:val="740"/>
        </w:trPr>
        <w:tc>
          <w:tcPr>
            <w:tcW w:w="993" w:type="dxa"/>
            <w:vMerge/>
            <w:tcBorders>
              <w:left w:val="single" w:sz="4" w:space="0" w:color="auto"/>
              <w:right w:val="single" w:sz="4" w:space="0" w:color="auto"/>
            </w:tcBorders>
            <w:noWrap/>
            <w:vAlign w:val="center"/>
          </w:tcPr>
          <w:p w14:paraId="64D763FB" w14:textId="77777777" w:rsidR="00553F9D" w:rsidRDefault="00553F9D">
            <w:pPr>
              <w:widowControl/>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756CF020" w14:textId="77777777" w:rsidR="00553F9D" w:rsidRDefault="00553F9D">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5761045B" w14:textId="77777777" w:rsidR="00553F9D"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落实社区矫正监管次数</w:t>
            </w:r>
          </w:p>
        </w:tc>
        <w:tc>
          <w:tcPr>
            <w:tcW w:w="1242" w:type="dxa"/>
            <w:tcBorders>
              <w:top w:val="nil"/>
              <w:left w:val="nil"/>
              <w:bottom w:val="single" w:sz="4" w:space="0" w:color="auto"/>
              <w:right w:val="single" w:sz="4" w:space="0" w:color="auto"/>
            </w:tcBorders>
            <w:noWrap/>
            <w:vAlign w:val="center"/>
          </w:tcPr>
          <w:p w14:paraId="643760C9" w14:textId="77777777" w:rsidR="00553F9D"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&gt;=12次</w:t>
            </w:r>
          </w:p>
        </w:tc>
        <w:tc>
          <w:tcPr>
            <w:tcW w:w="1417" w:type="dxa"/>
            <w:tcBorders>
              <w:top w:val="nil"/>
              <w:left w:val="nil"/>
              <w:bottom w:val="single" w:sz="4" w:space="0" w:color="auto"/>
              <w:right w:val="single" w:sz="4" w:space="0" w:color="auto"/>
            </w:tcBorders>
            <w:noWrap/>
            <w:vAlign w:val="center"/>
          </w:tcPr>
          <w:p w14:paraId="39248065" w14:textId="77777777" w:rsidR="00553F9D"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奇台县司法局2024年工作计划</w:t>
            </w:r>
          </w:p>
        </w:tc>
        <w:tc>
          <w:tcPr>
            <w:tcW w:w="1134" w:type="dxa"/>
            <w:tcBorders>
              <w:top w:val="nil"/>
              <w:left w:val="nil"/>
              <w:bottom w:val="single" w:sz="4" w:space="0" w:color="auto"/>
              <w:right w:val="single" w:sz="4" w:space="0" w:color="auto"/>
            </w:tcBorders>
            <w:noWrap/>
            <w:vAlign w:val="center"/>
          </w:tcPr>
          <w:p w14:paraId="6D05962C" w14:textId="77777777" w:rsidR="00553F9D"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1024" w:type="dxa"/>
            <w:tcBorders>
              <w:top w:val="nil"/>
              <w:left w:val="nil"/>
              <w:bottom w:val="single" w:sz="4" w:space="0" w:color="auto"/>
              <w:right w:val="single" w:sz="4" w:space="0" w:color="auto"/>
            </w:tcBorders>
            <w:noWrap/>
            <w:vAlign w:val="center"/>
          </w:tcPr>
          <w:p w14:paraId="11719243" w14:textId="77777777" w:rsidR="00553F9D"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=12次</w:t>
            </w:r>
          </w:p>
        </w:tc>
        <w:tc>
          <w:tcPr>
            <w:tcW w:w="630" w:type="dxa"/>
            <w:tcBorders>
              <w:top w:val="nil"/>
              <w:left w:val="nil"/>
              <w:bottom w:val="single" w:sz="4" w:space="0" w:color="auto"/>
              <w:right w:val="single" w:sz="4" w:space="0" w:color="auto"/>
            </w:tcBorders>
            <w:noWrap/>
            <w:vAlign w:val="center"/>
          </w:tcPr>
          <w:p w14:paraId="21A92B7B" w14:textId="77777777" w:rsidR="00553F9D"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660" w:type="dxa"/>
            <w:tcBorders>
              <w:top w:val="nil"/>
              <w:left w:val="nil"/>
              <w:bottom w:val="nil"/>
              <w:right w:val="nil"/>
            </w:tcBorders>
            <w:noWrap/>
            <w:vAlign w:val="center"/>
          </w:tcPr>
          <w:p w14:paraId="1BD2321E" w14:textId="77777777" w:rsidR="00553F9D" w:rsidRDefault="00553F9D">
            <w:pPr>
              <w:widowControl/>
              <w:jc w:val="center"/>
              <w:rPr>
                <w:rFonts w:ascii="宋体" w:eastAsia="宋体" w:hAnsi="宋体" w:cs="宋体" w:hint="eastAsia"/>
                <w:sz w:val="18"/>
                <w:szCs w:val="18"/>
              </w:rPr>
            </w:pPr>
          </w:p>
        </w:tc>
      </w:tr>
      <w:tr w:rsidR="00553F9D" w14:paraId="2A9711E4" w14:textId="77777777">
        <w:trPr>
          <w:cantSplit/>
          <w:trHeight w:val="740"/>
        </w:trPr>
        <w:tc>
          <w:tcPr>
            <w:tcW w:w="993" w:type="dxa"/>
            <w:vMerge/>
            <w:tcBorders>
              <w:left w:val="single" w:sz="4" w:space="0" w:color="auto"/>
              <w:right w:val="single" w:sz="4" w:space="0" w:color="auto"/>
            </w:tcBorders>
            <w:noWrap/>
            <w:vAlign w:val="center"/>
          </w:tcPr>
          <w:p w14:paraId="567755A1" w14:textId="77777777" w:rsidR="00553F9D" w:rsidRDefault="00553F9D">
            <w:pPr>
              <w:widowControl/>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1453D8F2" w14:textId="77777777" w:rsidR="00553F9D" w:rsidRDefault="00553F9D">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4C6F6A85" w14:textId="77777777" w:rsidR="00553F9D"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法律援助热线接通次数</w:t>
            </w:r>
          </w:p>
        </w:tc>
        <w:tc>
          <w:tcPr>
            <w:tcW w:w="1242" w:type="dxa"/>
            <w:tcBorders>
              <w:top w:val="nil"/>
              <w:left w:val="nil"/>
              <w:bottom w:val="single" w:sz="4" w:space="0" w:color="auto"/>
              <w:right w:val="single" w:sz="4" w:space="0" w:color="auto"/>
            </w:tcBorders>
            <w:noWrap/>
            <w:vAlign w:val="center"/>
          </w:tcPr>
          <w:p w14:paraId="4B9EB7F6" w14:textId="77777777" w:rsidR="00553F9D"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&gt;1500次</w:t>
            </w:r>
          </w:p>
        </w:tc>
        <w:tc>
          <w:tcPr>
            <w:tcW w:w="1417" w:type="dxa"/>
            <w:tcBorders>
              <w:top w:val="nil"/>
              <w:left w:val="nil"/>
              <w:bottom w:val="single" w:sz="4" w:space="0" w:color="auto"/>
              <w:right w:val="single" w:sz="4" w:space="0" w:color="auto"/>
            </w:tcBorders>
            <w:noWrap/>
            <w:vAlign w:val="center"/>
          </w:tcPr>
          <w:p w14:paraId="47B0A28C" w14:textId="77777777" w:rsidR="00553F9D"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奇台县司法局2024年工作计划</w:t>
            </w:r>
          </w:p>
        </w:tc>
        <w:tc>
          <w:tcPr>
            <w:tcW w:w="1134" w:type="dxa"/>
            <w:tcBorders>
              <w:top w:val="nil"/>
              <w:left w:val="nil"/>
              <w:bottom w:val="single" w:sz="4" w:space="0" w:color="auto"/>
              <w:right w:val="single" w:sz="4" w:space="0" w:color="auto"/>
            </w:tcBorders>
            <w:noWrap/>
            <w:vAlign w:val="center"/>
          </w:tcPr>
          <w:p w14:paraId="670038A1" w14:textId="77777777" w:rsidR="00553F9D"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1024" w:type="dxa"/>
            <w:tcBorders>
              <w:top w:val="nil"/>
              <w:left w:val="nil"/>
              <w:bottom w:val="single" w:sz="4" w:space="0" w:color="auto"/>
              <w:right w:val="single" w:sz="4" w:space="0" w:color="auto"/>
            </w:tcBorders>
            <w:noWrap/>
            <w:vAlign w:val="center"/>
          </w:tcPr>
          <w:p w14:paraId="73A47BF7" w14:textId="77777777" w:rsidR="00553F9D"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=1500次</w:t>
            </w:r>
          </w:p>
        </w:tc>
        <w:tc>
          <w:tcPr>
            <w:tcW w:w="630" w:type="dxa"/>
            <w:tcBorders>
              <w:top w:val="nil"/>
              <w:left w:val="nil"/>
              <w:bottom w:val="single" w:sz="4" w:space="0" w:color="auto"/>
              <w:right w:val="single" w:sz="4" w:space="0" w:color="auto"/>
            </w:tcBorders>
            <w:noWrap/>
            <w:vAlign w:val="center"/>
          </w:tcPr>
          <w:p w14:paraId="78DFD35D" w14:textId="77777777" w:rsidR="00553F9D"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660" w:type="dxa"/>
            <w:tcBorders>
              <w:top w:val="nil"/>
              <w:left w:val="nil"/>
              <w:bottom w:val="nil"/>
              <w:right w:val="nil"/>
            </w:tcBorders>
            <w:noWrap/>
            <w:vAlign w:val="center"/>
          </w:tcPr>
          <w:p w14:paraId="6435A9C4" w14:textId="77777777" w:rsidR="00553F9D" w:rsidRDefault="00553F9D">
            <w:pPr>
              <w:widowControl/>
              <w:jc w:val="center"/>
              <w:rPr>
                <w:rFonts w:ascii="宋体" w:eastAsia="宋体" w:hAnsi="宋体" w:cs="宋体" w:hint="eastAsia"/>
                <w:sz w:val="18"/>
                <w:szCs w:val="18"/>
              </w:rPr>
            </w:pPr>
          </w:p>
        </w:tc>
      </w:tr>
      <w:tr w:rsidR="00553F9D" w14:paraId="32DE899E"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2BD46EFF" w14:textId="77777777" w:rsidR="00553F9D" w:rsidRDefault="00553F9D">
            <w:pPr>
              <w:widowControl/>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4F7889EF" w14:textId="77777777" w:rsidR="00553F9D" w:rsidRDefault="00553F9D">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69B050BF" w14:textId="77777777" w:rsidR="00553F9D"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签订法律顾问合同个数</w:t>
            </w:r>
          </w:p>
        </w:tc>
        <w:tc>
          <w:tcPr>
            <w:tcW w:w="1242" w:type="dxa"/>
            <w:tcBorders>
              <w:top w:val="nil"/>
              <w:left w:val="nil"/>
              <w:bottom w:val="single" w:sz="4" w:space="0" w:color="auto"/>
              <w:right w:val="single" w:sz="4" w:space="0" w:color="auto"/>
            </w:tcBorders>
            <w:noWrap/>
            <w:vAlign w:val="center"/>
          </w:tcPr>
          <w:p w14:paraId="78E8F64A" w14:textId="77777777" w:rsidR="00553F9D"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&gt;=89个</w:t>
            </w:r>
          </w:p>
        </w:tc>
        <w:tc>
          <w:tcPr>
            <w:tcW w:w="1417" w:type="dxa"/>
            <w:tcBorders>
              <w:top w:val="nil"/>
              <w:left w:val="nil"/>
              <w:bottom w:val="single" w:sz="4" w:space="0" w:color="auto"/>
              <w:right w:val="single" w:sz="4" w:space="0" w:color="auto"/>
            </w:tcBorders>
            <w:noWrap/>
            <w:vAlign w:val="center"/>
          </w:tcPr>
          <w:p w14:paraId="49AFA0E4" w14:textId="77777777" w:rsidR="00553F9D"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奇台县司法局2024年工作计划</w:t>
            </w:r>
          </w:p>
        </w:tc>
        <w:tc>
          <w:tcPr>
            <w:tcW w:w="1134" w:type="dxa"/>
            <w:tcBorders>
              <w:top w:val="nil"/>
              <w:left w:val="nil"/>
              <w:bottom w:val="single" w:sz="4" w:space="0" w:color="auto"/>
              <w:right w:val="single" w:sz="4" w:space="0" w:color="auto"/>
            </w:tcBorders>
            <w:noWrap/>
            <w:vAlign w:val="center"/>
          </w:tcPr>
          <w:p w14:paraId="63532DC6" w14:textId="77777777" w:rsidR="00553F9D"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30</w:t>
            </w:r>
          </w:p>
        </w:tc>
        <w:tc>
          <w:tcPr>
            <w:tcW w:w="1024" w:type="dxa"/>
            <w:tcBorders>
              <w:top w:val="nil"/>
              <w:left w:val="nil"/>
              <w:bottom w:val="single" w:sz="4" w:space="0" w:color="auto"/>
              <w:right w:val="single" w:sz="4" w:space="0" w:color="auto"/>
            </w:tcBorders>
            <w:noWrap/>
            <w:vAlign w:val="center"/>
          </w:tcPr>
          <w:p w14:paraId="7A372CF5" w14:textId="77777777" w:rsidR="00553F9D"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=89个</w:t>
            </w:r>
          </w:p>
        </w:tc>
        <w:tc>
          <w:tcPr>
            <w:tcW w:w="630" w:type="dxa"/>
            <w:tcBorders>
              <w:top w:val="nil"/>
              <w:left w:val="nil"/>
              <w:bottom w:val="single" w:sz="4" w:space="0" w:color="auto"/>
              <w:right w:val="single" w:sz="4" w:space="0" w:color="auto"/>
            </w:tcBorders>
            <w:noWrap/>
            <w:vAlign w:val="center"/>
          </w:tcPr>
          <w:p w14:paraId="424A80DE" w14:textId="77777777" w:rsidR="00553F9D"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30</w:t>
            </w:r>
          </w:p>
        </w:tc>
        <w:tc>
          <w:tcPr>
            <w:tcW w:w="660" w:type="dxa"/>
            <w:tcBorders>
              <w:top w:val="nil"/>
              <w:left w:val="nil"/>
              <w:bottom w:val="nil"/>
              <w:right w:val="nil"/>
            </w:tcBorders>
            <w:noWrap/>
            <w:vAlign w:val="center"/>
          </w:tcPr>
          <w:p w14:paraId="454FECB7" w14:textId="77777777" w:rsidR="00553F9D" w:rsidRDefault="00553F9D">
            <w:pPr>
              <w:widowControl/>
              <w:jc w:val="center"/>
              <w:rPr>
                <w:rFonts w:ascii="宋体" w:eastAsia="宋体" w:hAnsi="宋体" w:cs="宋体" w:hint="eastAsia"/>
                <w:sz w:val="18"/>
                <w:szCs w:val="18"/>
              </w:rPr>
            </w:pPr>
          </w:p>
        </w:tc>
      </w:tr>
    </w:tbl>
    <w:p w14:paraId="265D6B77" w14:textId="77777777" w:rsidR="00553F9D"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11CAACFD" w14:textId="77777777" w:rsidR="00553F9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67"/>
        <w:gridCol w:w="519"/>
        <w:gridCol w:w="774"/>
        <w:gridCol w:w="531"/>
        <w:gridCol w:w="756"/>
        <w:gridCol w:w="846"/>
        <w:gridCol w:w="756"/>
        <w:gridCol w:w="666"/>
        <w:gridCol w:w="545"/>
        <w:gridCol w:w="522"/>
        <w:gridCol w:w="518"/>
        <w:gridCol w:w="520"/>
        <w:gridCol w:w="860"/>
      </w:tblGrid>
      <w:tr w:rsidR="00553F9D" w14:paraId="60DDA84C"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3DE608CB" w14:textId="77777777" w:rsidR="00553F9D" w:rsidRDefault="00000000">
            <w:pPr>
              <w:widowControl/>
              <w:jc w:val="center"/>
              <w:rPr>
                <w:rFonts w:ascii="宋体" w:eastAsia="宋体" w:hAnsi="宋体" w:cs="宋体" w:hint="eastAsia"/>
                <w:b/>
                <w:bCs/>
                <w:color w:val="000000"/>
                <w:sz w:val="18"/>
                <w:szCs w:val="18"/>
              </w:rPr>
            </w:pPr>
            <w:bookmarkStart w:id="4" w:name="_Hlk201837198"/>
            <w:r>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tcPr>
          <w:p w14:paraId="52B5B984"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关于下达2024年法律援助中心业务经费的通知</w:t>
            </w:r>
          </w:p>
        </w:tc>
      </w:tr>
      <w:tr w:rsidR="00553F9D" w14:paraId="71DC03A4"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44FD0F4F" w14:textId="77777777" w:rsidR="00553F9D"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98" w:type="pct"/>
            <w:gridSpan w:val="5"/>
            <w:tcBorders>
              <w:top w:val="single" w:sz="4" w:space="0" w:color="auto"/>
              <w:left w:val="nil"/>
              <w:bottom w:val="single" w:sz="4" w:space="0" w:color="auto"/>
              <w:right w:val="single" w:sz="4" w:space="0" w:color="auto"/>
            </w:tcBorders>
            <w:vAlign w:val="center"/>
          </w:tcPr>
          <w:p w14:paraId="448F1486"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奇台县司法局</w:t>
            </w:r>
          </w:p>
        </w:tc>
        <w:tc>
          <w:tcPr>
            <w:tcW w:w="666" w:type="pct"/>
            <w:gridSpan w:val="2"/>
            <w:tcBorders>
              <w:top w:val="single" w:sz="4" w:space="0" w:color="auto"/>
              <w:left w:val="nil"/>
              <w:bottom w:val="single" w:sz="4" w:space="0" w:color="auto"/>
              <w:right w:val="single" w:sz="4" w:space="0" w:color="auto"/>
            </w:tcBorders>
            <w:vAlign w:val="center"/>
          </w:tcPr>
          <w:p w14:paraId="3103DF07" w14:textId="77777777" w:rsidR="00553F9D"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68" w:type="pct"/>
            <w:gridSpan w:val="5"/>
            <w:tcBorders>
              <w:top w:val="single" w:sz="4" w:space="0" w:color="auto"/>
              <w:left w:val="nil"/>
              <w:bottom w:val="single" w:sz="4" w:space="0" w:color="auto"/>
              <w:right w:val="single" w:sz="4" w:space="0" w:color="auto"/>
            </w:tcBorders>
            <w:vAlign w:val="center"/>
          </w:tcPr>
          <w:p w14:paraId="12A137BE"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奇台县司法局</w:t>
            </w:r>
          </w:p>
        </w:tc>
      </w:tr>
      <w:tr w:rsidR="00553F9D" w14:paraId="0472C4E3"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72D77788" w14:textId="77777777" w:rsidR="00553F9D"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tcPr>
          <w:p w14:paraId="7CA8051A" w14:textId="77777777" w:rsidR="00553F9D" w:rsidRDefault="00553F9D">
            <w:pPr>
              <w:widowControl/>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0F2EC785" w14:textId="77777777" w:rsidR="00553F9D"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2" w:type="pct"/>
            <w:gridSpan w:val="3"/>
            <w:tcBorders>
              <w:top w:val="single" w:sz="4" w:space="0" w:color="auto"/>
              <w:left w:val="nil"/>
              <w:bottom w:val="single" w:sz="4" w:space="0" w:color="auto"/>
              <w:right w:val="single" w:sz="4" w:space="0" w:color="auto"/>
            </w:tcBorders>
            <w:vAlign w:val="center"/>
          </w:tcPr>
          <w:p w14:paraId="104D1350" w14:textId="77777777" w:rsidR="00553F9D"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5E5F5685" w14:textId="77777777" w:rsidR="00553F9D"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8" w:type="pct"/>
            <w:gridSpan w:val="2"/>
            <w:tcBorders>
              <w:top w:val="nil"/>
              <w:left w:val="nil"/>
              <w:bottom w:val="single" w:sz="4" w:space="0" w:color="auto"/>
              <w:right w:val="single" w:sz="4" w:space="0" w:color="auto"/>
            </w:tcBorders>
            <w:vAlign w:val="center"/>
          </w:tcPr>
          <w:p w14:paraId="6E9AB5BA" w14:textId="77777777" w:rsidR="00553F9D"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2" w:type="pct"/>
            <w:gridSpan w:val="2"/>
            <w:tcBorders>
              <w:top w:val="single" w:sz="4" w:space="0" w:color="auto"/>
              <w:left w:val="nil"/>
              <w:bottom w:val="single" w:sz="4" w:space="0" w:color="auto"/>
              <w:right w:val="single" w:sz="4" w:space="0" w:color="auto"/>
            </w:tcBorders>
            <w:vAlign w:val="center"/>
          </w:tcPr>
          <w:p w14:paraId="4011E7B9" w14:textId="77777777" w:rsidR="00553F9D"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7" w:type="pct"/>
            <w:tcBorders>
              <w:top w:val="nil"/>
              <w:left w:val="nil"/>
              <w:bottom w:val="single" w:sz="4" w:space="0" w:color="auto"/>
              <w:right w:val="single" w:sz="4" w:space="0" w:color="auto"/>
            </w:tcBorders>
            <w:vAlign w:val="center"/>
          </w:tcPr>
          <w:p w14:paraId="5E778CC8" w14:textId="77777777" w:rsidR="00553F9D"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553F9D" w14:paraId="5EEE8B33"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132488E1" w14:textId="77777777" w:rsidR="00553F9D" w:rsidRDefault="00553F9D">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609DB70A" w14:textId="77777777" w:rsidR="00553F9D"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676BC4E5"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16.00</w:t>
            </w:r>
          </w:p>
        </w:tc>
        <w:tc>
          <w:tcPr>
            <w:tcW w:w="992" w:type="pct"/>
            <w:gridSpan w:val="3"/>
            <w:tcBorders>
              <w:top w:val="single" w:sz="4" w:space="0" w:color="auto"/>
              <w:left w:val="nil"/>
              <w:bottom w:val="single" w:sz="4" w:space="0" w:color="auto"/>
              <w:right w:val="single" w:sz="4" w:space="0" w:color="auto"/>
            </w:tcBorders>
            <w:vAlign w:val="center"/>
          </w:tcPr>
          <w:p w14:paraId="609136B9"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16.00</w:t>
            </w:r>
          </w:p>
        </w:tc>
        <w:tc>
          <w:tcPr>
            <w:tcW w:w="666" w:type="pct"/>
            <w:gridSpan w:val="2"/>
            <w:tcBorders>
              <w:top w:val="single" w:sz="4" w:space="0" w:color="auto"/>
              <w:left w:val="nil"/>
              <w:bottom w:val="single" w:sz="4" w:space="0" w:color="auto"/>
              <w:right w:val="single" w:sz="4" w:space="0" w:color="auto"/>
            </w:tcBorders>
            <w:vAlign w:val="center"/>
          </w:tcPr>
          <w:p w14:paraId="28E8BE42"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14.31</w:t>
            </w:r>
          </w:p>
        </w:tc>
        <w:tc>
          <w:tcPr>
            <w:tcW w:w="678" w:type="pct"/>
            <w:gridSpan w:val="2"/>
            <w:tcBorders>
              <w:top w:val="nil"/>
              <w:left w:val="nil"/>
              <w:bottom w:val="single" w:sz="4" w:space="0" w:color="auto"/>
              <w:right w:val="single" w:sz="4" w:space="0" w:color="auto"/>
            </w:tcBorders>
            <w:vAlign w:val="center"/>
          </w:tcPr>
          <w:p w14:paraId="59AB5F73"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1A5B9423"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89.44%</w:t>
            </w:r>
          </w:p>
        </w:tc>
        <w:tc>
          <w:tcPr>
            <w:tcW w:w="527" w:type="pct"/>
            <w:tcBorders>
              <w:top w:val="nil"/>
              <w:left w:val="nil"/>
              <w:bottom w:val="single" w:sz="4" w:space="0" w:color="auto"/>
              <w:right w:val="single" w:sz="4" w:space="0" w:color="auto"/>
            </w:tcBorders>
            <w:vAlign w:val="center"/>
          </w:tcPr>
          <w:p w14:paraId="2735F79A"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7.36</w:t>
            </w:r>
          </w:p>
        </w:tc>
      </w:tr>
      <w:tr w:rsidR="00553F9D" w14:paraId="634CEC1A"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7DCEE9F8" w14:textId="77777777" w:rsidR="00553F9D" w:rsidRDefault="00553F9D">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35827D03" w14:textId="77777777" w:rsidR="00553F9D"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1E3A6601"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16.00</w:t>
            </w:r>
          </w:p>
        </w:tc>
        <w:tc>
          <w:tcPr>
            <w:tcW w:w="992" w:type="pct"/>
            <w:gridSpan w:val="3"/>
            <w:tcBorders>
              <w:top w:val="single" w:sz="4" w:space="0" w:color="auto"/>
              <w:left w:val="nil"/>
              <w:bottom w:val="single" w:sz="4" w:space="0" w:color="auto"/>
              <w:right w:val="single" w:sz="4" w:space="0" w:color="auto"/>
            </w:tcBorders>
            <w:vAlign w:val="center"/>
          </w:tcPr>
          <w:p w14:paraId="5EDE2B01"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16.00</w:t>
            </w:r>
          </w:p>
        </w:tc>
        <w:tc>
          <w:tcPr>
            <w:tcW w:w="666" w:type="pct"/>
            <w:gridSpan w:val="2"/>
            <w:tcBorders>
              <w:top w:val="single" w:sz="4" w:space="0" w:color="auto"/>
              <w:left w:val="nil"/>
              <w:bottom w:val="single" w:sz="4" w:space="0" w:color="auto"/>
              <w:right w:val="single" w:sz="4" w:space="0" w:color="auto"/>
            </w:tcBorders>
            <w:vAlign w:val="center"/>
          </w:tcPr>
          <w:p w14:paraId="0D6F07EC"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14.31</w:t>
            </w:r>
          </w:p>
        </w:tc>
        <w:tc>
          <w:tcPr>
            <w:tcW w:w="678" w:type="pct"/>
            <w:gridSpan w:val="2"/>
            <w:tcBorders>
              <w:top w:val="nil"/>
              <w:left w:val="nil"/>
              <w:bottom w:val="single" w:sz="4" w:space="0" w:color="auto"/>
              <w:right w:val="single" w:sz="4" w:space="0" w:color="auto"/>
            </w:tcBorders>
            <w:vAlign w:val="center"/>
          </w:tcPr>
          <w:p w14:paraId="36D231EF"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45D471C7"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6D1EAF2D"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53F9D" w14:paraId="4803430C"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57AAD2B0" w14:textId="77777777" w:rsidR="00553F9D" w:rsidRDefault="00553F9D">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48BFFA32" w14:textId="77777777" w:rsidR="00553F9D"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62E872A7"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2968340C"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44140900"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tcPr>
          <w:p w14:paraId="30596B90"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23CDEE3F"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79AD884E"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53F9D" w14:paraId="44C04054"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50A6173F" w14:textId="77777777" w:rsidR="00553F9D"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34" w:type="pct"/>
            <w:gridSpan w:val="6"/>
            <w:tcBorders>
              <w:top w:val="single" w:sz="4" w:space="0" w:color="auto"/>
              <w:left w:val="nil"/>
              <w:bottom w:val="single" w:sz="4" w:space="0" w:color="auto"/>
              <w:right w:val="single" w:sz="4" w:space="0" w:color="auto"/>
            </w:tcBorders>
            <w:vAlign w:val="center"/>
          </w:tcPr>
          <w:p w14:paraId="73596E2C" w14:textId="77777777" w:rsidR="00553F9D"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34" w:type="pct"/>
            <w:gridSpan w:val="7"/>
            <w:tcBorders>
              <w:top w:val="single" w:sz="4" w:space="0" w:color="auto"/>
              <w:left w:val="nil"/>
              <w:bottom w:val="single" w:sz="4" w:space="0" w:color="auto"/>
              <w:right w:val="single" w:sz="4" w:space="0" w:color="auto"/>
            </w:tcBorders>
            <w:vAlign w:val="center"/>
          </w:tcPr>
          <w:p w14:paraId="7401681A" w14:textId="77777777" w:rsidR="00553F9D"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553F9D" w14:paraId="683271D4"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36B31438" w14:textId="77777777" w:rsidR="00553F9D" w:rsidRDefault="00553F9D">
            <w:pPr>
              <w:widowControl/>
              <w:jc w:val="left"/>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7150ABF9"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公共法律服务中心2024年认真贯彻落实中央和区州党委关于市域社会治理工作的各项部署要求，以矛盾纠纷调处化解体系建设为突破口，着力从调解工作载体、机制、资源方面入手，及时排查化解各类矛盾纠纷，做到发现在早、防范在先、处置在小。</w:t>
            </w:r>
          </w:p>
        </w:tc>
        <w:tc>
          <w:tcPr>
            <w:tcW w:w="2534" w:type="pct"/>
            <w:gridSpan w:val="7"/>
            <w:tcBorders>
              <w:top w:val="single" w:sz="4" w:space="0" w:color="auto"/>
              <w:left w:val="nil"/>
              <w:bottom w:val="single" w:sz="4" w:space="0" w:color="auto"/>
              <w:right w:val="single" w:sz="4" w:space="0" w:color="auto"/>
            </w:tcBorders>
            <w:vAlign w:val="center"/>
          </w:tcPr>
          <w:p w14:paraId="7412D88A"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截止2024年12月31日，该项目实际完成89.44%，通过该项目的实施，提升了奇台县法律援助中心的基本运转效率，促进了法律援助中心为各族干部群众提供高效便捷等法律服务，取得了良好的社会效果和法治效果。</w:t>
            </w:r>
          </w:p>
        </w:tc>
      </w:tr>
      <w:tr w:rsidR="00553F9D" w14:paraId="638DD3D1" w14:textId="77777777">
        <w:trPr>
          <w:trHeight w:val="820"/>
        </w:trPr>
        <w:tc>
          <w:tcPr>
            <w:tcW w:w="332" w:type="pct"/>
            <w:tcBorders>
              <w:top w:val="nil"/>
              <w:left w:val="single" w:sz="4" w:space="0" w:color="auto"/>
              <w:bottom w:val="single" w:sz="4" w:space="0" w:color="auto"/>
              <w:right w:val="single" w:sz="4" w:space="0" w:color="auto"/>
            </w:tcBorders>
            <w:vAlign w:val="center"/>
          </w:tcPr>
          <w:p w14:paraId="31E21147" w14:textId="77777777" w:rsidR="00553F9D" w:rsidRDefault="00553F9D">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32C099CF" w14:textId="77777777" w:rsidR="00553F9D"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tcPr>
          <w:p w14:paraId="3F09F093" w14:textId="77777777" w:rsidR="00553F9D"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tcPr>
          <w:p w14:paraId="6D8DBFA8" w14:textId="77777777" w:rsidR="00553F9D"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tcPr>
          <w:p w14:paraId="45787C2B" w14:textId="77777777" w:rsidR="00553F9D"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tcPr>
          <w:p w14:paraId="63932F0C" w14:textId="77777777" w:rsidR="00553F9D"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tcPr>
          <w:p w14:paraId="52E20BD8" w14:textId="77777777" w:rsidR="00553F9D"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tcPr>
          <w:p w14:paraId="695F5FC4" w14:textId="77777777" w:rsidR="00553F9D"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tcPr>
          <w:p w14:paraId="0EDE7E9F" w14:textId="77777777" w:rsidR="00553F9D"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tcPr>
          <w:p w14:paraId="49A91994" w14:textId="77777777" w:rsidR="00553F9D"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tcPr>
          <w:p w14:paraId="636D7BB3" w14:textId="77777777" w:rsidR="00553F9D"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tcPr>
          <w:p w14:paraId="786ABE36" w14:textId="77777777" w:rsidR="00553F9D"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32" w:type="pct"/>
            <w:tcBorders>
              <w:top w:val="nil"/>
              <w:left w:val="nil"/>
              <w:bottom w:val="single" w:sz="4" w:space="0" w:color="auto"/>
              <w:right w:val="single" w:sz="4" w:space="0" w:color="auto"/>
            </w:tcBorders>
            <w:vAlign w:val="center"/>
          </w:tcPr>
          <w:p w14:paraId="10FE8BD4" w14:textId="77777777" w:rsidR="00553F9D"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7" w:type="pct"/>
            <w:tcBorders>
              <w:top w:val="nil"/>
              <w:left w:val="nil"/>
              <w:bottom w:val="single" w:sz="4" w:space="0" w:color="auto"/>
              <w:right w:val="single" w:sz="4" w:space="0" w:color="auto"/>
            </w:tcBorders>
            <w:vAlign w:val="center"/>
          </w:tcPr>
          <w:p w14:paraId="3CBFF8D9" w14:textId="77777777" w:rsidR="00553F9D"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553F9D" w14:paraId="599A6F62" w14:textId="77777777">
        <w:trPr>
          <w:trHeight w:val="800"/>
        </w:trPr>
        <w:tc>
          <w:tcPr>
            <w:tcW w:w="332" w:type="pct"/>
            <w:vMerge w:val="restart"/>
            <w:tcBorders>
              <w:top w:val="nil"/>
              <w:left w:val="single" w:sz="4" w:space="0" w:color="auto"/>
              <w:right w:val="single" w:sz="4" w:space="0" w:color="auto"/>
            </w:tcBorders>
            <w:vAlign w:val="center"/>
          </w:tcPr>
          <w:p w14:paraId="0C1F17BA"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6" w:type="pct"/>
            <w:vMerge w:val="restart"/>
            <w:tcBorders>
              <w:top w:val="nil"/>
              <w:left w:val="nil"/>
              <w:right w:val="single" w:sz="4" w:space="0" w:color="auto"/>
            </w:tcBorders>
            <w:vAlign w:val="center"/>
          </w:tcPr>
          <w:p w14:paraId="2F793529"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4F558EEA"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2F3F9763" w14:textId="77777777" w:rsidR="00553F9D"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房屋建筑物供暖面积</w:t>
            </w:r>
          </w:p>
        </w:tc>
        <w:tc>
          <w:tcPr>
            <w:tcW w:w="338" w:type="pct"/>
            <w:tcBorders>
              <w:top w:val="nil"/>
              <w:left w:val="nil"/>
              <w:bottom w:val="single" w:sz="4" w:space="0" w:color="auto"/>
              <w:right w:val="single" w:sz="4" w:space="0" w:color="auto"/>
            </w:tcBorders>
            <w:vAlign w:val="center"/>
          </w:tcPr>
          <w:p w14:paraId="010509E9"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47F9880C"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=1727平方米</w:t>
            </w:r>
          </w:p>
        </w:tc>
        <w:tc>
          <w:tcPr>
            <w:tcW w:w="337" w:type="pct"/>
            <w:tcBorders>
              <w:top w:val="nil"/>
              <w:left w:val="nil"/>
              <w:bottom w:val="single" w:sz="4" w:space="0" w:color="auto"/>
              <w:right w:val="single" w:sz="4" w:space="0" w:color="auto"/>
            </w:tcBorders>
            <w:vAlign w:val="center"/>
          </w:tcPr>
          <w:p w14:paraId="1385E799"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=1853.5平方米</w:t>
            </w:r>
          </w:p>
        </w:tc>
        <w:tc>
          <w:tcPr>
            <w:tcW w:w="332" w:type="pct"/>
            <w:tcBorders>
              <w:top w:val="nil"/>
              <w:left w:val="nil"/>
              <w:bottom w:val="single" w:sz="4" w:space="0" w:color="auto"/>
              <w:right w:val="single" w:sz="4" w:space="0" w:color="auto"/>
            </w:tcBorders>
            <w:vAlign w:val="center"/>
          </w:tcPr>
          <w:p w14:paraId="1DC44EF1"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107.31</w:t>
            </w:r>
          </w:p>
        </w:tc>
        <w:tc>
          <w:tcPr>
            <w:tcW w:w="334" w:type="pct"/>
            <w:tcBorders>
              <w:top w:val="nil"/>
              <w:left w:val="nil"/>
              <w:bottom w:val="single" w:sz="4" w:space="0" w:color="auto"/>
              <w:right w:val="single" w:sz="4" w:space="0" w:color="auto"/>
            </w:tcBorders>
            <w:vAlign w:val="center"/>
          </w:tcPr>
          <w:p w14:paraId="732BA03B"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9.27</w:t>
            </w:r>
          </w:p>
        </w:tc>
        <w:tc>
          <w:tcPr>
            <w:tcW w:w="346" w:type="pct"/>
            <w:tcBorders>
              <w:top w:val="nil"/>
              <w:left w:val="nil"/>
              <w:bottom w:val="single" w:sz="4" w:space="0" w:color="auto"/>
              <w:right w:val="single" w:sz="4" w:space="0" w:color="auto"/>
            </w:tcBorders>
            <w:vAlign w:val="center"/>
          </w:tcPr>
          <w:p w14:paraId="48C63CED"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93E3C71"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B848536"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69241AA9"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5F12A20C"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经与热力公司对接，实际面积大于年初预计面积，下一步计划积极与热力公司对接供暖面积</w:t>
            </w:r>
          </w:p>
        </w:tc>
      </w:tr>
      <w:tr w:rsidR="00553F9D" w14:paraId="5D99B156" w14:textId="77777777">
        <w:trPr>
          <w:trHeight w:val="800"/>
        </w:trPr>
        <w:tc>
          <w:tcPr>
            <w:tcW w:w="332" w:type="pct"/>
            <w:vMerge/>
            <w:tcBorders>
              <w:left w:val="single" w:sz="4" w:space="0" w:color="auto"/>
              <w:right w:val="single" w:sz="4" w:space="0" w:color="auto"/>
            </w:tcBorders>
            <w:vAlign w:val="center"/>
          </w:tcPr>
          <w:p w14:paraId="4BD63970" w14:textId="77777777" w:rsidR="00553F9D" w:rsidRDefault="00553F9D">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37871598" w14:textId="77777777" w:rsidR="00553F9D" w:rsidRDefault="00553F9D">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8F6B1D7"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1A99625F" w14:textId="77777777" w:rsidR="00553F9D"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保障办公人员数量</w:t>
            </w:r>
          </w:p>
        </w:tc>
        <w:tc>
          <w:tcPr>
            <w:tcW w:w="338" w:type="pct"/>
            <w:tcBorders>
              <w:top w:val="nil"/>
              <w:left w:val="nil"/>
              <w:bottom w:val="single" w:sz="4" w:space="0" w:color="auto"/>
              <w:right w:val="single" w:sz="4" w:space="0" w:color="auto"/>
            </w:tcBorders>
            <w:vAlign w:val="center"/>
          </w:tcPr>
          <w:p w14:paraId="0F8EFFCC"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1F7CCF2"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=2人</w:t>
            </w:r>
          </w:p>
        </w:tc>
        <w:tc>
          <w:tcPr>
            <w:tcW w:w="337" w:type="pct"/>
            <w:tcBorders>
              <w:top w:val="nil"/>
              <w:left w:val="nil"/>
              <w:bottom w:val="single" w:sz="4" w:space="0" w:color="auto"/>
              <w:right w:val="single" w:sz="4" w:space="0" w:color="auto"/>
            </w:tcBorders>
            <w:vAlign w:val="center"/>
          </w:tcPr>
          <w:p w14:paraId="24B0C709"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=2人</w:t>
            </w:r>
          </w:p>
        </w:tc>
        <w:tc>
          <w:tcPr>
            <w:tcW w:w="332" w:type="pct"/>
            <w:tcBorders>
              <w:top w:val="nil"/>
              <w:left w:val="nil"/>
              <w:bottom w:val="single" w:sz="4" w:space="0" w:color="auto"/>
              <w:right w:val="single" w:sz="4" w:space="0" w:color="auto"/>
            </w:tcBorders>
            <w:vAlign w:val="center"/>
          </w:tcPr>
          <w:p w14:paraId="5E43DC34"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94B0DBE"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02451F82"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B3A9CAC"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AF644A5"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2E1640DC"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3C809CF8" w14:textId="77777777" w:rsidR="00553F9D" w:rsidRDefault="00553F9D">
            <w:pPr>
              <w:widowControl/>
              <w:jc w:val="center"/>
              <w:rPr>
                <w:rFonts w:ascii="宋体" w:eastAsia="宋体" w:hAnsi="宋体" w:cs="宋体" w:hint="eastAsia"/>
                <w:color w:val="000000"/>
                <w:sz w:val="18"/>
                <w:szCs w:val="18"/>
              </w:rPr>
            </w:pPr>
          </w:p>
        </w:tc>
      </w:tr>
      <w:tr w:rsidR="00553F9D" w14:paraId="58C0D990" w14:textId="77777777">
        <w:trPr>
          <w:trHeight w:val="800"/>
        </w:trPr>
        <w:tc>
          <w:tcPr>
            <w:tcW w:w="332" w:type="pct"/>
            <w:vMerge/>
            <w:tcBorders>
              <w:left w:val="single" w:sz="4" w:space="0" w:color="auto"/>
              <w:right w:val="single" w:sz="4" w:space="0" w:color="auto"/>
            </w:tcBorders>
            <w:vAlign w:val="center"/>
          </w:tcPr>
          <w:p w14:paraId="6A6D4320" w14:textId="77777777" w:rsidR="00553F9D" w:rsidRDefault="00553F9D">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70ED35BC" w14:textId="77777777" w:rsidR="00553F9D" w:rsidRDefault="00553F9D">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5380C52"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261A4576" w14:textId="77777777" w:rsidR="00553F9D"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资金拨付准确率</w:t>
            </w:r>
          </w:p>
        </w:tc>
        <w:tc>
          <w:tcPr>
            <w:tcW w:w="338" w:type="pct"/>
            <w:tcBorders>
              <w:top w:val="nil"/>
              <w:left w:val="nil"/>
              <w:bottom w:val="single" w:sz="4" w:space="0" w:color="auto"/>
              <w:right w:val="single" w:sz="4" w:space="0" w:color="auto"/>
            </w:tcBorders>
            <w:vAlign w:val="center"/>
          </w:tcPr>
          <w:p w14:paraId="1F326E70"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FC12C6E"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27253D21"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18437D52"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90D35C2"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082F718E"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AC04F3D"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D2DF46F"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72627E71"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3F21D008" w14:textId="77777777" w:rsidR="00553F9D" w:rsidRDefault="00553F9D">
            <w:pPr>
              <w:widowControl/>
              <w:jc w:val="center"/>
              <w:rPr>
                <w:rFonts w:ascii="宋体" w:eastAsia="宋体" w:hAnsi="宋体" w:cs="宋体" w:hint="eastAsia"/>
                <w:color w:val="000000"/>
                <w:sz w:val="18"/>
                <w:szCs w:val="18"/>
              </w:rPr>
            </w:pPr>
          </w:p>
        </w:tc>
      </w:tr>
      <w:tr w:rsidR="00553F9D" w14:paraId="0405A6B4" w14:textId="77777777">
        <w:trPr>
          <w:trHeight w:val="800"/>
        </w:trPr>
        <w:tc>
          <w:tcPr>
            <w:tcW w:w="332" w:type="pct"/>
            <w:vMerge/>
            <w:tcBorders>
              <w:left w:val="single" w:sz="4" w:space="0" w:color="auto"/>
              <w:right w:val="single" w:sz="4" w:space="0" w:color="auto"/>
            </w:tcBorders>
            <w:vAlign w:val="center"/>
          </w:tcPr>
          <w:p w14:paraId="06161ACA" w14:textId="77777777" w:rsidR="00553F9D" w:rsidRDefault="00553F9D">
            <w:pPr>
              <w:widowControl/>
              <w:jc w:val="left"/>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15B31A82" w14:textId="77777777" w:rsidR="00553F9D" w:rsidRDefault="00553F9D">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B7011AE"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26532C3E" w14:textId="77777777" w:rsidR="00553F9D"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公用经费支付及时率</w:t>
            </w:r>
          </w:p>
        </w:tc>
        <w:tc>
          <w:tcPr>
            <w:tcW w:w="338" w:type="pct"/>
            <w:tcBorders>
              <w:top w:val="nil"/>
              <w:left w:val="nil"/>
              <w:bottom w:val="single" w:sz="4" w:space="0" w:color="auto"/>
              <w:right w:val="single" w:sz="4" w:space="0" w:color="auto"/>
            </w:tcBorders>
            <w:vAlign w:val="center"/>
          </w:tcPr>
          <w:p w14:paraId="6813656D"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3B97036"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5DF01353"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33493B8A"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04B6CED"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115A74E1"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07319B7"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DF72B32"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3C496A7D"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5CE75999" w14:textId="77777777" w:rsidR="00553F9D" w:rsidRDefault="00553F9D">
            <w:pPr>
              <w:widowControl/>
              <w:jc w:val="center"/>
              <w:rPr>
                <w:rFonts w:ascii="宋体" w:eastAsia="宋体" w:hAnsi="宋体" w:cs="宋体" w:hint="eastAsia"/>
                <w:color w:val="000000"/>
                <w:sz w:val="18"/>
                <w:szCs w:val="18"/>
              </w:rPr>
            </w:pPr>
          </w:p>
        </w:tc>
      </w:tr>
      <w:tr w:rsidR="00553F9D" w14:paraId="2C643762" w14:textId="77777777">
        <w:trPr>
          <w:trHeight w:val="800"/>
        </w:trPr>
        <w:tc>
          <w:tcPr>
            <w:tcW w:w="332" w:type="pct"/>
            <w:vMerge/>
            <w:tcBorders>
              <w:left w:val="single" w:sz="4" w:space="0" w:color="auto"/>
              <w:right w:val="single" w:sz="4" w:space="0" w:color="auto"/>
            </w:tcBorders>
            <w:vAlign w:val="center"/>
          </w:tcPr>
          <w:p w14:paraId="2644EA63" w14:textId="77777777" w:rsidR="00553F9D" w:rsidRDefault="00553F9D">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5B098E40"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177E5509"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53A73994" w14:textId="77777777" w:rsidR="00553F9D"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8" w:type="pct"/>
            <w:tcBorders>
              <w:top w:val="nil"/>
              <w:left w:val="nil"/>
              <w:bottom w:val="single" w:sz="4" w:space="0" w:color="auto"/>
              <w:right w:val="single" w:sz="4" w:space="0" w:color="auto"/>
            </w:tcBorders>
            <w:vAlign w:val="center"/>
          </w:tcPr>
          <w:p w14:paraId="753AFB10"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40CDF82A"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265D60B3"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=89.44%</w:t>
            </w:r>
          </w:p>
        </w:tc>
        <w:tc>
          <w:tcPr>
            <w:tcW w:w="332" w:type="pct"/>
            <w:tcBorders>
              <w:top w:val="nil"/>
              <w:left w:val="nil"/>
              <w:bottom w:val="single" w:sz="4" w:space="0" w:color="auto"/>
              <w:right w:val="single" w:sz="4" w:space="0" w:color="auto"/>
            </w:tcBorders>
            <w:vAlign w:val="center"/>
          </w:tcPr>
          <w:p w14:paraId="39D7191C"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89.44</w:t>
            </w:r>
          </w:p>
        </w:tc>
        <w:tc>
          <w:tcPr>
            <w:tcW w:w="334" w:type="pct"/>
            <w:tcBorders>
              <w:top w:val="nil"/>
              <w:left w:val="nil"/>
              <w:bottom w:val="single" w:sz="4" w:space="0" w:color="auto"/>
              <w:right w:val="single" w:sz="4" w:space="0" w:color="auto"/>
            </w:tcBorders>
            <w:vAlign w:val="center"/>
          </w:tcPr>
          <w:p w14:paraId="69A4E569"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14.72</w:t>
            </w:r>
          </w:p>
        </w:tc>
        <w:tc>
          <w:tcPr>
            <w:tcW w:w="346" w:type="pct"/>
            <w:tcBorders>
              <w:top w:val="nil"/>
              <w:left w:val="nil"/>
              <w:bottom w:val="single" w:sz="4" w:space="0" w:color="auto"/>
              <w:right w:val="single" w:sz="4" w:space="0" w:color="auto"/>
            </w:tcBorders>
            <w:vAlign w:val="center"/>
          </w:tcPr>
          <w:p w14:paraId="4E64CB67"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62520BC8"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9322AAD"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6EC38C47"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3A6BDD65"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因其他单位平摊保安保洁工资，所以未全部支付完成，下一步计划年初及时与平摊单位对接具体支付金额</w:t>
            </w:r>
          </w:p>
        </w:tc>
      </w:tr>
      <w:tr w:rsidR="00553F9D" w14:paraId="4FA3EB05" w14:textId="77777777">
        <w:trPr>
          <w:trHeight w:val="800"/>
        </w:trPr>
        <w:tc>
          <w:tcPr>
            <w:tcW w:w="332" w:type="pct"/>
            <w:vMerge/>
            <w:tcBorders>
              <w:left w:val="single" w:sz="4" w:space="0" w:color="auto"/>
              <w:right w:val="single" w:sz="4" w:space="0" w:color="auto"/>
            </w:tcBorders>
            <w:vAlign w:val="center"/>
          </w:tcPr>
          <w:p w14:paraId="7BB02EBF" w14:textId="77777777" w:rsidR="00553F9D" w:rsidRDefault="00553F9D">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201BF492"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5F061F43"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11990B2C" w14:textId="77777777" w:rsidR="00553F9D"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服务群众人次</w:t>
            </w:r>
          </w:p>
        </w:tc>
        <w:tc>
          <w:tcPr>
            <w:tcW w:w="338" w:type="pct"/>
            <w:tcBorders>
              <w:top w:val="nil"/>
              <w:left w:val="nil"/>
              <w:bottom w:val="single" w:sz="4" w:space="0" w:color="auto"/>
              <w:right w:val="single" w:sz="4" w:space="0" w:color="auto"/>
            </w:tcBorders>
            <w:vAlign w:val="center"/>
          </w:tcPr>
          <w:p w14:paraId="5F53CE69"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5790EE16"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&gt;=1200人次</w:t>
            </w:r>
          </w:p>
        </w:tc>
        <w:tc>
          <w:tcPr>
            <w:tcW w:w="337" w:type="pct"/>
            <w:tcBorders>
              <w:top w:val="nil"/>
              <w:left w:val="nil"/>
              <w:bottom w:val="single" w:sz="4" w:space="0" w:color="auto"/>
              <w:right w:val="single" w:sz="4" w:space="0" w:color="auto"/>
            </w:tcBorders>
            <w:vAlign w:val="center"/>
          </w:tcPr>
          <w:p w14:paraId="40DC3E06"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=1200人次</w:t>
            </w:r>
          </w:p>
        </w:tc>
        <w:tc>
          <w:tcPr>
            <w:tcW w:w="332" w:type="pct"/>
            <w:tcBorders>
              <w:top w:val="nil"/>
              <w:left w:val="nil"/>
              <w:bottom w:val="single" w:sz="4" w:space="0" w:color="auto"/>
              <w:right w:val="single" w:sz="4" w:space="0" w:color="auto"/>
            </w:tcBorders>
            <w:vAlign w:val="center"/>
          </w:tcPr>
          <w:p w14:paraId="48AE8DC7"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59C01B5"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3C9F9CA3"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57F306C"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D934E72"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32FC22C6"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34FE213D" w14:textId="77777777" w:rsidR="00553F9D" w:rsidRDefault="00553F9D">
            <w:pPr>
              <w:widowControl/>
              <w:jc w:val="center"/>
              <w:rPr>
                <w:rFonts w:ascii="宋体" w:eastAsia="宋体" w:hAnsi="宋体" w:cs="宋体" w:hint="eastAsia"/>
                <w:color w:val="000000"/>
                <w:sz w:val="18"/>
                <w:szCs w:val="18"/>
              </w:rPr>
            </w:pPr>
          </w:p>
        </w:tc>
      </w:tr>
      <w:tr w:rsidR="00553F9D" w14:paraId="47358153" w14:textId="77777777">
        <w:trPr>
          <w:trHeight w:val="800"/>
        </w:trPr>
        <w:tc>
          <w:tcPr>
            <w:tcW w:w="332" w:type="pct"/>
            <w:vMerge/>
            <w:tcBorders>
              <w:left w:val="single" w:sz="4" w:space="0" w:color="auto"/>
              <w:bottom w:val="single" w:sz="4" w:space="0" w:color="auto"/>
              <w:right w:val="single" w:sz="4" w:space="0" w:color="auto"/>
            </w:tcBorders>
            <w:vAlign w:val="center"/>
          </w:tcPr>
          <w:p w14:paraId="3AB3BC48" w14:textId="77777777" w:rsidR="00553F9D" w:rsidRDefault="00553F9D">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2FB21C2E"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51E8E96C"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04B11412" w14:textId="77777777" w:rsidR="00553F9D"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群众满意度（%）</w:t>
            </w:r>
          </w:p>
        </w:tc>
        <w:tc>
          <w:tcPr>
            <w:tcW w:w="338" w:type="pct"/>
            <w:tcBorders>
              <w:top w:val="nil"/>
              <w:left w:val="nil"/>
              <w:bottom w:val="single" w:sz="4" w:space="0" w:color="auto"/>
              <w:right w:val="single" w:sz="4" w:space="0" w:color="auto"/>
            </w:tcBorders>
            <w:vAlign w:val="center"/>
          </w:tcPr>
          <w:p w14:paraId="14C9EC29"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AA82C4D"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337" w:type="pct"/>
            <w:tcBorders>
              <w:top w:val="nil"/>
              <w:left w:val="nil"/>
              <w:bottom w:val="single" w:sz="4" w:space="0" w:color="auto"/>
              <w:right w:val="single" w:sz="4" w:space="0" w:color="auto"/>
            </w:tcBorders>
            <w:vAlign w:val="center"/>
          </w:tcPr>
          <w:p w14:paraId="3EF86B99"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269D18BB"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780C5F6"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4CC73447"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67D78E29"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94B57CE"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2" w:type="pct"/>
            <w:tcBorders>
              <w:top w:val="nil"/>
              <w:left w:val="nil"/>
              <w:bottom w:val="single" w:sz="4" w:space="0" w:color="auto"/>
              <w:right w:val="single" w:sz="4" w:space="0" w:color="auto"/>
            </w:tcBorders>
            <w:vAlign w:val="center"/>
          </w:tcPr>
          <w:p w14:paraId="247695BA"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7" w:type="pct"/>
            <w:tcBorders>
              <w:top w:val="nil"/>
              <w:left w:val="nil"/>
              <w:bottom w:val="single" w:sz="4" w:space="0" w:color="auto"/>
              <w:right w:val="single" w:sz="4" w:space="0" w:color="auto"/>
            </w:tcBorders>
            <w:vAlign w:val="center"/>
          </w:tcPr>
          <w:p w14:paraId="35140B88" w14:textId="77777777" w:rsidR="00553F9D" w:rsidRDefault="00553F9D">
            <w:pPr>
              <w:widowControl/>
              <w:jc w:val="center"/>
              <w:rPr>
                <w:rFonts w:ascii="宋体" w:eastAsia="宋体" w:hAnsi="宋体" w:cs="宋体" w:hint="eastAsia"/>
                <w:color w:val="000000"/>
                <w:sz w:val="18"/>
                <w:szCs w:val="18"/>
              </w:rPr>
            </w:pPr>
          </w:p>
        </w:tc>
      </w:tr>
      <w:tr w:rsidR="00553F9D" w14:paraId="32E4CB51"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328DE2EC" w14:textId="77777777" w:rsidR="00553F9D"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360C3A35" w14:textId="77777777" w:rsidR="00553F9D"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00E442B2" w14:textId="77777777" w:rsidR="00553F9D" w:rsidRDefault="00553F9D">
            <w:pPr>
              <w:widowControl/>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47ED4075" w14:textId="77777777" w:rsidR="00553F9D" w:rsidRDefault="00553F9D">
            <w:pPr>
              <w:widowControl/>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34203FF5" w14:textId="77777777" w:rsidR="00553F9D" w:rsidRDefault="00553F9D">
            <w:pPr>
              <w:widowControl/>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327635D5" w14:textId="77777777" w:rsidR="00553F9D"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91.35分</w:t>
            </w:r>
          </w:p>
        </w:tc>
        <w:tc>
          <w:tcPr>
            <w:tcW w:w="346" w:type="pct"/>
            <w:tcBorders>
              <w:top w:val="single" w:sz="4" w:space="0" w:color="auto"/>
              <w:left w:val="nil"/>
              <w:bottom w:val="single" w:sz="4" w:space="0" w:color="auto"/>
              <w:right w:val="single" w:sz="4" w:space="0" w:color="auto"/>
            </w:tcBorders>
            <w:vAlign w:val="center"/>
          </w:tcPr>
          <w:p w14:paraId="4639050D" w14:textId="77777777" w:rsidR="00553F9D" w:rsidRDefault="00553F9D">
            <w:pPr>
              <w:widowControl/>
              <w:jc w:val="left"/>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364E3DE2" w14:textId="77777777" w:rsidR="00553F9D" w:rsidRDefault="00553F9D">
            <w:pPr>
              <w:widowControl/>
              <w:jc w:val="left"/>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56431A04" w14:textId="77777777" w:rsidR="00553F9D" w:rsidRDefault="00553F9D">
            <w:pPr>
              <w:widowControl/>
              <w:jc w:val="left"/>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7D7FD81C" w14:textId="77777777" w:rsidR="00553F9D" w:rsidRDefault="00553F9D">
            <w:pPr>
              <w:widowControl/>
              <w:jc w:val="left"/>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7F48EA5B" w14:textId="77777777" w:rsidR="00553F9D" w:rsidRDefault="00553F9D">
            <w:pPr>
              <w:widowControl/>
              <w:jc w:val="left"/>
              <w:rPr>
                <w:rFonts w:ascii="宋体" w:eastAsia="宋体" w:hAnsi="宋体" w:cs="宋体" w:hint="eastAsia"/>
                <w:color w:val="000000"/>
                <w:sz w:val="18"/>
                <w:szCs w:val="18"/>
              </w:rPr>
            </w:pPr>
          </w:p>
        </w:tc>
      </w:tr>
      <w:bookmarkEnd w:id="4"/>
    </w:tbl>
    <w:p w14:paraId="7EE29056" w14:textId="77777777" w:rsidR="00553F9D" w:rsidRDefault="00553F9D">
      <w:pPr>
        <w:widowControl/>
        <w:ind w:firstLineChars="200" w:firstLine="640"/>
        <w:rPr>
          <w:rFonts w:ascii="仿宋_GB2312" w:eastAsia="仿宋_GB2312"/>
          <w:sz w:val="32"/>
          <w:szCs w:val="32"/>
        </w:rPr>
      </w:pPr>
    </w:p>
    <w:p w14:paraId="0A122AF0" w14:textId="77777777" w:rsidR="00553F9D" w:rsidRDefault="00553F9D">
      <w:pPr>
        <w:widowControl/>
        <w:ind w:firstLineChars="200" w:firstLine="640"/>
        <w:jc w:val="left"/>
        <w:outlineLvl w:val="1"/>
        <w:rPr>
          <w:rFonts w:ascii="黑体" w:eastAsia="黑体"/>
          <w:sz w:val="32"/>
          <w:szCs w:val="32"/>
        </w:rPr>
      </w:pPr>
    </w:p>
    <w:p w14:paraId="4D42F10D" w14:textId="77777777" w:rsidR="00553F9D" w:rsidRDefault="00000000">
      <w:pPr>
        <w:widowControl/>
        <w:ind w:firstLineChars="200" w:firstLine="640"/>
        <w:jc w:val="left"/>
        <w:outlineLvl w:val="1"/>
        <w:rPr>
          <w:rFonts w:ascii="黑体" w:eastAsia="黑体"/>
          <w:sz w:val="32"/>
          <w:szCs w:val="32"/>
        </w:rPr>
      </w:pPr>
      <w:r>
        <w:rPr>
          <w:rFonts w:ascii="黑体" w:eastAsia="黑体"/>
          <w:sz w:val="32"/>
          <w:szCs w:val="32"/>
        </w:rPr>
        <w:br w:type="page"/>
      </w:r>
      <w:r>
        <w:rPr>
          <w:rFonts w:ascii="黑体" w:eastAsia="黑体"/>
          <w:sz w:val="32"/>
          <w:szCs w:val="32"/>
        </w:rPr>
        <w:lastRenderedPageBreak/>
        <w:t>十二、其他需说明的事项</w:t>
      </w:r>
    </w:p>
    <w:p w14:paraId="21B50937" w14:textId="77777777" w:rsidR="00553F9D" w:rsidRDefault="00000000">
      <w:pPr>
        <w:widowControl/>
        <w:ind w:firstLineChars="200" w:firstLine="640"/>
        <w:jc w:val="left"/>
        <w:rPr>
          <w:rFonts w:ascii="仿宋_GB2312" w:eastAsia="仿宋_GB2312"/>
          <w:sz w:val="32"/>
          <w:szCs w:val="32"/>
        </w:rPr>
      </w:pPr>
      <w:r>
        <w:rPr>
          <w:rFonts w:ascii="仿宋_GB2312" w:eastAsia="仿宋_GB2312" w:hint="eastAsia"/>
          <w:sz w:val="32"/>
          <w:szCs w:val="32"/>
        </w:rPr>
        <w:t>本单位当年预算绩效评价项目有1个涉密项目，涉及全年预算数210.00万元，全年执行数210.00万元，未公开绩效自评表原因：涉密项目不公开项目绩效自评表。</w:t>
      </w:r>
    </w:p>
    <w:p w14:paraId="679B9F1B" w14:textId="77777777" w:rsidR="00553F9D" w:rsidRDefault="00000000">
      <w:pPr>
        <w:widowControl/>
      </w:pPr>
      <w:r>
        <w:rPr>
          <w:sz w:val="0"/>
          <w:szCs w:val="0"/>
        </w:rPr>
        <w:br w:type="page"/>
      </w:r>
    </w:p>
    <w:p w14:paraId="75FFE42C" w14:textId="77777777" w:rsidR="00553F9D" w:rsidRDefault="00000000">
      <w:pPr>
        <w:widowControl/>
        <w:jc w:val="center"/>
        <w:outlineLvl w:val="0"/>
        <w:rPr>
          <w:rFonts w:ascii="黑体" w:eastAsia="黑体"/>
          <w:sz w:val="32"/>
          <w:szCs w:val="32"/>
        </w:rPr>
      </w:pPr>
      <w:r>
        <w:rPr>
          <w:rFonts w:ascii="黑体" w:eastAsia="黑体"/>
          <w:sz w:val="32"/>
          <w:szCs w:val="32"/>
        </w:rPr>
        <w:t>第三部分 专业名词解释</w:t>
      </w:r>
    </w:p>
    <w:p w14:paraId="32AB5E91" w14:textId="77777777" w:rsidR="00553F9D" w:rsidRDefault="00000000">
      <w:pPr>
        <w:widowControl/>
        <w:ind w:firstLineChars="200" w:firstLine="643"/>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sz w:val="32"/>
          <w:szCs w:val="32"/>
        </w:rPr>
        <w:t>指同级财政当年拨付的资金。</w:t>
      </w:r>
    </w:p>
    <w:p w14:paraId="6ECB3B91" w14:textId="77777777" w:rsidR="00553F9D" w:rsidRDefault="00000000">
      <w:pPr>
        <w:widowControl/>
        <w:ind w:firstLineChars="200" w:firstLine="643"/>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sz w:val="32"/>
          <w:szCs w:val="32"/>
        </w:rPr>
        <w:t>指事业单位从主管部门和上级单位取得的非财政补助收入。</w:t>
      </w:r>
    </w:p>
    <w:p w14:paraId="3ABA7880" w14:textId="77777777" w:rsidR="00553F9D" w:rsidRDefault="00000000">
      <w:pPr>
        <w:widowControl/>
        <w:ind w:firstLineChars="200" w:firstLine="643"/>
        <w:jc w:val="left"/>
        <w:rPr>
          <w:rFonts w:ascii="仿宋_GB2312" w:eastAsia="仿宋_GB2312"/>
          <w:sz w:val="32"/>
          <w:szCs w:val="32"/>
        </w:rPr>
      </w:pPr>
      <w:r>
        <w:rPr>
          <w:rFonts w:ascii="仿宋_GB2312" w:eastAsia="仿宋_GB2312"/>
          <w:b/>
          <w:sz w:val="32"/>
          <w:szCs w:val="32"/>
        </w:rPr>
        <w:t>三、事业收入：</w:t>
      </w:r>
      <w:r>
        <w:rPr>
          <w:rFonts w:ascii="仿宋_GB2312" w:eastAsia="仿宋_GB2312"/>
          <w:sz w:val="32"/>
          <w:szCs w:val="32"/>
        </w:rPr>
        <w:t>指事业单位开展专业业务活动及其辅助活动所取得的收入。</w:t>
      </w:r>
    </w:p>
    <w:p w14:paraId="11E0C9C0" w14:textId="77777777" w:rsidR="00553F9D" w:rsidRDefault="00000000">
      <w:pPr>
        <w:widowControl/>
        <w:ind w:firstLineChars="200" w:firstLine="643"/>
        <w:jc w:val="left"/>
        <w:rPr>
          <w:rFonts w:ascii="仿宋_GB2312" w:eastAsia="仿宋_GB2312"/>
          <w:sz w:val="32"/>
          <w:szCs w:val="32"/>
        </w:rPr>
      </w:pPr>
      <w:r>
        <w:rPr>
          <w:rFonts w:ascii="仿宋_GB2312" w:eastAsia="仿宋_GB2312"/>
          <w:b/>
          <w:sz w:val="32"/>
          <w:szCs w:val="32"/>
        </w:rPr>
        <w:t>四、经营收入：</w:t>
      </w:r>
      <w:r>
        <w:rPr>
          <w:rFonts w:ascii="仿宋_GB2312" w:eastAsia="仿宋_GB2312"/>
          <w:sz w:val="32"/>
          <w:szCs w:val="32"/>
        </w:rPr>
        <w:t>指事业单位在专业业务活动及其辅助活动之外开展非独立核算经营活动取得的收入。</w:t>
      </w:r>
    </w:p>
    <w:p w14:paraId="62987C60" w14:textId="77777777" w:rsidR="00553F9D" w:rsidRDefault="00000000">
      <w:pPr>
        <w:widowControl/>
        <w:ind w:firstLineChars="200" w:firstLine="643"/>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sz w:val="32"/>
          <w:szCs w:val="32"/>
        </w:rPr>
        <w:t>指事业单位附属的独立核算单位按有关规定上缴的收入。</w:t>
      </w:r>
    </w:p>
    <w:p w14:paraId="0F9AF53D" w14:textId="77777777" w:rsidR="00553F9D" w:rsidRDefault="00000000">
      <w:pPr>
        <w:widowControl/>
        <w:ind w:firstLineChars="200" w:firstLine="643"/>
        <w:jc w:val="left"/>
        <w:rPr>
          <w:rFonts w:ascii="仿宋_GB2312" w:eastAsia="仿宋_GB2312"/>
          <w:sz w:val="32"/>
          <w:szCs w:val="32"/>
        </w:rPr>
      </w:pPr>
      <w:r>
        <w:rPr>
          <w:rFonts w:ascii="仿宋_GB2312" w:eastAsia="仿宋_GB2312"/>
          <w:b/>
          <w:sz w:val="32"/>
          <w:szCs w:val="32"/>
        </w:rPr>
        <w:t>六、其他收入：</w:t>
      </w:r>
      <w:r>
        <w:rPr>
          <w:rFonts w:ascii="仿宋_GB2312" w:eastAsia="仿宋_GB2312"/>
          <w:sz w:val="32"/>
          <w:szCs w:val="32"/>
        </w:rPr>
        <w:t>指除上述</w:t>
      </w:r>
      <w:r>
        <w:rPr>
          <w:rFonts w:ascii="仿宋_GB2312" w:eastAsia="仿宋_GB2312"/>
          <w:sz w:val="32"/>
          <w:szCs w:val="32"/>
        </w:rPr>
        <w:t>“</w:t>
      </w:r>
      <w:r>
        <w:rPr>
          <w:rFonts w:ascii="仿宋_GB2312" w:eastAsia="仿宋_GB2312"/>
          <w:sz w:val="32"/>
          <w:szCs w:val="32"/>
        </w:rPr>
        <w:t>财政拨款收入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事业收入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经营收入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附属单位上缴收入</w:t>
      </w:r>
      <w:r>
        <w:rPr>
          <w:rFonts w:ascii="仿宋_GB2312" w:eastAsia="仿宋_GB2312"/>
          <w:sz w:val="32"/>
          <w:szCs w:val="32"/>
        </w:rPr>
        <w:t>”</w:t>
      </w:r>
      <w:r>
        <w:rPr>
          <w:rFonts w:ascii="仿宋_GB2312" w:eastAsia="仿宋_GB2312"/>
          <w:sz w:val="32"/>
          <w:szCs w:val="32"/>
        </w:rPr>
        <w:t>等之外取得的收入。</w:t>
      </w:r>
    </w:p>
    <w:p w14:paraId="5BAB90B0" w14:textId="77777777" w:rsidR="00553F9D" w:rsidRDefault="00000000">
      <w:pPr>
        <w:widowControl/>
        <w:ind w:firstLineChars="200" w:firstLine="643"/>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16FCF4DC" w14:textId="77777777" w:rsidR="00553F9D" w:rsidRDefault="00000000">
      <w:pPr>
        <w:widowControl/>
        <w:ind w:firstLineChars="200" w:firstLine="643"/>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6F53388" w14:textId="77777777" w:rsidR="00553F9D" w:rsidRDefault="00000000">
      <w:pPr>
        <w:widowControl/>
        <w:ind w:firstLineChars="200" w:firstLine="643"/>
        <w:jc w:val="left"/>
        <w:rPr>
          <w:rFonts w:ascii="仿宋_GB2312" w:eastAsia="仿宋_GB2312"/>
          <w:sz w:val="32"/>
          <w:szCs w:val="32"/>
        </w:rPr>
      </w:pPr>
      <w:r>
        <w:rPr>
          <w:rFonts w:ascii="仿宋_GB2312" w:eastAsia="仿宋_GB2312"/>
          <w:b/>
          <w:sz w:val="32"/>
          <w:szCs w:val="32"/>
        </w:rPr>
        <w:t>九、基本支出：</w:t>
      </w:r>
      <w:r>
        <w:rPr>
          <w:rFonts w:ascii="仿宋_GB2312" w:eastAsia="仿宋_GB2312"/>
          <w:sz w:val="32"/>
          <w:szCs w:val="32"/>
        </w:rPr>
        <w:t>指为保障机构正常运转、完成日常工作任务而发生的人员支出和公用支出。</w:t>
      </w:r>
    </w:p>
    <w:p w14:paraId="00EB6497" w14:textId="77777777" w:rsidR="00553F9D" w:rsidRDefault="00000000">
      <w:pPr>
        <w:widowControl/>
        <w:ind w:firstLineChars="200" w:firstLine="643"/>
        <w:jc w:val="left"/>
        <w:rPr>
          <w:rFonts w:ascii="仿宋_GB2312" w:eastAsia="仿宋_GB2312"/>
          <w:sz w:val="32"/>
          <w:szCs w:val="32"/>
        </w:rPr>
      </w:pPr>
      <w:r>
        <w:rPr>
          <w:rFonts w:ascii="仿宋_GB2312" w:eastAsia="仿宋_GB2312"/>
          <w:b/>
          <w:sz w:val="32"/>
          <w:szCs w:val="32"/>
        </w:rPr>
        <w:t>十、项目支出：</w:t>
      </w:r>
      <w:r>
        <w:rPr>
          <w:rFonts w:ascii="仿宋_GB2312" w:eastAsia="仿宋_GB2312"/>
          <w:sz w:val="32"/>
          <w:szCs w:val="32"/>
        </w:rPr>
        <w:t>指在基本支出之外为完成特定行政任务和事业发展目标所发生的支出。</w:t>
      </w:r>
    </w:p>
    <w:p w14:paraId="3CA8F2B6" w14:textId="77777777" w:rsidR="00553F9D" w:rsidRDefault="00000000">
      <w:pPr>
        <w:widowControl/>
        <w:ind w:firstLineChars="200" w:firstLine="643"/>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sz w:val="32"/>
          <w:szCs w:val="32"/>
        </w:rPr>
        <w:t>指事业单位在专业业务活动及其辅助活动之外开展非独立核算经营活动发生的支出。</w:t>
      </w:r>
    </w:p>
    <w:p w14:paraId="28D05128" w14:textId="77777777" w:rsidR="00553F9D" w:rsidRDefault="00000000">
      <w:pPr>
        <w:widowControl/>
        <w:ind w:firstLineChars="200" w:firstLine="643"/>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sz w:val="32"/>
          <w:szCs w:val="32"/>
        </w:rPr>
        <w:t>指事业单位发生的用非财政预算资金对附属单位的补助支出。</w:t>
      </w:r>
    </w:p>
    <w:p w14:paraId="513E1602" w14:textId="77777777" w:rsidR="00553F9D" w:rsidRDefault="00000000">
      <w:pPr>
        <w:widowControl/>
        <w:ind w:firstLineChars="200" w:firstLine="643"/>
        <w:jc w:val="left"/>
        <w:rPr>
          <w:rFonts w:ascii="仿宋_GB2312" w:eastAsia="仿宋_GB2312"/>
          <w:sz w:val="32"/>
          <w:szCs w:val="32"/>
        </w:rPr>
      </w:pPr>
      <w:r>
        <w:rPr>
          <w:rFonts w:ascii="仿宋_GB2312" w:eastAsia="仿宋_GB2312"/>
          <w:b/>
          <w:sz w:val="32"/>
          <w:szCs w:val="32"/>
        </w:rPr>
        <w:t>十三、</w:t>
      </w:r>
      <w:r>
        <w:rPr>
          <w:rFonts w:ascii="仿宋_GB2312" w:eastAsia="仿宋_GB2312"/>
          <w:b/>
          <w:sz w:val="32"/>
          <w:szCs w:val="32"/>
        </w:rPr>
        <w:t>“</w:t>
      </w:r>
      <w:r>
        <w:rPr>
          <w:rFonts w:ascii="仿宋_GB2312" w:eastAsia="仿宋_GB2312"/>
          <w:b/>
          <w:sz w:val="32"/>
          <w:szCs w:val="32"/>
        </w:rPr>
        <w:t>三公</w:t>
      </w:r>
      <w:r>
        <w:rPr>
          <w:rFonts w:ascii="仿宋_GB2312" w:eastAsia="仿宋_GB2312"/>
          <w:b/>
          <w:sz w:val="32"/>
          <w:szCs w:val="32"/>
        </w:rPr>
        <w:t>”</w:t>
      </w:r>
      <w:r>
        <w:rPr>
          <w:rFonts w:ascii="仿宋_GB2312" w:eastAsia="仿宋_GB2312"/>
          <w:b/>
          <w:sz w:val="32"/>
          <w:szCs w:val="32"/>
        </w:rPr>
        <w:t>经费：</w:t>
      </w:r>
      <w:r>
        <w:rPr>
          <w:rFonts w:ascii="仿宋_GB2312" w:eastAsia="仿宋_GB2312"/>
          <w:sz w:val="32"/>
          <w:szCs w:val="32"/>
        </w:rPr>
        <w:t>指用财政拨款安排的因公出国（境）费、公务用车购置及运行费和公务接待费。其中，因公出国</w:t>
      </w:r>
      <w:r>
        <w:rPr>
          <w:rFonts w:ascii="仿宋_GB2312" w:eastAsia="仿宋_GB2312"/>
          <w:sz w:val="32"/>
          <w:szCs w:val="32"/>
        </w:rPr>
        <w:lastRenderedPageBreak/>
        <w:t>（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BDCDCDB" w14:textId="77777777" w:rsidR="00553F9D" w:rsidRDefault="00000000">
      <w:pPr>
        <w:widowControl/>
        <w:ind w:firstLineChars="200" w:firstLine="643"/>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sz w:val="32"/>
          <w:szCs w:val="32"/>
        </w:rPr>
        <w:t>行政单位和参照公务员法管理的事业单位财政拨款基本支出中的公用经费支出。</w:t>
      </w:r>
    </w:p>
    <w:p w14:paraId="3A7A8BE8" w14:textId="77777777" w:rsidR="00553F9D" w:rsidRDefault="00000000">
      <w:pPr>
        <w:widowControl/>
      </w:pPr>
      <w:r>
        <w:rPr>
          <w:sz w:val="0"/>
          <w:szCs w:val="0"/>
        </w:rPr>
        <w:br w:type="page"/>
      </w:r>
    </w:p>
    <w:p w14:paraId="3842A485" w14:textId="77777777" w:rsidR="00553F9D" w:rsidRDefault="00000000">
      <w:pPr>
        <w:widowControl/>
        <w:jc w:val="center"/>
        <w:outlineLvl w:val="0"/>
        <w:rPr>
          <w:rFonts w:ascii="黑体" w:eastAsia="黑体"/>
          <w:sz w:val="32"/>
          <w:szCs w:val="32"/>
        </w:rPr>
      </w:pPr>
      <w:r>
        <w:rPr>
          <w:rFonts w:ascii="黑体" w:eastAsia="黑体"/>
          <w:sz w:val="32"/>
          <w:szCs w:val="32"/>
        </w:rPr>
        <w:t>第四部分 部门决算报表（见附表）</w:t>
      </w:r>
    </w:p>
    <w:p w14:paraId="21E46476" w14:textId="77777777" w:rsidR="00553F9D"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一、《收入支出决算总表》</w:t>
      </w:r>
    </w:p>
    <w:p w14:paraId="4DC9A0DA" w14:textId="77777777" w:rsidR="00553F9D"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二、《收入决算表》</w:t>
      </w:r>
    </w:p>
    <w:p w14:paraId="421D3B04" w14:textId="77777777" w:rsidR="00553F9D"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三、《支出决算表》</w:t>
      </w:r>
    </w:p>
    <w:p w14:paraId="0B6A58F0" w14:textId="77777777" w:rsidR="00553F9D"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四、《财政拨款收入支出决算总表》</w:t>
      </w:r>
    </w:p>
    <w:p w14:paraId="713B8C6B" w14:textId="77777777" w:rsidR="00553F9D"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五、《一般公共预算财政拨款支出决算表》</w:t>
      </w:r>
    </w:p>
    <w:p w14:paraId="2304A147" w14:textId="77777777" w:rsidR="00553F9D"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六、《一般公共预算财政拨款基本支出决算表》</w:t>
      </w:r>
    </w:p>
    <w:p w14:paraId="33A8747C" w14:textId="77777777" w:rsidR="00553F9D"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七、《政府性基金预算财政拨款收入支出决算表》</w:t>
      </w:r>
    </w:p>
    <w:p w14:paraId="0AF67F38" w14:textId="77777777" w:rsidR="00553F9D"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八、《国有资本经营预算财政拨款收入支出决算表》</w:t>
      </w:r>
    </w:p>
    <w:p w14:paraId="574237E9" w14:textId="77777777" w:rsidR="00553F9D"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经费支出决算表》</w:t>
      </w:r>
    </w:p>
    <w:sectPr w:rsidR="00553F9D">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D3BE2" w14:textId="77777777" w:rsidR="009F5620" w:rsidRDefault="009F5620" w:rsidP="00923644">
      <w:r>
        <w:separator/>
      </w:r>
    </w:p>
  </w:endnote>
  <w:endnote w:type="continuationSeparator" w:id="0">
    <w:p w14:paraId="10FBBF2F" w14:textId="77777777" w:rsidR="009F5620" w:rsidRDefault="009F5620" w:rsidP="00923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28F09" w14:textId="77777777" w:rsidR="009F5620" w:rsidRDefault="009F5620" w:rsidP="00923644">
      <w:r>
        <w:separator/>
      </w:r>
    </w:p>
  </w:footnote>
  <w:footnote w:type="continuationSeparator" w:id="0">
    <w:p w14:paraId="15B764FD" w14:textId="77777777" w:rsidR="009F5620" w:rsidRDefault="009F5620" w:rsidP="0092364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splitPgBreakAndParaMark/>
    <w:compatSetting w:name="compatibilityMode" w:uri="http://schemas.microsoft.com/office/word" w:val="12"/>
    <w:compatSetting w:name="useWord2013TrackBottomHyphenation" w:uri="http://schemas.microsoft.com/office/word" w:val="1"/>
  </w:compat>
  <w:rsids>
    <w:rsidRoot w:val="00553F9D"/>
    <w:rsid w:val="0010572B"/>
    <w:rsid w:val="00553F9D"/>
    <w:rsid w:val="00923644"/>
    <w:rsid w:val="009F5620"/>
    <w:rsid w:val="39BB08DC"/>
    <w:rsid w:val="3A125E82"/>
    <w:rsid w:val="58563DDC"/>
    <w:rsid w:val="67DA25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6329EC"/>
  <w15:docId w15:val="{93A78994-47A9-44C5-B5E1-4DF104D1C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pPr>
      <w:jc w:val="left"/>
    </w:pPr>
  </w:style>
  <w:style w:type="paragraph" w:styleId="a4">
    <w:name w:val="header"/>
    <w:basedOn w:val="a"/>
    <w:link w:val="a5"/>
    <w:rsid w:val="00923644"/>
    <w:pPr>
      <w:tabs>
        <w:tab w:val="center" w:pos="4153"/>
        <w:tab w:val="right" w:pos="8306"/>
      </w:tabs>
      <w:snapToGrid w:val="0"/>
      <w:jc w:val="center"/>
    </w:pPr>
    <w:rPr>
      <w:sz w:val="18"/>
      <w:szCs w:val="18"/>
    </w:rPr>
  </w:style>
  <w:style w:type="character" w:customStyle="1" w:styleId="a5">
    <w:name w:val="页眉 字符"/>
    <w:basedOn w:val="a0"/>
    <w:link w:val="a4"/>
    <w:rsid w:val="00923644"/>
    <w:rPr>
      <w:sz w:val="18"/>
      <w:szCs w:val="18"/>
    </w:rPr>
  </w:style>
  <w:style w:type="paragraph" w:styleId="a6">
    <w:name w:val="footer"/>
    <w:basedOn w:val="a"/>
    <w:link w:val="a7"/>
    <w:rsid w:val="00923644"/>
    <w:pPr>
      <w:tabs>
        <w:tab w:val="center" w:pos="4153"/>
        <w:tab w:val="right" w:pos="8306"/>
      </w:tabs>
      <w:snapToGrid w:val="0"/>
      <w:jc w:val="left"/>
    </w:pPr>
    <w:rPr>
      <w:sz w:val="18"/>
      <w:szCs w:val="18"/>
    </w:rPr>
  </w:style>
  <w:style w:type="character" w:customStyle="1" w:styleId="a7">
    <w:name w:val="页脚 字符"/>
    <w:basedOn w:val="a0"/>
    <w:link w:val="a6"/>
    <w:rsid w:val="0092364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19</Pages>
  <Words>4735</Words>
  <Characters>5352</Characters>
  <Application>Microsoft Office Word</Application>
  <DocSecurity>0</DocSecurity>
  <Lines>535</Lines>
  <Paragraphs>373</Paragraphs>
  <ScaleCrop>false</ScaleCrop>
  <Company/>
  <LinksUpToDate>false</LinksUpToDate>
  <CharactersWithSpaces>9714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回上.LAPTOP-7R4U860U</dc:creator>
  <cp:lastModifiedBy>慧 吉</cp:lastModifiedBy>
  <cp:revision>2</cp:revision>
  <dcterms:created xsi:type="dcterms:W3CDTF">2025-09-17T03:20:00Z</dcterms:created>
  <dcterms:modified xsi:type="dcterms:W3CDTF">2025-09-23T04:57:00Z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eyJoZGlkIjoiMzEwNTM5NzYwMDRjMzkwZTVkZjY2ODkwMGIxNGU0OTUiLCJ1c2VySWQiOiIyNzg1NzY4MTEifQ==</vt:lpwstr>
  </property>
  <property fmtid="{D5CDD505-2E9C-101B-9397-08002B2CF9AE}" pid="4" name="ICV">
    <vt:lpwstr>2287BAADE2E54C87884225352306A623_12</vt:lpwstr>
  </property>
</Properties>
</file>