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5C5EE">
      <w:pPr>
        <w:spacing w:line="540" w:lineRule="exact"/>
        <w:jc w:val="center"/>
        <w:rPr>
          <w:rFonts w:hint="default" w:ascii="Times New Roman" w:hAnsi="Times New Roman" w:eastAsia="华文中宋" w:cs="Times New Roman"/>
          <w:b/>
          <w:kern w:val="0"/>
          <w:sz w:val="52"/>
          <w:szCs w:val="52"/>
        </w:rPr>
      </w:pPr>
    </w:p>
    <w:p w14:paraId="45ED3324">
      <w:pPr>
        <w:spacing w:line="540" w:lineRule="exact"/>
        <w:rPr>
          <w:rFonts w:hint="default" w:ascii="Times New Roman" w:hAnsi="Times New Roman" w:eastAsia="华文中宋" w:cs="Times New Roman"/>
          <w:b/>
          <w:kern w:val="0"/>
          <w:sz w:val="52"/>
          <w:szCs w:val="52"/>
        </w:rPr>
      </w:pPr>
    </w:p>
    <w:p w14:paraId="3B79616B">
      <w:pPr>
        <w:spacing w:line="540" w:lineRule="exact"/>
        <w:jc w:val="center"/>
        <w:rPr>
          <w:rFonts w:hint="default" w:ascii="Times New Roman" w:hAnsi="Times New Roman" w:eastAsia="华文中宋" w:cs="Times New Roman"/>
          <w:b/>
          <w:kern w:val="0"/>
          <w:sz w:val="52"/>
          <w:szCs w:val="52"/>
        </w:rPr>
      </w:pPr>
    </w:p>
    <w:p w14:paraId="01BEE4A6">
      <w:pPr>
        <w:spacing w:line="540" w:lineRule="exact"/>
        <w:jc w:val="center"/>
        <w:rPr>
          <w:rFonts w:hint="default" w:ascii="Times New Roman" w:hAnsi="Times New Roman" w:eastAsia="华文中宋" w:cs="Times New Roman"/>
          <w:b/>
          <w:kern w:val="0"/>
          <w:sz w:val="52"/>
          <w:szCs w:val="52"/>
        </w:rPr>
      </w:pPr>
    </w:p>
    <w:p w14:paraId="243E5DD6">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昌州财教（2021）73号关于提前下达2022年支出学前教育资金发展预算的通知项目支出绩效评价</w:t>
      </w:r>
    </w:p>
    <w:p w14:paraId="344494D0">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292B513F">
      <w:pPr>
        <w:spacing w:line="540" w:lineRule="exact"/>
        <w:jc w:val="center"/>
        <w:rPr>
          <w:rFonts w:hint="default" w:ascii="Times New Roman" w:hAnsi="Times New Roman" w:eastAsia="华文中宋" w:cs="Times New Roman"/>
          <w:b/>
          <w:kern w:val="0"/>
          <w:sz w:val="52"/>
          <w:szCs w:val="52"/>
        </w:rPr>
      </w:pPr>
    </w:p>
    <w:p w14:paraId="58909019">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13B6AB8E">
      <w:pPr>
        <w:spacing w:line="540" w:lineRule="exact"/>
        <w:jc w:val="center"/>
        <w:rPr>
          <w:rFonts w:hint="default" w:ascii="Times New Roman" w:hAnsi="Times New Roman" w:eastAsia="仿宋_GB2312" w:cs="Times New Roman"/>
          <w:kern w:val="0"/>
          <w:sz w:val="30"/>
          <w:szCs w:val="30"/>
        </w:rPr>
      </w:pPr>
    </w:p>
    <w:p w14:paraId="1B79A35F">
      <w:pPr>
        <w:spacing w:line="540" w:lineRule="exact"/>
        <w:jc w:val="center"/>
        <w:rPr>
          <w:rFonts w:hint="default" w:ascii="Times New Roman" w:hAnsi="Times New Roman" w:eastAsia="仿宋_GB2312" w:cs="Times New Roman"/>
          <w:kern w:val="0"/>
          <w:sz w:val="30"/>
          <w:szCs w:val="30"/>
        </w:rPr>
      </w:pPr>
    </w:p>
    <w:p w14:paraId="5A13696A">
      <w:pPr>
        <w:spacing w:line="540" w:lineRule="exact"/>
        <w:jc w:val="center"/>
        <w:rPr>
          <w:rFonts w:hint="default" w:ascii="Times New Roman" w:hAnsi="Times New Roman" w:eastAsia="仿宋_GB2312" w:cs="Times New Roman"/>
          <w:kern w:val="0"/>
          <w:sz w:val="30"/>
          <w:szCs w:val="30"/>
        </w:rPr>
      </w:pPr>
    </w:p>
    <w:p w14:paraId="384D058A">
      <w:pPr>
        <w:pStyle w:val="2"/>
        <w:rPr>
          <w:rFonts w:hint="default" w:ascii="Times New Roman" w:hAnsi="Times New Roman" w:cs="Times New Roman"/>
        </w:rPr>
      </w:pPr>
    </w:p>
    <w:p w14:paraId="73CF2E6B">
      <w:pPr>
        <w:spacing w:line="540" w:lineRule="exact"/>
        <w:jc w:val="center"/>
        <w:rPr>
          <w:rFonts w:hint="default" w:ascii="Times New Roman" w:hAnsi="Times New Roman" w:eastAsia="仿宋_GB2312" w:cs="Times New Roman"/>
          <w:kern w:val="0"/>
          <w:sz w:val="30"/>
          <w:szCs w:val="30"/>
        </w:rPr>
      </w:pPr>
    </w:p>
    <w:p w14:paraId="608B264B">
      <w:pPr>
        <w:spacing w:line="540" w:lineRule="exact"/>
        <w:rPr>
          <w:rFonts w:hint="default" w:ascii="Times New Roman" w:hAnsi="Times New Roman" w:eastAsia="仿宋_GB2312" w:cs="Times New Roman"/>
          <w:kern w:val="0"/>
          <w:sz w:val="30"/>
          <w:szCs w:val="30"/>
        </w:rPr>
      </w:pPr>
    </w:p>
    <w:p w14:paraId="2490874D">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项目名称：昌州财教（2021）73号关于提前下达2022年支出学前教育资金发展预算的通知</w:t>
      </w:r>
    </w:p>
    <w:p w14:paraId="62C66419">
      <w:pPr>
        <w:spacing w:line="700" w:lineRule="exact"/>
        <w:ind w:left="1436" w:leftChars="684" w:firstLine="0" w:firstLineChars="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奇台县古城乡中心幼儿园</w:t>
      </w: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奇台县教育局</w:t>
      </w:r>
    </w:p>
    <w:p w14:paraId="4F425A0B">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刘娜</w:t>
      </w:r>
    </w:p>
    <w:p w14:paraId="5FE69938">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29</w:t>
      </w:r>
      <w:r>
        <w:rPr>
          <w:rFonts w:hint="default" w:ascii="Times New Roman" w:hAnsi="Times New Roman" w:eastAsia="仿宋_GB2312" w:cs="Times New Roman"/>
          <w:kern w:val="0"/>
          <w:sz w:val="36"/>
          <w:szCs w:val="36"/>
        </w:rPr>
        <w:t>日</w:t>
      </w:r>
    </w:p>
    <w:p w14:paraId="319E855B">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510951A8">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3739EB9A">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49BA21B1">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162B4540">
      <w:pPr>
        <w:spacing w:line="560" w:lineRule="exact"/>
        <w:ind w:firstLine="600" w:firstLineChars="200"/>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在“十四五”时期，是乘势而上开启建设社会主义现代化国家新征程、向第二个百年奋斗目标进军的第一个五年，按照党中央、国务院关于加强县域高中建设的决策部署，为整体提升全县办学条件，</w:t>
      </w:r>
      <w:r>
        <w:rPr>
          <w:rFonts w:hint="eastAsia" w:ascii="方正仿宋_GB18030" w:hAnsi="方正仿宋_GB18030" w:eastAsia="方正仿宋_GB18030" w:cs="方正仿宋_GB18030"/>
          <w:b w:val="0"/>
          <w:bCs w:val="0"/>
          <w:color w:val="auto"/>
          <w:sz w:val="30"/>
          <w:szCs w:val="30"/>
          <w:highlight w:val="none"/>
          <w:lang w:val="en-US" w:eastAsia="zh-CN"/>
        </w:rPr>
        <w:t>根据昌州财教【2021】73号</w:t>
      </w:r>
      <w:r>
        <w:rPr>
          <w:rFonts w:hint="eastAsia" w:ascii="方正仿宋_GB18030" w:hAnsi="方正仿宋_GB18030" w:eastAsia="方正仿宋_GB18030" w:cs="方正仿宋_GB18030"/>
          <w:b w:val="0"/>
          <w:bCs w:val="0"/>
          <w:kern w:val="0"/>
          <w:sz w:val="30"/>
          <w:szCs w:val="30"/>
        </w:rPr>
        <w:t>关于提前下达2022年支出学前教育资金发展预算的通知</w:t>
      </w:r>
      <w:r>
        <w:rPr>
          <w:rFonts w:hint="eastAsia" w:ascii="仿宋_GB2312" w:hAnsi="仿宋_GB2312" w:eastAsia="仿宋_GB2312" w:cs="仿宋_GB2312"/>
          <w:color w:val="auto"/>
          <w:sz w:val="30"/>
          <w:szCs w:val="30"/>
          <w:highlight w:val="none"/>
          <w:lang w:val="en-US" w:eastAsia="zh-CN"/>
        </w:rPr>
        <w:t>文件要求，奇台县古城乡中心幼儿园致力于发挥园舍文化育人功能，</w:t>
      </w:r>
      <w:r>
        <w:rPr>
          <w:rFonts w:hint="default" w:ascii="Times New Roman" w:hAnsi="Times New Roman" w:eastAsia="仿宋_GB2312" w:cs="Times New Roman"/>
          <w:sz w:val="32"/>
          <w:szCs w:val="32"/>
          <w:highlight w:val="none"/>
          <w:lang w:val="en-US" w:eastAsia="zh-CN"/>
        </w:rPr>
        <w:t>扩建保教楼1374.09㎡，</w:t>
      </w:r>
      <w:r>
        <w:rPr>
          <w:rFonts w:hint="eastAsia" w:eastAsia="仿宋_GB2312" w:cs="Times New Roman"/>
          <w:sz w:val="32"/>
          <w:szCs w:val="32"/>
          <w:highlight w:val="none"/>
          <w:lang w:val="en-US" w:eastAsia="zh-CN"/>
        </w:rPr>
        <w:t>新增教学班级，，更好地</w:t>
      </w:r>
      <w:r>
        <w:rPr>
          <w:rFonts w:hint="eastAsia" w:eastAsia="仿宋_GB2312"/>
          <w:color w:val="auto"/>
          <w:sz w:val="32"/>
          <w:szCs w:val="32"/>
        </w:rPr>
        <w:t>促进</w:t>
      </w:r>
      <w:r>
        <w:rPr>
          <w:rFonts w:hint="eastAsia" w:eastAsia="仿宋_GB2312"/>
          <w:color w:val="auto"/>
          <w:sz w:val="32"/>
          <w:szCs w:val="32"/>
          <w:lang w:val="en-US" w:eastAsia="zh-CN"/>
        </w:rPr>
        <w:t>幼儿园保教活动的开展</w:t>
      </w:r>
      <w:r>
        <w:rPr>
          <w:rFonts w:hint="eastAsia" w:eastAsia="仿宋_GB2312"/>
          <w:color w:val="auto"/>
          <w:sz w:val="32"/>
          <w:szCs w:val="32"/>
          <w:lang w:eastAsia="zh-CN"/>
        </w:rPr>
        <w:t>，</w:t>
      </w:r>
      <w:r>
        <w:rPr>
          <w:rFonts w:hint="eastAsia" w:eastAsia="仿宋_GB2312"/>
          <w:color w:val="auto"/>
          <w:sz w:val="32"/>
          <w:szCs w:val="32"/>
          <w:lang w:val="en-US" w:eastAsia="zh-CN"/>
        </w:rPr>
        <w:t>使</w:t>
      </w:r>
      <w:r>
        <w:rPr>
          <w:rFonts w:hint="eastAsia" w:eastAsia="仿宋_GB2312"/>
          <w:color w:val="auto"/>
          <w:sz w:val="32"/>
          <w:szCs w:val="32"/>
        </w:rPr>
        <w:t>广大师</w:t>
      </w:r>
      <w:r>
        <w:rPr>
          <w:rFonts w:hint="eastAsia" w:eastAsia="仿宋_GB2312"/>
          <w:color w:val="auto"/>
          <w:sz w:val="32"/>
          <w:szCs w:val="32"/>
          <w:lang w:val="en-US" w:eastAsia="zh-CN"/>
        </w:rPr>
        <w:t>生</w:t>
      </w:r>
      <w:r>
        <w:rPr>
          <w:rFonts w:hint="eastAsia" w:eastAsia="仿宋_GB2312"/>
          <w:color w:val="auto"/>
          <w:sz w:val="32"/>
          <w:szCs w:val="32"/>
        </w:rPr>
        <w:t>员工的</w:t>
      </w:r>
      <w:r>
        <w:rPr>
          <w:rFonts w:hint="eastAsia" w:eastAsia="仿宋_GB2312"/>
          <w:color w:val="auto"/>
          <w:sz w:val="32"/>
          <w:szCs w:val="32"/>
          <w:lang w:val="en-US" w:eastAsia="zh-CN"/>
        </w:rPr>
        <w:t>保教</w:t>
      </w:r>
      <w:r>
        <w:rPr>
          <w:rFonts w:hint="eastAsia" w:eastAsia="仿宋_GB2312"/>
          <w:color w:val="auto"/>
          <w:sz w:val="32"/>
          <w:szCs w:val="32"/>
        </w:rPr>
        <w:t>环境得到改善</w:t>
      </w:r>
      <w:r>
        <w:rPr>
          <w:rFonts w:hint="eastAsia" w:eastAsia="仿宋_GB2312"/>
          <w:color w:val="auto"/>
          <w:sz w:val="32"/>
          <w:szCs w:val="32"/>
          <w:lang w:eastAsia="zh-CN"/>
        </w:rPr>
        <w:t>，</w:t>
      </w:r>
      <w:r>
        <w:rPr>
          <w:rFonts w:hint="eastAsia" w:ascii="仿宋_GB2312" w:hAnsi="仿宋_GB2312" w:eastAsia="仿宋_GB2312" w:cs="仿宋_GB2312"/>
          <w:color w:val="auto"/>
          <w:sz w:val="30"/>
          <w:szCs w:val="30"/>
          <w:highlight w:val="none"/>
          <w:lang w:val="en-US" w:eastAsia="zh-CN"/>
        </w:rPr>
        <w:t>进一步改善幼儿园的办园条件，促进幼儿园教学硬件条件建设。</w:t>
      </w:r>
    </w:p>
    <w:p w14:paraId="2DC49FD0">
      <w:pPr>
        <w:pStyle w:val="2"/>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1A3E9543">
      <w:pPr>
        <w:spacing w:line="560" w:lineRule="exact"/>
        <w:ind w:firstLine="600" w:firstLineChars="20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ascii="方正仿宋_GB2312" w:hAnsi="方正仿宋_GB2312" w:eastAsia="方正仿宋_GB2312" w:cs="方正仿宋_GB2312"/>
          <w:color w:val="auto"/>
          <w:sz w:val="30"/>
          <w:szCs w:val="30"/>
          <w:highlight w:val="none"/>
          <w:lang w:val="en-US" w:eastAsia="zh-CN"/>
        </w:rPr>
        <w:t>根据昌州财教[2021]73号</w:t>
      </w:r>
      <w:r>
        <w:rPr>
          <w:rFonts w:hint="eastAsia" w:ascii="方正仿宋_GB2312" w:hAnsi="方正仿宋_GB2312" w:eastAsia="方正仿宋_GB2312" w:cs="方正仿宋_GB2312"/>
          <w:b w:val="0"/>
          <w:bCs w:val="0"/>
          <w:kern w:val="0"/>
          <w:sz w:val="30"/>
          <w:szCs w:val="30"/>
          <w:highlight w:val="none"/>
        </w:rPr>
        <w:t>关于提前下达2022年支出学前教育资金发展预</w:t>
      </w:r>
      <w:r>
        <w:rPr>
          <w:rFonts w:hint="eastAsia" w:ascii="方正仿宋_GB2312" w:hAnsi="方正仿宋_GB2312" w:eastAsia="方正仿宋_GB2312" w:cs="方正仿宋_GB2312"/>
          <w:b w:val="0"/>
          <w:bCs w:val="0"/>
          <w:kern w:val="0"/>
          <w:sz w:val="30"/>
          <w:szCs w:val="30"/>
        </w:rPr>
        <w:t>算的通知</w:t>
      </w:r>
      <w:r>
        <w:rPr>
          <w:rFonts w:hint="eastAsia" w:ascii="方正仿宋_GB2312" w:hAnsi="方正仿宋_GB2312" w:eastAsia="方正仿宋_GB2312" w:cs="方正仿宋_GB2312"/>
          <w:color w:val="auto"/>
          <w:sz w:val="30"/>
          <w:szCs w:val="30"/>
          <w:highlight w:val="none"/>
          <w:lang w:val="en-US" w:eastAsia="zh-CN"/>
        </w:rPr>
        <w:t>资金拟投入120万元改善园舍环境。</w:t>
      </w:r>
      <w:r>
        <w:rPr>
          <w:rFonts w:hint="eastAsia" w:ascii="仿宋_GB2312" w:hAnsi="仿宋_GB2312" w:eastAsia="仿宋_GB2312" w:cs="仿宋_GB2312"/>
          <w:color w:val="auto"/>
          <w:sz w:val="30"/>
          <w:szCs w:val="30"/>
          <w:highlight w:val="none"/>
          <w:lang w:val="en-US" w:eastAsia="zh-CN"/>
        </w:rPr>
        <w:t>通过项目</w:t>
      </w:r>
      <w:r>
        <w:rPr>
          <w:rFonts w:hint="default" w:ascii="Times New Roman" w:hAnsi="Times New Roman" w:eastAsia="仿宋_GB2312" w:cs="Times New Roman"/>
          <w:sz w:val="32"/>
          <w:szCs w:val="32"/>
          <w:highlight w:val="none"/>
          <w:lang w:val="en-US" w:eastAsia="zh-CN"/>
        </w:rPr>
        <w:t>扩建保教楼1374.09㎡，</w:t>
      </w:r>
      <w:r>
        <w:rPr>
          <w:rFonts w:hint="eastAsia" w:eastAsia="仿宋_GB2312" w:cs="Times New Roman"/>
          <w:sz w:val="32"/>
          <w:szCs w:val="32"/>
          <w:highlight w:val="none"/>
          <w:lang w:val="en-US" w:eastAsia="zh-CN"/>
        </w:rPr>
        <w:t>新增教学班级，缓解大班额情况，更好地</w:t>
      </w:r>
      <w:r>
        <w:rPr>
          <w:rFonts w:hint="eastAsia" w:eastAsia="仿宋_GB2312"/>
          <w:color w:val="auto"/>
          <w:sz w:val="32"/>
          <w:szCs w:val="32"/>
        </w:rPr>
        <w:t>促进</w:t>
      </w:r>
      <w:r>
        <w:rPr>
          <w:rFonts w:hint="eastAsia" w:eastAsia="仿宋_GB2312"/>
          <w:color w:val="auto"/>
          <w:sz w:val="32"/>
          <w:szCs w:val="32"/>
          <w:lang w:val="en-US" w:eastAsia="zh-CN"/>
        </w:rPr>
        <w:t>幼儿园保教活动的开展</w:t>
      </w:r>
      <w:r>
        <w:rPr>
          <w:rFonts w:hint="eastAsia" w:eastAsia="仿宋_GB2312"/>
          <w:color w:val="auto"/>
          <w:sz w:val="32"/>
          <w:szCs w:val="32"/>
          <w:lang w:eastAsia="zh-CN"/>
        </w:rPr>
        <w:t>，</w:t>
      </w:r>
      <w:r>
        <w:rPr>
          <w:rFonts w:hint="eastAsia" w:eastAsia="仿宋_GB2312"/>
          <w:color w:val="auto"/>
          <w:sz w:val="32"/>
          <w:szCs w:val="32"/>
          <w:lang w:val="en-US" w:eastAsia="zh-CN"/>
        </w:rPr>
        <w:t>使</w:t>
      </w:r>
      <w:r>
        <w:rPr>
          <w:rFonts w:hint="eastAsia" w:eastAsia="仿宋_GB2312"/>
          <w:color w:val="auto"/>
          <w:sz w:val="32"/>
          <w:szCs w:val="32"/>
        </w:rPr>
        <w:t>广大师</w:t>
      </w:r>
      <w:r>
        <w:rPr>
          <w:rFonts w:hint="eastAsia" w:eastAsia="仿宋_GB2312"/>
          <w:color w:val="auto"/>
          <w:sz w:val="32"/>
          <w:szCs w:val="32"/>
          <w:lang w:val="en-US" w:eastAsia="zh-CN"/>
        </w:rPr>
        <w:t>生</w:t>
      </w:r>
      <w:r>
        <w:rPr>
          <w:rFonts w:hint="eastAsia" w:eastAsia="仿宋_GB2312"/>
          <w:color w:val="auto"/>
          <w:sz w:val="32"/>
          <w:szCs w:val="32"/>
        </w:rPr>
        <w:t>员工的</w:t>
      </w:r>
      <w:r>
        <w:rPr>
          <w:rFonts w:hint="eastAsia" w:eastAsia="仿宋_GB2312"/>
          <w:color w:val="auto"/>
          <w:sz w:val="32"/>
          <w:szCs w:val="32"/>
          <w:lang w:val="en-US" w:eastAsia="zh-CN"/>
        </w:rPr>
        <w:t>保教</w:t>
      </w:r>
      <w:r>
        <w:rPr>
          <w:rFonts w:hint="eastAsia" w:eastAsia="仿宋_GB2312"/>
          <w:color w:val="auto"/>
          <w:sz w:val="32"/>
          <w:szCs w:val="32"/>
        </w:rPr>
        <w:t>环境得到改善</w:t>
      </w:r>
      <w:r>
        <w:rPr>
          <w:rFonts w:hint="eastAsia" w:eastAsia="仿宋_GB2312"/>
          <w:color w:val="auto"/>
          <w:sz w:val="32"/>
          <w:szCs w:val="32"/>
          <w:lang w:eastAsia="zh-CN"/>
        </w:rPr>
        <w:t>，</w:t>
      </w:r>
      <w:r>
        <w:rPr>
          <w:rFonts w:hint="eastAsia" w:ascii="仿宋_GB2312" w:hAnsi="仿宋_GB2312" w:eastAsia="仿宋_GB2312" w:cs="仿宋_GB2312"/>
          <w:color w:val="auto"/>
          <w:sz w:val="30"/>
          <w:szCs w:val="30"/>
          <w:highlight w:val="none"/>
          <w:lang w:val="en-US" w:eastAsia="zh-CN"/>
        </w:rPr>
        <w:t>进一步改善幼儿园的办园条件，促进幼儿园教学硬件条件建设。</w:t>
      </w:r>
    </w:p>
    <w:p w14:paraId="0417164A">
      <w:pPr>
        <w:spacing w:line="560" w:lineRule="exact"/>
        <w:ind w:firstLine="640" w:firstLineChars="200"/>
        <w:rPr>
          <w:rFonts w:hint="default" w:eastAsia="仿宋_GB2312"/>
          <w:color w:val="auto"/>
          <w:lang w:val="en-US" w:eastAsia="zh-CN"/>
        </w:rPr>
      </w:pPr>
      <w:r>
        <w:rPr>
          <w:rFonts w:hint="default" w:ascii="Times New Roman" w:hAnsi="Times New Roman" w:eastAsia="仿宋_GB2312" w:cs="Times New Roman"/>
          <w:sz w:val="32"/>
          <w:szCs w:val="32"/>
        </w:rPr>
        <w:t>项目实施情况</w:t>
      </w:r>
      <w:r>
        <w:rPr>
          <w:rFonts w:eastAsia="仿宋_GB2312"/>
          <w:color w:val="auto"/>
          <w:sz w:val="32"/>
          <w:szCs w:val="32"/>
        </w:rPr>
        <w:t>：</w:t>
      </w:r>
      <w:r>
        <w:rPr>
          <w:rFonts w:hint="eastAsia" w:eastAsia="仿宋_GB2312"/>
          <w:color w:val="auto"/>
          <w:sz w:val="32"/>
          <w:szCs w:val="32"/>
        </w:rPr>
        <w:t>通过项目的实施进一步改善奇台县</w:t>
      </w:r>
      <w:r>
        <w:rPr>
          <w:rFonts w:hint="eastAsia" w:eastAsia="仿宋_GB2312"/>
          <w:color w:val="auto"/>
          <w:sz w:val="32"/>
          <w:szCs w:val="32"/>
          <w:lang w:val="en-US" w:eastAsia="zh-CN"/>
        </w:rPr>
        <w:t>古城乡中心幼儿园</w:t>
      </w:r>
      <w:r>
        <w:rPr>
          <w:rFonts w:hint="eastAsia" w:eastAsia="仿宋_GB2312"/>
          <w:color w:val="auto"/>
          <w:sz w:val="32"/>
          <w:szCs w:val="32"/>
        </w:rPr>
        <w:t>硬件建设，</w:t>
      </w:r>
      <w:r>
        <w:rPr>
          <w:rFonts w:hint="default" w:ascii="Times New Roman" w:hAnsi="Times New Roman" w:eastAsia="仿宋_GB2312" w:cs="Times New Roman"/>
          <w:sz w:val="32"/>
          <w:szCs w:val="32"/>
          <w:highlight w:val="none"/>
          <w:lang w:val="en-US" w:eastAsia="zh-CN"/>
        </w:rPr>
        <w:t>扩建保教楼1374.09㎡，</w:t>
      </w:r>
      <w:r>
        <w:rPr>
          <w:rFonts w:hint="eastAsia" w:eastAsia="仿宋_GB2312" w:cs="Times New Roman"/>
          <w:sz w:val="32"/>
          <w:szCs w:val="32"/>
          <w:highlight w:val="none"/>
          <w:lang w:val="en-US" w:eastAsia="zh-CN"/>
        </w:rPr>
        <w:t>新增教学班级，更好地</w:t>
      </w:r>
      <w:r>
        <w:rPr>
          <w:rFonts w:hint="eastAsia" w:eastAsia="仿宋_GB2312"/>
          <w:color w:val="auto"/>
          <w:sz w:val="32"/>
          <w:szCs w:val="32"/>
        </w:rPr>
        <w:t>促进</w:t>
      </w:r>
      <w:r>
        <w:rPr>
          <w:rFonts w:hint="eastAsia" w:eastAsia="仿宋_GB2312"/>
          <w:color w:val="auto"/>
          <w:sz w:val="32"/>
          <w:szCs w:val="32"/>
          <w:lang w:val="en-US" w:eastAsia="zh-CN"/>
        </w:rPr>
        <w:t>幼儿园保教活动的开展</w:t>
      </w:r>
      <w:r>
        <w:rPr>
          <w:rFonts w:hint="eastAsia" w:eastAsia="仿宋_GB2312"/>
          <w:color w:val="auto"/>
          <w:sz w:val="32"/>
          <w:szCs w:val="32"/>
          <w:lang w:eastAsia="zh-CN"/>
        </w:rPr>
        <w:t>，</w:t>
      </w:r>
      <w:r>
        <w:rPr>
          <w:rFonts w:hint="eastAsia" w:eastAsia="仿宋_GB2312"/>
          <w:color w:val="auto"/>
          <w:sz w:val="32"/>
          <w:szCs w:val="32"/>
          <w:lang w:val="en-US" w:eastAsia="zh-CN"/>
        </w:rPr>
        <w:t>使</w:t>
      </w:r>
      <w:r>
        <w:rPr>
          <w:rFonts w:hint="eastAsia" w:eastAsia="仿宋_GB2312"/>
          <w:color w:val="auto"/>
          <w:sz w:val="32"/>
          <w:szCs w:val="32"/>
        </w:rPr>
        <w:t>广大师</w:t>
      </w:r>
      <w:r>
        <w:rPr>
          <w:rFonts w:hint="eastAsia" w:eastAsia="仿宋_GB2312"/>
          <w:color w:val="auto"/>
          <w:sz w:val="32"/>
          <w:szCs w:val="32"/>
          <w:lang w:val="en-US" w:eastAsia="zh-CN"/>
        </w:rPr>
        <w:t>生</w:t>
      </w:r>
      <w:r>
        <w:rPr>
          <w:rFonts w:hint="eastAsia" w:eastAsia="仿宋_GB2312"/>
          <w:color w:val="auto"/>
          <w:sz w:val="32"/>
          <w:szCs w:val="32"/>
        </w:rPr>
        <w:t>员工的</w:t>
      </w:r>
      <w:r>
        <w:rPr>
          <w:rFonts w:hint="eastAsia" w:eastAsia="仿宋_GB2312"/>
          <w:color w:val="auto"/>
          <w:sz w:val="32"/>
          <w:szCs w:val="32"/>
          <w:lang w:val="en-US" w:eastAsia="zh-CN"/>
        </w:rPr>
        <w:t>保教</w:t>
      </w:r>
      <w:r>
        <w:rPr>
          <w:rFonts w:hint="eastAsia" w:eastAsia="仿宋_GB2312"/>
          <w:color w:val="auto"/>
          <w:sz w:val="32"/>
          <w:szCs w:val="32"/>
        </w:rPr>
        <w:t>环境得到改善</w:t>
      </w:r>
      <w:r>
        <w:rPr>
          <w:rFonts w:hint="eastAsia" w:eastAsia="仿宋_GB2312"/>
          <w:color w:val="auto"/>
          <w:sz w:val="32"/>
          <w:szCs w:val="32"/>
          <w:lang w:eastAsia="zh-CN"/>
        </w:rPr>
        <w:t>。</w:t>
      </w:r>
    </w:p>
    <w:p w14:paraId="0E38E45C">
      <w:pPr>
        <w:spacing w:line="560" w:lineRule="exact"/>
        <w:ind w:firstLine="420" w:firstLineChars="200"/>
        <w:rPr>
          <w:rFonts w:hint="default" w:ascii="Times New Roman" w:hAnsi="Times New Roman" w:cs="Times New Roman"/>
        </w:rPr>
      </w:pPr>
    </w:p>
    <w:p w14:paraId="4236DF96">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6C79172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41DC6E42">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80</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年中追加资金40万元，</w:t>
      </w:r>
      <w:r>
        <w:rPr>
          <w:rFonts w:hint="default" w:ascii="Times New Roman" w:hAnsi="Times New Roman" w:eastAsia="仿宋_GB2312" w:cs="Times New Roman"/>
          <w:sz w:val="32"/>
          <w:szCs w:val="32"/>
          <w:highlight w:val="none"/>
          <w:lang w:val="en-US" w:eastAsia="zh-CN"/>
        </w:rPr>
        <w:t>全年预算数</w:t>
      </w:r>
      <w:r>
        <w:rPr>
          <w:rFonts w:hint="eastAsia" w:eastAsia="仿宋_GB2312" w:cs="Times New Roman"/>
          <w:sz w:val="32"/>
          <w:szCs w:val="32"/>
          <w:highlight w:val="none"/>
          <w:lang w:val="en-US" w:eastAsia="zh-CN"/>
        </w:rPr>
        <w:t>120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701D0DF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47A4FBA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80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120</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120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%，主要用于：扩建保教楼1374.09㎡，</w:t>
      </w:r>
      <w:r>
        <w:rPr>
          <w:rFonts w:hint="eastAsia" w:eastAsia="仿宋_GB2312" w:cs="Times New Roman"/>
          <w:sz w:val="32"/>
          <w:szCs w:val="32"/>
          <w:highlight w:val="none"/>
          <w:lang w:val="en-US" w:eastAsia="zh-CN"/>
        </w:rPr>
        <w:t>新增教学班级，更好地</w:t>
      </w:r>
      <w:r>
        <w:rPr>
          <w:rFonts w:hint="eastAsia" w:eastAsia="仿宋_GB2312"/>
          <w:color w:val="auto"/>
          <w:sz w:val="32"/>
          <w:szCs w:val="32"/>
        </w:rPr>
        <w:t>促进</w:t>
      </w:r>
      <w:r>
        <w:rPr>
          <w:rFonts w:hint="eastAsia" w:eastAsia="仿宋_GB2312"/>
          <w:color w:val="auto"/>
          <w:sz w:val="32"/>
          <w:szCs w:val="32"/>
          <w:lang w:val="en-US" w:eastAsia="zh-CN"/>
        </w:rPr>
        <w:t>幼儿园保教活动的开展</w:t>
      </w:r>
      <w:r>
        <w:rPr>
          <w:rFonts w:hint="eastAsia" w:eastAsia="仿宋_GB2312"/>
          <w:color w:val="auto"/>
          <w:sz w:val="32"/>
          <w:szCs w:val="32"/>
          <w:lang w:eastAsia="zh-CN"/>
        </w:rPr>
        <w:t>，</w:t>
      </w:r>
      <w:r>
        <w:rPr>
          <w:rFonts w:hint="eastAsia" w:eastAsia="仿宋_GB2312"/>
          <w:color w:val="auto"/>
          <w:sz w:val="32"/>
          <w:szCs w:val="32"/>
          <w:lang w:val="en-US" w:eastAsia="zh-CN"/>
        </w:rPr>
        <w:t>使</w:t>
      </w:r>
      <w:r>
        <w:rPr>
          <w:rFonts w:hint="eastAsia" w:eastAsia="仿宋_GB2312"/>
          <w:color w:val="auto"/>
          <w:sz w:val="32"/>
          <w:szCs w:val="32"/>
        </w:rPr>
        <w:t>广大师</w:t>
      </w:r>
      <w:r>
        <w:rPr>
          <w:rFonts w:hint="eastAsia" w:eastAsia="仿宋_GB2312"/>
          <w:color w:val="auto"/>
          <w:sz w:val="32"/>
          <w:szCs w:val="32"/>
          <w:lang w:val="en-US" w:eastAsia="zh-CN"/>
        </w:rPr>
        <w:t>生</w:t>
      </w:r>
      <w:r>
        <w:rPr>
          <w:rFonts w:hint="eastAsia" w:eastAsia="仿宋_GB2312"/>
          <w:color w:val="auto"/>
          <w:sz w:val="32"/>
          <w:szCs w:val="32"/>
        </w:rPr>
        <w:t>员工的</w:t>
      </w:r>
      <w:r>
        <w:rPr>
          <w:rFonts w:hint="eastAsia" w:eastAsia="仿宋_GB2312"/>
          <w:color w:val="auto"/>
          <w:sz w:val="32"/>
          <w:szCs w:val="32"/>
          <w:lang w:val="en-US" w:eastAsia="zh-CN"/>
        </w:rPr>
        <w:t>保教</w:t>
      </w:r>
      <w:r>
        <w:rPr>
          <w:rFonts w:hint="eastAsia" w:eastAsia="仿宋_GB2312"/>
          <w:color w:val="auto"/>
          <w:sz w:val="32"/>
          <w:szCs w:val="32"/>
        </w:rPr>
        <w:t>环境得到改善</w:t>
      </w:r>
      <w:r>
        <w:rPr>
          <w:rFonts w:hint="default" w:ascii="Times New Roman" w:hAnsi="Times New Roman" w:eastAsia="仿宋_GB2312" w:cs="Times New Roman"/>
          <w:sz w:val="32"/>
          <w:szCs w:val="32"/>
          <w:highlight w:val="none"/>
          <w:lang w:val="en-US" w:eastAsia="zh-CN"/>
        </w:rPr>
        <w:t>。</w:t>
      </w:r>
    </w:p>
    <w:p w14:paraId="30206475">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58BD3B46">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10AA39FB">
      <w:pPr>
        <w:spacing w:line="560" w:lineRule="exact"/>
        <w:ind w:firstLine="624" w:firstLineChars="200"/>
        <w:rPr>
          <w:rStyle w:val="16"/>
          <w:rFonts w:hint="default" w:ascii="Times New Roman" w:hAnsi="Times New Roman" w:eastAsia="黑体" w:cs="Times New Roman"/>
          <w:b w:val="0"/>
          <w:bCs/>
          <w:spacing w:val="-4"/>
          <w:sz w:val="32"/>
          <w:szCs w:val="32"/>
          <w:highlight w:val="none"/>
        </w:rPr>
      </w:pPr>
      <w:r>
        <w:rPr>
          <w:rStyle w:val="16"/>
          <w:rFonts w:hint="eastAsia" w:ascii="方正仿宋_GB2312" w:hAnsi="方正仿宋_GB2312" w:eastAsia="方正仿宋_GB2312" w:cs="方正仿宋_GB2312"/>
          <w:b w:val="0"/>
          <w:bCs/>
          <w:spacing w:val="-4"/>
          <w:sz w:val="32"/>
          <w:szCs w:val="32"/>
          <w:highlight w:val="none"/>
        </w:rPr>
        <w:t>本项目根据《昌州财教[2021]73号2022年支持学前教育发展资金使用计划的通知，拟投入投入120万元，用于保障幼儿园保教工作正常运行，更好地提升幼儿园整体办园水平，为孩子们提供更好的服务，让他们在幼儿园阶段得到全面发展。</w:t>
      </w:r>
    </w:p>
    <w:p w14:paraId="247AA99E">
      <w:pPr>
        <w:numPr>
          <w:ilvl w:val="0"/>
          <w:numId w:val="1"/>
        </w:num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阶段性目标</w:t>
      </w:r>
    </w:p>
    <w:p w14:paraId="662C9461">
      <w:pPr>
        <w:spacing w:line="560" w:lineRule="exact"/>
        <w:ind w:firstLine="640" w:firstLineChars="200"/>
        <w:rPr>
          <w:rFonts w:hint="default" w:ascii="Times New Roman" w:hAnsi="Times New Roman" w:eastAsia="仿宋_GB2312" w:cs="Times New Roman"/>
          <w:sz w:val="32"/>
          <w:szCs w:val="32"/>
          <w:highlight w:val="none"/>
          <w:shd w:val="clear"/>
          <w:lang w:val="en-US" w:eastAsia="zh-CN"/>
        </w:rPr>
      </w:pPr>
      <w:r>
        <w:rPr>
          <w:rFonts w:hint="eastAsia" w:ascii="Times New Roman" w:hAnsi="Times New Roman" w:eastAsia="仿宋_GB2312" w:cs="Times New Roman"/>
          <w:sz w:val="32"/>
          <w:szCs w:val="32"/>
          <w:highlight w:val="none"/>
          <w:shd w:val="clear"/>
          <w:lang w:val="en-US" w:eastAsia="zh-CN"/>
        </w:rPr>
        <w:t>第一阶段；我们对此项目做了规划，确保项目有序进行。第二阶段根据计划上半年依次完成了第一批资金的使用，保障了幼儿园</w:t>
      </w:r>
      <w:r>
        <w:rPr>
          <w:rFonts w:hint="eastAsia" w:eastAsia="仿宋_GB2312" w:cs="Times New Roman"/>
          <w:sz w:val="32"/>
          <w:szCs w:val="32"/>
          <w:highlight w:val="none"/>
          <w:shd w:val="clear"/>
          <w:lang w:val="en-US" w:eastAsia="zh-CN"/>
        </w:rPr>
        <w:t>工程的顺利施工，未完成计划进度</w:t>
      </w:r>
      <w:r>
        <w:rPr>
          <w:rFonts w:hint="eastAsia" w:ascii="Times New Roman" w:hAnsi="Times New Roman" w:eastAsia="仿宋_GB2312" w:cs="Times New Roman"/>
          <w:sz w:val="32"/>
          <w:szCs w:val="32"/>
          <w:highlight w:val="none"/>
          <w:shd w:val="clear"/>
          <w:lang w:val="en-US" w:eastAsia="zh-CN"/>
        </w:rPr>
        <w:t>。下半年完成第二批资金的支出。幼儿园</w:t>
      </w:r>
      <w:r>
        <w:rPr>
          <w:rFonts w:hint="eastAsia" w:eastAsia="仿宋_GB2312" w:cs="Times New Roman"/>
          <w:sz w:val="32"/>
          <w:szCs w:val="32"/>
          <w:highlight w:val="none"/>
          <w:shd w:val="clear"/>
          <w:lang w:val="en-US" w:eastAsia="zh-CN"/>
        </w:rPr>
        <w:t>工程按计划完工</w:t>
      </w:r>
      <w:r>
        <w:rPr>
          <w:rFonts w:hint="eastAsia" w:ascii="Times New Roman" w:hAnsi="Times New Roman" w:eastAsia="仿宋_GB2312" w:cs="Times New Roman"/>
          <w:sz w:val="32"/>
          <w:szCs w:val="32"/>
          <w:highlight w:val="none"/>
          <w:shd w:val="clear"/>
          <w:lang w:val="en-US" w:eastAsia="zh-CN"/>
        </w:rPr>
        <w:t>，</w:t>
      </w:r>
      <w:r>
        <w:rPr>
          <w:rFonts w:hint="eastAsia" w:eastAsia="仿宋_GB2312" w:cs="Times New Roman"/>
          <w:sz w:val="32"/>
          <w:szCs w:val="32"/>
          <w:highlight w:val="none"/>
          <w:shd w:val="clear"/>
          <w:lang w:val="en-US" w:eastAsia="zh-CN"/>
        </w:rPr>
        <w:t>项目按计划完工时间</w:t>
      </w:r>
      <w:r>
        <w:rPr>
          <w:rFonts w:hint="eastAsia" w:ascii="Times New Roman" w:hAnsi="Times New Roman" w:eastAsia="仿宋_GB2312" w:cs="Times New Roman"/>
          <w:sz w:val="32"/>
          <w:szCs w:val="32"/>
          <w:highlight w:val="none"/>
          <w:shd w:val="clear"/>
          <w:lang w:val="en-US" w:eastAsia="zh-CN"/>
        </w:rPr>
        <w:t>合格率100%，</w:t>
      </w:r>
      <w:r>
        <w:rPr>
          <w:rFonts w:hint="eastAsia" w:eastAsia="仿宋_GB2312" w:cs="Times New Roman"/>
          <w:sz w:val="32"/>
          <w:szCs w:val="32"/>
          <w:highlight w:val="none"/>
          <w:shd w:val="clear"/>
          <w:lang w:val="en-US" w:eastAsia="zh-CN"/>
        </w:rPr>
        <w:t>完工</w:t>
      </w:r>
      <w:r>
        <w:rPr>
          <w:rFonts w:hint="eastAsia" w:ascii="Times New Roman" w:hAnsi="Times New Roman" w:eastAsia="仿宋_GB2312" w:cs="Times New Roman"/>
          <w:sz w:val="32"/>
          <w:szCs w:val="32"/>
          <w:highlight w:val="none"/>
          <w:shd w:val="clear"/>
          <w:lang w:val="en-US" w:eastAsia="zh-CN"/>
        </w:rPr>
        <w:t>及时，严格把关，质量合格，正常投入使用。</w:t>
      </w:r>
    </w:p>
    <w:p w14:paraId="471FF42E">
      <w:pPr>
        <w:numPr>
          <w:ilvl w:val="0"/>
          <w:numId w:val="0"/>
        </w:numPr>
        <w:spacing w:line="560" w:lineRule="exact"/>
        <w:ind w:firstLine="640" w:firstLineChars="200"/>
        <w:rPr>
          <w:rFonts w:hint="eastAsia" w:eastAsia="仿宋_GB2312"/>
          <w:color w:val="auto"/>
          <w:sz w:val="32"/>
          <w:szCs w:val="32"/>
          <w:lang w:val="en-US" w:eastAsia="zh-CN"/>
        </w:rPr>
      </w:pPr>
    </w:p>
    <w:p w14:paraId="7FEFA1E2">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5006A18A">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5489F98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2E773AC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560399D">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r>
        <w:rPr>
          <w:rFonts w:hint="eastAsia" w:eastAsia="仿宋_GB2312" w:cs="Times New Roman"/>
          <w:sz w:val="32"/>
          <w:szCs w:val="32"/>
          <w:highlight w:val="none"/>
          <w:lang w:val="en-US" w:eastAsia="zh-CN"/>
        </w:rPr>
        <w:t>有效改善教育教学质量、改善办园条件</w:t>
      </w:r>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14:paraId="2987269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1EE05B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89FEF74">
      <w:pPr>
        <w:spacing w:line="560" w:lineRule="exact"/>
        <w:ind w:firstLine="640" w:firstLineChars="200"/>
        <w:rPr>
          <w:rFonts w:hint="default" w:ascii="Times New Roman" w:hAnsi="Times New Roman" w:eastAsia="仿宋_GB2312" w:cs="Times New Roman"/>
          <w:sz w:val="32"/>
          <w:szCs w:val="32"/>
          <w:highlight w:val="none"/>
          <w:shd w:val="clear"/>
        </w:rPr>
      </w:pPr>
      <w:r>
        <w:rPr>
          <w:rFonts w:hint="default" w:ascii="Times New Roman" w:hAnsi="Times New Roman" w:eastAsia="仿宋_GB2312" w:cs="Times New Roman"/>
          <w:sz w:val="32"/>
          <w:szCs w:val="32"/>
          <w:highlight w:val="none"/>
          <w:shd w:val="clear"/>
          <w:lang w:val="en-US" w:eastAsia="zh-CN"/>
        </w:rPr>
        <w:t>2.</w:t>
      </w:r>
      <w:r>
        <w:rPr>
          <w:rFonts w:hint="default" w:ascii="Times New Roman" w:hAnsi="Times New Roman" w:eastAsia="仿宋_GB2312" w:cs="Times New Roman"/>
          <w:sz w:val="32"/>
          <w:szCs w:val="32"/>
          <w:highlight w:val="none"/>
          <w:shd w:val="clear"/>
        </w:rPr>
        <w:t>绩效评价的目的</w:t>
      </w:r>
    </w:p>
    <w:p w14:paraId="47B9C6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rPr>
      </w:pPr>
      <w:r>
        <w:rPr>
          <w:rFonts w:hint="default" w:ascii="Times New Roman" w:hAnsi="Times New Roman" w:eastAsia="仿宋_GB2312" w:cs="Times New Roman"/>
          <w:sz w:val="32"/>
          <w:szCs w:val="32"/>
          <w:highlight w:val="none"/>
          <w:shd w:val="clear"/>
        </w:rPr>
        <w:t>（1）评估项目实施效果</w:t>
      </w:r>
    </w:p>
    <w:p w14:paraId="1E4C790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shd w:val="clear"/>
          <w:lang w:val="en-US" w:eastAsia="zh-CN" w:bidi="ar-SA"/>
        </w:rPr>
      </w:pPr>
      <w:r>
        <w:rPr>
          <w:rFonts w:hint="default" w:ascii="Times New Roman" w:hAnsi="Times New Roman" w:eastAsia="仿宋_GB2312" w:cs="Times New Roman"/>
          <w:b w:val="0"/>
          <w:bCs w:val="0"/>
          <w:kern w:val="2"/>
          <w:sz w:val="32"/>
          <w:szCs w:val="32"/>
          <w:highlight w:val="none"/>
          <w:shd w:val="clear"/>
          <w:lang w:val="en-US" w:eastAsia="zh-CN" w:bidi="ar-SA"/>
        </w:rPr>
        <w:t>通过系统分析预算执行与目标达成情况，从多维度评估项目周期内成效，为改进提供科学依据。</w:t>
      </w:r>
    </w:p>
    <w:p w14:paraId="0821F0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rPr>
      </w:pPr>
      <w:r>
        <w:rPr>
          <w:rFonts w:hint="default" w:ascii="Times New Roman" w:hAnsi="Times New Roman" w:eastAsia="仿宋_GB2312" w:cs="Times New Roman"/>
          <w:sz w:val="32"/>
          <w:szCs w:val="32"/>
          <w:highlight w:val="none"/>
          <w:shd w:val="clear"/>
        </w:rPr>
        <w:t>（2）提升资源利用效率</w:t>
      </w:r>
    </w:p>
    <w:p w14:paraId="69517CAE">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shd w:val="clear"/>
          <w:lang w:val="en-US" w:eastAsia="zh-CN" w:bidi="ar-SA"/>
        </w:rPr>
      </w:pPr>
      <w:r>
        <w:rPr>
          <w:rFonts w:hint="default" w:ascii="Times New Roman" w:hAnsi="Times New Roman" w:eastAsia="仿宋_GB2312" w:cs="Times New Roman"/>
          <w:b w:val="0"/>
          <w:bCs w:val="0"/>
          <w:kern w:val="2"/>
          <w:sz w:val="32"/>
          <w:szCs w:val="32"/>
          <w:highlight w:val="none"/>
          <w:shd w:val="clear"/>
          <w:lang w:val="en-US" w:eastAsia="zh-CN" w:bidi="ar-SA"/>
        </w:rPr>
        <w:t>剖析资金投入产出关系，识别低效环节，挖掘配置空间，提升财政资金使用效能。</w:t>
      </w:r>
    </w:p>
    <w:p w14:paraId="602379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rPr>
      </w:pPr>
      <w:r>
        <w:rPr>
          <w:rFonts w:hint="default" w:ascii="Times New Roman" w:hAnsi="Times New Roman" w:eastAsia="仿宋_GB2312" w:cs="Times New Roman"/>
          <w:sz w:val="32"/>
          <w:szCs w:val="32"/>
          <w:highlight w:val="none"/>
          <w:shd w:val="clear"/>
        </w:rPr>
        <w:t>（3）强化项目管理责任</w:t>
      </w:r>
    </w:p>
    <w:p w14:paraId="63C08B80">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shd w:val="clear"/>
          <w:lang w:val="en-US" w:eastAsia="zh-CN" w:bidi="ar-SA"/>
        </w:rPr>
      </w:pPr>
      <w:r>
        <w:rPr>
          <w:rFonts w:hint="default" w:ascii="Times New Roman" w:hAnsi="Times New Roman" w:eastAsia="仿宋_GB2312" w:cs="Times New Roman"/>
          <w:b w:val="0"/>
          <w:bCs w:val="0"/>
          <w:kern w:val="2"/>
          <w:sz w:val="32"/>
          <w:szCs w:val="32"/>
          <w:highlight w:val="none"/>
          <w:shd w:val="clear"/>
          <w:lang w:val="en-US" w:eastAsia="zh-CN" w:bidi="ar-SA"/>
        </w:rPr>
        <w:t>明确各参与方职责，以评价结果监督问责，推动管理者优化流程、提升执行能力。</w:t>
      </w:r>
    </w:p>
    <w:p w14:paraId="2B7EF6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rPr>
      </w:pPr>
      <w:r>
        <w:rPr>
          <w:rFonts w:hint="default" w:ascii="Times New Roman" w:hAnsi="Times New Roman" w:eastAsia="仿宋_GB2312" w:cs="Times New Roman"/>
          <w:sz w:val="32"/>
          <w:szCs w:val="32"/>
          <w:highlight w:val="none"/>
          <w:shd w:val="clear"/>
        </w:rPr>
        <w:t>（4）为决策提供支持</w:t>
      </w:r>
    </w:p>
    <w:p w14:paraId="6031D1F8">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shd w:val="clear"/>
          <w:lang w:val="en-US" w:eastAsia="zh-CN" w:bidi="ar-SA"/>
        </w:rPr>
      </w:pPr>
      <w:r>
        <w:rPr>
          <w:rFonts w:hint="default" w:ascii="Times New Roman" w:hAnsi="Times New Roman" w:eastAsia="仿宋_GB2312" w:cs="Times New Roman"/>
          <w:b w:val="0"/>
          <w:bCs w:val="0"/>
          <w:kern w:val="2"/>
          <w:sz w:val="32"/>
          <w:szCs w:val="32"/>
          <w:highlight w:val="none"/>
          <w:shd w:val="clear"/>
          <w:lang w:val="en-US" w:eastAsia="zh-CN" w:bidi="ar-SA"/>
        </w:rPr>
        <w:t>为主管部门及决策层提供详实评价信息，支撑项目审批、预算安排等关键决策，提升资源配置精准度。</w:t>
      </w:r>
    </w:p>
    <w:p w14:paraId="31DB9A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rPr>
      </w:pPr>
      <w:r>
        <w:rPr>
          <w:rFonts w:hint="default" w:ascii="Times New Roman" w:hAnsi="Times New Roman" w:eastAsia="仿宋_GB2312" w:cs="Times New Roman"/>
          <w:sz w:val="32"/>
          <w:szCs w:val="32"/>
          <w:highlight w:val="none"/>
          <w:shd w:val="clear"/>
        </w:rPr>
        <w:t>（5）促进项目持续改进</w:t>
      </w:r>
    </w:p>
    <w:p w14:paraId="761D1266">
      <w:pPr>
        <w:pStyle w:val="2"/>
        <w:widowControl w:val="0"/>
        <w:spacing w:before="0" w:after="0" w:line="560" w:lineRule="exact"/>
        <w:ind w:firstLine="640" w:firstLineChars="200"/>
        <w:jc w:val="both"/>
        <w:outlineLvl w:val="9"/>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b w:val="0"/>
          <w:bCs w:val="0"/>
          <w:kern w:val="2"/>
          <w:sz w:val="32"/>
          <w:szCs w:val="32"/>
          <w:highlight w:val="none"/>
          <w:shd w:val="clear"/>
          <w:lang w:val="en-US" w:eastAsia="zh-CN" w:bidi="ar-SA"/>
        </w:rPr>
        <w:t>针对评价发现的问题，提出针对性措施，引导团队优化方案、加强监控，形成绩效提升良性循环。</w:t>
      </w:r>
    </w:p>
    <w:p w14:paraId="0566332C">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5BC75B73">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eastAsia" w:ascii="方正仿宋_GB18030" w:hAnsi="方正仿宋_GB18030" w:eastAsia="方正仿宋_GB18030" w:cs="方正仿宋_GB18030"/>
          <w:b w:val="0"/>
          <w:bCs w:val="0"/>
          <w:color w:val="auto"/>
          <w:sz w:val="30"/>
          <w:szCs w:val="30"/>
          <w:highlight w:val="none"/>
          <w:lang w:val="en-US" w:eastAsia="zh-CN"/>
        </w:rPr>
        <w:t>根据昌州财教【2021】73号</w:t>
      </w:r>
      <w:r>
        <w:rPr>
          <w:rFonts w:hint="eastAsia" w:ascii="方正仿宋_GB18030" w:hAnsi="方正仿宋_GB18030" w:eastAsia="方正仿宋_GB18030" w:cs="方正仿宋_GB18030"/>
          <w:b w:val="0"/>
          <w:bCs w:val="0"/>
          <w:kern w:val="0"/>
          <w:sz w:val="30"/>
          <w:szCs w:val="30"/>
          <w:highlight w:val="none"/>
        </w:rPr>
        <w:t>关于提前下达2022年支出学前教育资金发展预算的通知</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val="en-US" w:eastAsia="zh-CN"/>
        </w:rPr>
        <w:t>奇台县古城乡中心幼儿园负</w:t>
      </w:r>
      <w:r>
        <w:rPr>
          <w:rFonts w:hint="default" w:ascii="Times New Roman" w:hAnsi="Times New Roman" w:eastAsia="仿宋_GB2312" w:cs="Times New Roman"/>
          <w:b w:val="0"/>
          <w:bCs w:val="0"/>
          <w:highlight w:val="none"/>
        </w:rPr>
        <w:t>责实施，旨在</w:t>
      </w:r>
      <w:r>
        <w:rPr>
          <w:rFonts w:hint="eastAsia" w:ascii="Times New Roman" w:hAnsi="Times New Roman" w:eastAsia="仿宋_GB2312" w:cs="Times New Roman"/>
          <w:b w:val="0"/>
          <w:bCs w:val="0"/>
          <w:highlight w:val="none"/>
          <w:lang w:val="en-US" w:eastAsia="zh-CN"/>
        </w:rPr>
        <w:t>保障幼儿园保教工作正常运转，更好的提升幼儿园整体办园水平，为孩子们提供更好的服务，让他们在幼儿园阶段得到全面发展。</w:t>
      </w:r>
      <w:r>
        <w:rPr>
          <w:rFonts w:hint="default" w:ascii="Times New Roman" w:hAnsi="Times New Roman" w:eastAsia="仿宋_GB2312" w:cs="Times New Roman"/>
          <w:b w:val="0"/>
          <w:bCs w:val="0"/>
          <w:highlight w:val="none"/>
        </w:rPr>
        <w:t>项目预算涵盖</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120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5290F383">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01743F18">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304F1943">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4C4A58FA">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158194BC">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w:t>
      </w:r>
    </w:p>
    <w:p w14:paraId="439297C5">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22A56B4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75902CD7">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52E1B64C">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6D246A6B">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43F9F5DC">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2615E19F">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520618C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0FA2B9BE">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40EAAFD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14DC5545">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8CCD45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3BAFE3E2">
      <w:pPr>
        <w:pStyle w:val="4"/>
        <w:ind w:firstLine="708" w:firstLineChars="200"/>
      </w:pPr>
      <w:r>
        <w:rPr>
          <w:rFonts w:hint="default" w:ascii="Times New Roman" w:hAnsi="Times New Roman" w:eastAsia="仿宋_GB2312" w:cs="Times New Roman"/>
          <w:color w:val="000000"/>
          <w:spacing w:val="17"/>
          <w:sz w:val="32"/>
          <w:szCs w:val="32"/>
        </w:rPr>
        <w:t>确定各个指标相对于项目总体绩效的权重分值。在绩效评价指标体系中，</w:t>
      </w:r>
      <w:r>
        <w:rPr>
          <w:rFonts w:hint="eastAsia" w:ascii="方正仿宋_GB2312" w:hAnsi="方正仿宋_GB2312" w:eastAsia="方正仿宋_GB2312" w:cs="方正仿宋_GB2312"/>
          <w:sz w:val="32"/>
          <w:szCs w:val="32"/>
        </w:rPr>
        <w:t>项目决策权重为20分，项目过程权重为20分，项目产出权重为40分，项目效益权重为20分。</w:t>
      </w:r>
    </w:p>
    <w:p w14:paraId="0966E2B5">
      <w:pPr>
        <w:spacing w:line="560" w:lineRule="exact"/>
        <w:ind w:firstLine="420" w:firstLineChars="200"/>
        <w:rPr>
          <w:rFonts w:hint="default" w:ascii="Times New Roman" w:hAnsi="Times New Roman" w:eastAsia="仿宋_GB2312" w:cs="Times New Roman"/>
          <w:color w:val="000000"/>
          <w:spacing w:val="17"/>
          <w:sz w:val="32"/>
          <w:szCs w:val="32"/>
        </w:rPr>
      </w:pPr>
      <w:r>
        <w:rPr>
          <w:rFonts w:hint="eastAsia"/>
          <w:lang w:val="en-US" w:eastAsia="zh-CN"/>
        </w:rPr>
        <w:t xml:space="preserve"> </w:t>
      </w:r>
      <w:r>
        <w:rPr>
          <w:rFonts w:hint="default" w:ascii="Times New Roman" w:hAnsi="Times New Roman" w:eastAsia="仿宋_GB2312" w:cs="Times New Roman"/>
          <w:color w:val="000000"/>
          <w:spacing w:val="17"/>
          <w:sz w:val="32"/>
          <w:szCs w:val="32"/>
        </w:rPr>
        <w:t>（3）确定指标标准值</w:t>
      </w:r>
    </w:p>
    <w:p w14:paraId="7FA980D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3B4B4B21">
      <w:pPr>
        <w:pStyle w:val="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0FAD9B58">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34F6D0BC">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6900116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7198798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8F6F662">
      <w:pPr>
        <w:spacing w:line="560" w:lineRule="exact"/>
        <w:ind w:firstLine="708" w:firstLineChars="200"/>
        <w:rPr>
          <w:rFonts w:hint="default" w:ascii="Times New Roman" w:hAnsi="Times New Roman" w:eastAsia="仿宋_GB2312" w:cs="Times New Roman"/>
          <w:color w:val="000000"/>
          <w:spacing w:val="17"/>
          <w:sz w:val="32"/>
          <w:szCs w:val="32"/>
          <w:highlight w:val="none"/>
          <w:shd w:val="clear"/>
        </w:rPr>
      </w:pPr>
      <w:r>
        <w:rPr>
          <w:rFonts w:hint="default" w:ascii="Times New Roman" w:hAnsi="Times New Roman" w:eastAsia="仿宋_GB2312" w:cs="Times New Roman"/>
          <w:color w:val="000000"/>
          <w:spacing w:val="17"/>
          <w:sz w:val="32"/>
          <w:szCs w:val="32"/>
          <w:highlight w:val="none"/>
          <w:shd w:val="clear"/>
        </w:rPr>
        <w:t xml:space="preserve">（一）成本效益分析法。是指将投入与产出、效益进行关联性分析的方法。 </w:t>
      </w:r>
    </w:p>
    <w:p w14:paraId="41FC958A">
      <w:pPr>
        <w:spacing w:line="560" w:lineRule="exact"/>
        <w:ind w:firstLine="708" w:firstLineChars="200"/>
        <w:rPr>
          <w:rFonts w:hint="default" w:ascii="Times New Roman" w:hAnsi="Times New Roman" w:eastAsia="仿宋_GB2312" w:cs="Times New Roman"/>
          <w:color w:val="000000"/>
          <w:spacing w:val="17"/>
          <w:sz w:val="32"/>
          <w:szCs w:val="32"/>
          <w:highlight w:val="none"/>
          <w:shd w:val="clear"/>
        </w:rPr>
      </w:pPr>
      <w:r>
        <w:rPr>
          <w:rFonts w:hint="default" w:ascii="Times New Roman" w:hAnsi="Times New Roman" w:eastAsia="仿宋_GB2312" w:cs="Times New Roman"/>
          <w:color w:val="000000"/>
          <w:spacing w:val="17"/>
          <w:sz w:val="32"/>
          <w:szCs w:val="32"/>
          <w:highlight w:val="none"/>
          <w:shd w:val="clear"/>
        </w:rPr>
        <w:t>（二）比较法。是指将实施情况与绩效目标、历史情况、不同部门和地区同类支出情况进行比较的方法。</w:t>
      </w:r>
    </w:p>
    <w:p w14:paraId="03A433E0">
      <w:pPr>
        <w:spacing w:line="560" w:lineRule="exact"/>
        <w:ind w:firstLine="708" w:firstLineChars="200"/>
        <w:rPr>
          <w:rFonts w:hint="default" w:ascii="Times New Roman" w:hAnsi="Times New Roman" w:eastAsia="仿宋_GB2312" w:cs="Times New Roman"/>
          <w:color w:val="000000"/>
          <w:spacing w:val="17"/>
          <w:sz w:val="32"/>
          <w:szCs w:val="32"/>
          <w:highlight w:val="none"/>
          <w:shd w:val="clear"/>
        </w:rPr>
      </w:pPr>
      <w:r>
        <w:rPr>
          <w:rFonts w:hint="default" w:ascii="Times New Roman" w:hAnsi="Times New Roman" w:eastAsia="仿宋_GB2312" w:cs="Times New Roman"/>
          <w:color w:val="000000"/>
          <w:spacing w:val="17"/>
          <w:sz w:val="32"/>
          <w:szCs w:val="32"/>
          <w:highlight w:val="none"/>
          <w:shd w:val="clear"/>
        </w:rPr>
        <w:t>（三）因素分析法。是指综合分析影响绩效目标实现、实施效果的内外部因素的方法。</w:t>
      </w:r>
    </w:p>
    <w:p w14:paraId="08B60C75">
      <w:pPr>
        <w:spacing w:line="560" w:lineRule="exact"/>
        <w:ind w:firstLine="708" w:firstLineChars="200"/>
        <w:rPr>
          <w:rFonts w:hint="default" w:ascii="Times New Roman" w:hAnsi="Times New Roman" w:eastAsia="仿宋_GB2312" w:cs="Times New Roman"/>
          <w:color w:val="000000"/>
          <w:spacing w:val="17"/>
          <w:sz w:val="32"/>
          <w:szCs w:val="32"/>
          <w:highlight w:val="none"/>
          <w:shd w:val="clear"/>
        </w:rPr>
      </w:pPr>
      <w:r>
        <w:rPr>
          <w:rFonts w:hint="default" w:ascii="Times New Roman" w:hAnsi="Times New Roman" w:eastAsia="仿宋_GB2312" w:cs="Times New Roman"/>
          <w:color w:val="000000"/>
          <w:spacing w:val="17"/>
          <w:sz w:val="32"/>
          <w:szCs w:val="32"/>
          <w:highlight w:val="none"/>
          <w:shd w:val="clear"/>
        </w:rPr>
        <w:t>（四）最低成本法。是指在绩效目标确定的前提下，成本最小者为优的方法。</w:t>
      </w:r>
    </w:p>
    <w:p w14:paraId="57A2A850">
      <w:pPr>
        <w:spacing w:line="560" w:lineRule="exact"/>
        <w:ind w:firstLine="708" w:firstLineChars="200"/>
        <w:rPr>
          <w:rFonts w:hint="default" w:ascii="Times New Roman" w:hAnsi="Times New Roman" w:eastAsia="仿宋_GB2312" w:cs="Times New Roman"/>
          <w:color w:val="000000"/>
          <w:spacing w:val="17"/>
          <w:sz w:val="32"/>
          <w:szCs w:val="32"/>
          <w:highlight w:val="none"/>
          <w:shd w:val="clear"/>
        </w:rPr>
      </w:pPr>
      <w:r>
        <w:rPr>
          <w:rFonts w:hint="default" w:ascii="Times New Roman" w:hAnsi="Times New Roman" w:eastAsia="仿宋_GB2312" w:cs="Times New Roman"/>
          <w:color w:val="000000"/>
          <w:spacing w:val="17"/>
          <w:sz w:val="32"/>
          <w:szCs w:val="32"/>
          <w:highlight w:val="none"/>
          <w:shd w:val="clear"/>
        </w:rPr>
        <w:t>（五）公众评判法。是指通过专家评估、公众问卷及抽样调查等方式进行评判的方法。</w:t>
      </w:r>
    </w:p>
    <w:p w14:paraId="5A655CEA">
      <w:pPr>
        <w:spacing w:line="560" w:lineRule="exact"/>
        <w:ind w:firstLine="708" w:firstLineChars="200"/>
        <w:rPr>
          <w:rFonts w:hint="default" w:ascii="Times New Roman" w:hAnsi="Times New Roman" w:eastAsia="仿宋_GB2312" w:cs="Times New Roman"/>
          <w:color w:val="000000"/>
          <w:spacing w:val="17"/>
          <w:sz w:val="32"/>
          <w:szCs w:val="32"/>
          <w:highlight w:val="none"/>
          <w:shd w:val="clear"/>
        </w:rPr>
      </w:pPr>
      <w:r>
        <w:rPr>
          <w:rFonts w:hint="default" w:ascii="Times New Roman" w:hAnsi="Times New Roman" w:eastAsia="仿宋_GB2312" w:cs="Times New Roman"/>
          <w:color w:val="000000"/>
          <w:spacing w:val="17"/>
          <w:sz w:val="32"/>
          <w:szCs w:val="32"/>
          <w:highlight w:val="none"/>
          <w:shd w:val="clear"/>
        </w:rPr>
        <w:t>（六）其他评价方法。</w:t>
      </w:r>
    </w:p>
    <w:p w14:paraId="763964AB">
      <w:pPr>
        <w:spacing w:line="560" w:lineRule="exact"/>
        <w:ind w:firstLine="708" w:firstLineChars="200"/>
        <w:rPr>
          <w:rFonts w:hint="default" w:ascii="Times New Roman" w:hAnsi="Times New Roman" w:eastAsia="仿宋_GB2312" w:cs="Times New Roman"/>
          <w:color w:val="000000"/>
          <w:spacing w:val="17"/>
          <w:sz w:val="32"/>
          <w:szCs w:val="32"/>
          <w:highlight w:val="none"/>
        </w:rPr>
      </w:pPr>
    </w:p>
    <w:p w14:paraId="2C73D6E9">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75666F2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绩效评价标准通常包括计划标准、行业标准、历史标准等，用于对绩效指标完成情况进行比较、分析、评价。本次评价主要采用了计划标准。</w:t>
      </w:r>
    </w:p>
    <w:p w14:paraId="4A6BB0AA">
      <w:pPr>
        <w:pStyle w:val="2"/>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3406F9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rPr>
      </w:pPr>
      <w:r>
        <w:rPr>
          <w:rFonts w:hint="default" w:ascii="Times New Roman" w:hAnsi="Times New Roman" w:eastAsia="仿宋_GB2312" w:cs="Times New Roman"/>
          <w:sz w:val="32"/>
          <w:szCs w:val="32"/>
          <w:highlight w:val="none"/>
          <w:shd w:val="clear"/>
          <w:lang w:eastAsia="zh-CN"/>
        </w:rPr>
        <w:t>（</w:t>
      </w:r>
      <w:r>
        <w:rPr>
          <w:rFonts w:hint="default" w:ascii="Times New Roman" w:hAnsi="Times New Roman" w:eastAsia="仿宋_GB2312" w:cs="Times New Roman"/>
          <w:sz w:val="32"/>
          <w:szCs w:val="32"/>
          <w:highlight w:val="none"/>
          <w:shd w:val="clear"/>
          <w:lang w:val="en-US" w:eastAsia="zh-CN"/>
        </w:rPr>
        <w:t>1</w:t>
      </w:r>
      <w:r>
        <w:rPr>
          <w:rFonts w:hint="default" w:ascii="Times New Roman" w:hAnsi="Times New Roman" w:eastAsia="仿宋_GB2312" w:cs="Times New Roman"/>
          <w:sz w:val="32"/>
          <w:szCs w:val="32"/>
          <w:highlight w:val="none"/>
          <w:shd w:val="clear"/>
          <w:lang w:eastAsia="zh-CN"/>
        </w:rPr>
        <w:t>）</w:t>
      </w:r>
      <w:r>
        <w:rPr>
          <w:rFonts w:hint="default" w:ascii="Times New Roman" w:hAnsi="Times New Roman" w:eastAsia="仿宋_GB2312" w:cs="Times New Roman"/>
          <w:sz w:val="32"/>
          <w:szCs w:val="32"/>
          <w:highlight w:val="none"/>
          <w:shd w:val="clear"/>
        </w:rPr>
        <w:t>前期准备与规划</w:t>
      </w:r>
    </w:p>
    <w:p w14:paraId="6E2F6B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rPr>
      </w:pPr>
      <w:r>
        <w:rPr>
          <w:rFonts w:hint="default" w:ascii="Times New Roman" w:hAnsi="Times New Roman" w:eastAsia="仿宋_GB2312" w:cs="Times New Roman"/>
          <w:sz w:val="32"/>
          <w:szCs w:val="32"/>
          <w:highlight w:val="none"/>
          <w:shd w:val="clear"/>
        </w:rPr>
        <w:t>在项目绩效评价工作启动之初，成立了专门的评价工作小组，小组成员由</w:t>
      </w:r>
      <w:r>
        <w:rPr>
          <w:rFonts w:hint="eastAsia" w:eastAsia="仿宋_GB2312" w:cs="Times New Roman"/>
          <w:sz w:val="32"/>
          <w:szCs w:val="32"/>
          <w:highlight w:val="none"/>
          <w:shd w:val="clear"/>
          <w:lang w:eastAsia="zh-CN"/>
        </w:rPr>
        <w:t>园长</w:t>
      </w:r>
      <w:r>
        <w:rPr>
          <w:rFonts w:hint="default" w:ascii="Times New Roman" w:hAnsi="Times New Roman" w:eastAsia="仿宋_GB2312" w:cs="Times New Roman"/>
          <w:sz w:val="32"/>
          <w:szCs w:val="32"/>
          <w:highlight w:val="none"/>
          <w:shd w:val="clear"/>
        </w:rPr>
        <w:t>、</w:t>
      </w:r>
      <w:r>
        <w:rPr>
          <w:rFonts w:hint="eastAsia" w:eastAsia="仿宋_GB2312" w:cs="Times New Roman"/>
          <w:sz w:val="32"/>
          <w:szCs w:val="32"/>
          <w:highlight w:val="none"/>
          <w:shd w:val="clear"/>
          <w:lang w:eastAsia="zh-CN"/>
        </w:rPr>
        <w:t>教务主任</w:t>
      </w:r>
      <w:r>
        <w:rPr>
          <w:rFonts w:hint="default" w:ascii="Times New Roman" w:hAnsi="Times New Roman" w:eastAsia="仿宋_GB2312" w:cs="Times New Roman"/>
          <w:sz w:val="32"/>
          <w:szCs w:val="32"/>
          <w:highlight w:val="none"/>
          <w:shd w:val="clear"/>
        </w:rPr>
        <w:t>及</w:t>
      </w:r>
      <w:r>
        <w:rPr>
          <w:rFonts w:hint="eastAsia" w:eastAsia="仿宋_GB2312" w:cs="Times New Roman"/>
          <w:sz w:val="32"/>
          <w:szCs w:val="32"/>
          <w:highlight w:val="none"/>
          <w:shd w:val="clear"/>
          <w:lang w:eastAsia="zh-CN"/>
        </w:rPr>
        <w:t>各班班主任</w:t>
      </w:r>
      <w:r>
        <w:rPr>
          <w:rFonts w:hint="default" w:ascii="Times New Roman" w:hAnsi="Times New Roman" w:eastAsia="仿宋_GB2312" w:cs="Times New Roman"/>
          <w:sz w:val="32"/>
          <w:szCs w:val="32"/>
          <w:highlight w:val="none"/>
          <w:shd w:val="clear"/>
        </w:rPr>
        <w:t>组成，确保从多角度、全方位对项目绩效进行评价。同时，明确了评价工作的目标、范围、重点及时间安排，制定了详细的工作计划，为评价工作的顺利开展奠定了坚实基础。</w:t>
      </w:r>
    </w:p>
    <w:p w14:paraId="2A7BBF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w:t>
      </w:r>
      <w:r>
        <w:rPr>
          <w:rFonts w:hint="default" w:ascii="Times New Roman" w:hAnsi="Times New Roman" w:eastAsia="仿宋_GB2312" w:cs="Times New Roman"/>
          <w:sz w:val="32"/>
          <w:szCs w:val="32"/>
          <w:highlight w:val="none"/>
          <w:shd w:val="clear"/>
          <w:lang w:val="en-US" w:eastAsia="zh-CN"/>
        </w:rPr>
        <w:t>2</w:t>
      </w:r>
      <w:r>
        <w:rPr>
          <w:rFonts w:hint="default" w:ascii="Times New Roman" w:hAnsi="Times New Roman" w:eastAsia="仿宋_GB2312" w:cs="Times New Roman"/>
          <w:sz w:val="32"/>
          <w:szCs w:val="32"/>
          <w:highlight w:val="none"/>
          <w:shd w:val="clear"/>
          <w:lang w:eastAsia="zh-CN"/>
        </w:rPr>
        <w:t>）指标体系构建</w:t>
      </w:r>
    </w:p>
    <w:p w14:paraId="578D84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shd w:val="clear"/>
        </w:rPr>
        <w:t>项目决策、项目过程、项目产出、项目效益四个维度</w:t>
      </w:r>
      <w:r>
        <w:rPr>
          <w:rFonts w:hint="default" w:ascii="Times New Roman" w:hAnsi="Times New Roman" w:eastAsia="仿宋_GB2312" w:cs="Times New Roman"/>
          <w:sz w:val="32"/>
          <w:szCs w:val="32"/>
          <w:highlight w:val="none"/>
          <w:shd w:val="clear"/>
          <w:lang w:eastAsia="zh-CN"/>
        </w:rPr>
        <w:t>，选取了具有代表性和可衡量性的关键指标，并为每个指标设定了明确的评价标准与权重，确保评价结果能够全面、准确地反映项目的绩效状况。</w:t>
      </w:r>
    </w:p>
    <w:p w14:paraId="604199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w:t>
      </w:r>
      <w:r>
        <w:rPr>
          <w:rFonts w:hint="default" w:ascii="Times New Roman" w:hAnsi="Times New Roman" w:eastAsia="仿宋_GB2312" w:cs="Times New Roman"/>
          <w:sz w:val="32"/>
          <w:szCs w:val="32"/>
          <w:highlight w:val="none"/>
          <w:shd w:val="clear"/>
          <w:lang w:val="en-US" w:eastAsia="zh-CN"/>
        </w:rPr>
        <w:t>3</w:t>
      </w:r>
      <w:r>
        <w:rPr>
          <w:rFonts w:hint="default" w:ascii="Times New Roman" w:hAnsi="Times New Roman" w:eastAsia="仿宋_GB2312" w:cs="Times New Roman"/>
          <w:sz w:val="32"/>
          <w:szCs w:val="32"/>
          <w:highlight w:val="none"/>
          <w:shd w:val="clear"/>
          <w:lang w:eastAsia="zh-CN"/>
        </w:rPr>
        <w:t>）数据收集与整理</w:t>
      </w:r>
    </w:p>
    <w:p w14:paraId="0DCB68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广泛收集与项目相关的各类数据，包括财务报表、</w:t>
      </w:r>
      <w:r>
        <w:rPr>
          <w:rFonts w:hint="eastAsia" w:eastAsia="仿宋_GB2312" w:cs="Times New Roman"/>
          <w:sz w:val="32"/>
          <w:szCs w:val="32"/>
          <w:highlight w:val="none"/>
          <w:shd w:val="clear"/>
          <w:lang w:eastAsia="zh-CN"/>
        </w:rPr>
        <w:t>各类支出票据</w:t>
      </w:r>
      <w:r>
        <w:rPr>
          <w:rFonts w:hint="default" w:ascii="Times New Roman" w:hAnsi="Times New Roman" w:eastAsia="仿宋_GB2312" w:cs="Times New Roman"/>
          <w:sz w:val="32"/>
          <w:szCs w:val="32"/>
          <w:highlight w:val="none"/>
          <w:shd w:val="clear"/>
          <w:lang w:eastAsia="zh-CN"/>
        </w:rPr>
        <w:t>等。在数据收集过程中，注重数据的质量与完整性，为后续的数据分析提供了有力支持。</w:t>
      </w:r>
    </w:p>
    <w:p w14:paraId="2D945F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w:t>
      </w:r>
      <w:r>
        <w:rPr>
          <w:rFonts w:hint="default" w:ascii="Times New Roman" w:hAnsi="Times New Roman" w:eastAsia="仿宋_GB2312" w:cs="Times New Roman"/>
          <w:sz w:val="32"/>
          <w:szCs w:val="32"/>
          <w:highlight w:val="none"/>
          <w:shd w:val="clear"/>
          <w:lang w:val="en-US" w:eastAsia="zh-CN"/>
        </w:rPr>
        <w:t>4</w:t>
      </w:r>
      <w:r>
        <w:rPr>
          <w:rFonts w:hint="default" w:ascii="Times New Roman" w:hAnsi="Times New Roman" w:eastAsia="仿宋_GB2312" w:cs="Times New Roman"/>
          <w:sz w:val="32"/>
          <w:szCs w:val="32"/>
          <w:highlight w:val="none"/>
          <w:shd w:val="clear"/>
          <w:lang w:eastAsia="zh-CN"/>
        </w:rPr>
        <w:t>）数据分析与评估</w:t>
      </w:r>
    </w:p>
    <w:p w14:paraId="460192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识别出项目实施过程中的优势与不足，为提出有针对性的改进建议提供了依据。</w:t>
      </w:r>
    </w:p>
    <w:p w14:paraId="710024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w:t>
      </w:r>
      <w:r>
        <w:rPr>
          <w:rFonts w:hint="default" w:ascii="Times New Roman" w:hAnsi="Times New Roman" w:eastAsia="仿宋_GB2312" w:cs="Times New Roman"/>
          <w:sz w:val="32"/>
          <w:szCs w:val="32"/>
          <w:highlight w:val="none"/>
          <w:shd w:val="clear"/>
          <w:lang w:val="en-US" w:eastAsia="zh-CN"/>
        </w:rPr>
        <w:t>5</w:t>
      </w:r>
      <w:r>
        <w:rPr>
          <w:rFonts w:hint="default" w:ascii="Times New Roman" w:hAnsi="Times New Roman" w:eastAsia="仿宋_GB2312" w:cs="Times New Roman"/>
          <w:sz w:val="32"/>
          <w:szCs w:val="32"/>
          <w:highlight w:val="none"/>
          <w:shd w:val="clear"/>
          <w:lang w:eastAsia="zh-CN"/>
        </w:rPr>
        <w:t>）报告撰写与反馈</w:t>
      </w:r>
    </w:p>
    <w:p w14:paraId="3E25F8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096755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w:t>
      </w:r>
      <w:r>
        <w:rPr>
          <w:rFonts w:hint="default" w:ascii="Times New Roman" w:hAnsi="Times New Roman" w:eastAsia="仿宋_GB2312" w:cs="Times New Roman"/>
          <w:sz w:val="32"/>
          <w:szCs w:val="32"/>
          <w:highlight w:val="none"/>
          <w:shd w:val="clear"/>
          <w:lang w:val="en-US" w:eastAsia="zh-CN"/>
        </w:rPr>
        <w:t>6</w:t>
      </w:r>
      <w:r>
        <w:rPr>
          <w:rFonts w:hint="default" w:ascii="Times New Roman" w:hAnsi="Times New Roman" w:eastAsia="仿宋_GB2312" w:cs="Times New Roman"/>
          <w:sz w:val="32"/>
          <w:szCs w:val="32"/>
          <w:highlight w:val="none"/>
          <w:shd w:val="clear"/>
          <w:lang w:eastAsia="zh-CN"/>
        </w:rPr>
        <w:t>）后续跟踪与改进</w:t>
      </w:r>
    </w:p>
    <w:p w14:paraId="126CC7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75498B02">
      <w:pPr>
        <w:numPr>
          <w:ilvl w:val="0"/>
          <w:numId w:val="4"/>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21FF7235">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03D6FAED">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方正仿宋_GB18030" w:hAnsi="方正仿宋_GB18030" w:eastAsia="方正仿宋_GB18030" w:cs="方正仿宋_GB18030"/>
          <w:b w:val="0"/>
          <w:bCs w:val="0"/>
          <w:color w:val="auto"/>
          <w:sz w:val="30"/>
          <w:szCs w:val="30"/>
          <w:highlight w:val="none"/>
          <w:lang w:val="en-US" w:eastAsia="zh-CN"/>
        </w:rPr>
        <w:t>昌州财教【2021】73号</w:t>
      </w:r>
      <w:r>
        <w:rPr>
          <w:rFonts w:hint="eastAsia" w:ascii="方正仿宋_GB18030" w:hAnsi="方正仿宋_GB18030" w:eastAsia="方正仿宋_GB18030" w:cs="方正仿宋_GB18030"/>
          <w:b w:val="0"/>
          <w:bCs w:val="0"/>
          <w:kern w:val="0"/>
          <w:sz w:val="30"/>
          <w:szCs w:val="30"/>
          <w:highlight w:val="none"/>
        </w:rPr>
        <w:t>关于提前下达2022年支出学前教育资金发展预算的通知</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改善学前教育办学条件</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sz w:val="32"/>
          <w:szCs w:val="32"/>
          <w:highlight w:val="none"/>
          <w:lang w:val="en-US" w:eastAsia="zh-CN"/>
        </w:rPr>
        <w:t>改善幼儿在园学习生活方面</w:t>
      </w:r>
      <w:r>
        <w:rPr>
          <w:rFonts w:hint="default" w:ascii="Times New Roman" w:hAnsi="Times New Roman" w:eastAsia="仿宋_GB2312" w:cs="Times New Roman"/>
          <w:sz w:val="32"/>
          <w:szCs w:val="32"/>
          <w:highlight w:val="none"/>
        </w:rPr>
        <w:t>得了显著的成效，如</w:t>
      </w:r>
      <w:r>
        <w:rPr>
          <w:rFonts w:hint="eastAsia" w:eastAsia="仿宋_GB2312" w:cs="Times New Roman"/>
          <w:sz w:val="32"/>
          <w:szCs w:val="32"/>
          <w:highlight w:val="none"/>
          <w:lang w:val="en-US" w:eastAsia="zh-CN"/>
        </w:rPr>
        <w:t>增加教学班级，有效保障了幼儿园的教育教学质量</w:t>
      </w:r>
      <w:r>
        <w:rPr>
          <w:rFonts w:hint="default" w:ascii="Times New Roman" w:hAnsi="Times New Roman" w:eastAsia="仿宋_GB2312" w:cs="Times New Roman"/>
          <w:sz w:val="32"/>
          <w:szCs w:val="32"/>
          <w:highlight w:val="none"/>
        </w:rPr>
        <w:t>等。</w:t>
      </w:r>
    </w:p>
    <w:p w14:paraId="7D4A5360">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奇台县古城乡中心幼儿园</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1FD3ED9F">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w:t>
      </w:r>
      <w:r>
        <w:rPr>
          <w:rFonts w:hint="eastAsia" w:eastAsia="仿宋_GB2312" w:cs="Times New Roman"/>
          <w:sz w:val="32"/>
          <w:szCs w:val="32"/>
          <w:highlight w:val="none"/>
          <w:lang w:val="en-US" w:eastAsia="zh-CN"/>
        </w:rPr>
        <w:t>有效提升力教育教学质量</w:t>
      </w:r>
      <w:r>
        <w:rPr>
          <w:rFonts w:hint="default" w:ascii="Times New Roman" w:hAnsi="Times New Roman" w:eastAsia="仿宋_GB2312" w:cs="Times New Roman"/>
          <w:sz w:val="32"/>
          <w:szCs w:val="32"/>
          <w:highlight w:val="none"/>
        </w:rPr>
        <w:t>等方面。</w:t>
      </w:r>
    </w:p>
    <w:p w14:paraId="4CCC9DE3">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方正仿宋_GB18030" w:hAnsi="方正仿宋_GB18030" w:eastAsia="方正仿宋_GB18030" w:cs="方正仿宋_GB18030"/>
          <w:b w:val="0"/>
          <w:bCs w:val="0"/>
          <w:color w:val="auto"/>
          <w:sz w:val="30"/>
          <w:szCs w:val="30"/>
          <w:highlight w:val="none"/>
          <w:lang w:val="en-US" w:eastAsia="zh-CN"/>
        </w:rPr>
        <w:t>昌州财教【2021】73号</w:t>
      </w:r>
      <w:r>
        <w:rPr>
          <w:rFonts w:hint="eastAsia" w:ascii="方正仿宋_GB18030" w:hAnsi="方正仿宋_GB18030" w:eastAsia="方正仿宋_GB18030" w:cs="方正仿宋_GB18030"/>
          <w:b w:val="0"/>
          <w:bCs w:val="0"/>
          <w:kern w:val="0"/>
          <w:sz w:val="30"/>
          <w:szCs w:val="30"/>
          <w:highlight w:val="none"/>
        </w:rPr>
        <w:t>关于提前下达2022年支出学前教育资金发展预算的通知</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74DA847E">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222B10D8">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lang w:eastAsia="zh-CN"/>
        </w:rPr>
      </w:pPr>
      <w:r>
        <w:rPr>
          <w:rFonts w:hint="default" w:ascii="Times New Roman" w:hAnsi="Times New Roman" w:eastAsia="仿宋_GB2312" w:cs="Times New Roman"/>
          <w:b w:val="0"/>
          <w:bCs w:val="0"/>
          <w:highlight w:val="none"/>
          <w:shd w:val="clear"/>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shd w:val="clear"/>
          <w:lang w:val="en-US" w:eastAsia="zh-CN"/>
        </w:rPr>
        <w:t>100</w:t>
      </w:r>
      <w:r>
        <w:rPr>
          <w:rFonts w:hint="default" w:ascii="Times New Roman" w:hAnsi="Times New Roman" w:eastAsia="仿宋_GB2312" w:cs="Times New Roman"/>
          <w:b w:val="0"/>
          <w:bCs w:val="0"/>
          <w:highlight w:val="none"/>
          <w:shd w:val="clear"/>
        </w:rPr>
        <w:t xml:space="preserve">分，属于“优”。其中，项目决策类指标权重为20分，得分为 </w:t>
      </w:r>
      <w:r>
        <w:rPr>
          <w:rFonts w:hint="eastAsia" w:ascii="Times New Roman" w:hAnsi="Times New Roman" w:eastAsia="仿宋_GB2312" w:cs="Times New Roman"/>
          <w:b w:val="0"/>
          <w:bCs w:val="0"/>
          <w:highlight w:val="none"/>
          <w:shd w:val="clear"/>
          <w:lang w:val="en-US" w:eastAsia="zh-CN"/>
        </w:rPr>
        <w:t>20</w:t>
      </w:r>
      <w:r>
        <w:rPr>
          <w:rFonts w:hint="default" w:ascii="Times New Roman" w:hAnsi="Times New Roman" w:eastAsia="仿宋_GB2312" w:cs="Times New Roman"/>
          <w:b w:val="0"/>
          <w:bCs w:val="0"/>
          <w:highlight w:val="none"/>
          <w:shd w:val="clear"/>
        </w:rPr>
        <w:t>分，得分率为</w:t>
      </w:r>
      <w:r>
        <w:rPr>
          <w:rFonts w:hint="eastAsia" w:ascii="Times New Roman" w:hAnsi="Times New Roman" w:eastAsia="仿宋_GB2312" w:cs="Times New Roman"/>
          <w:b w:val="0"/>
          <w:bCs w:val="0"/>
          <w:highlight w:val="none"/>
          <w:shd w:val="clear"/>
          <w:lang w:val="en-US" w:eastAsia="zh-CN"/>
        </w:rPr>
        <w:t>100</w:t>
      </w:r>
      <w:r>
        <w:rPr>
          <w:rFonts w:hint="default" w:ascii="Times New Roman" w:hAnsi="Times New Roman" w:eastAsia="仿宋_GB2312" w:cs="Times New Roman"/>
          <w:b w:val="0"/>
          <w:bCs w:val="0"/>
          <w:highlight w:val="none"/>
          <w:shd w:val="clear"/>
        </w:rPr>
        <w:t>%。项目过程类指标权重为20分，得分为</w:t>
      </w:r>
      <w:r>
        <w:rPr>
          <w:rFonts w:hint="eastAsia" w:ascii="Times New Roman" w:hAnsi="Times New Roman" w:eastAsia="仿宋_GB2312" w:cs="Times New Roman"/>
          <w:b w:val="0"/>
          <w:bCs w:val="0"/>
          <w:highlight w:val="none"/>
          <w:shd w:val="clear"/>
          <w:lang w:val="en-US" w:eastAsia="zh-CN"/>
        </w:rPr>
        <w:t>20</w:t>
      </w:r>
      <w:r>
        <w:rPr>
          <w:rFonts w:hint="default" w:ascii="Times New Roman" w:hAnsi="Times New Roman" w:eastAsia="仿宋_GB2312" w:cs="Times New Roman"/>
          <w:b w:val="0"/>
          <w:bCs w:val="0"/>
          <w:highlight w:val="none"/>
          <w:shd w:val="clear"/>
        </w:rPr>
        <w:t>分，得分率为</w:t>
      </w:r>
      <w:r>
        <w:rPr>
          <w:rFonts w:hint="eastAsia" w:ascii="Times New Roman" w:hAnsi="Times New Roman" w:eastAsia="仿宋_GB2312" w:cs="Times New Roman"/>
          <w:b w:val="0"/>
          <w:bCs w:val="0"/>
          <w:highlight w:val="none"/>
          <w:shd w:val="clear"/>
          <w:lang w:val="en-US" w:eastAsia="zh-CN"/>
        </w:rPr>
        <w:t>100</w:t>
      </w:r>
      <w:r>
        <w:rPr>
          <w:rFonts w:hint="default" w:ascii="Times New Roman" w:hAnsi="Times New Roman" w:eastAsia="仿宋_GB2312" w:cs="Times New Roman"/>
          <w:b w:val="0"/>
          <w:bCs w:val="0"/>
          <w:highlight w:val="none"/>
          <w:shd w:val="clear"/>
        </w:rPr>
        <w:t>%。项目产出类指标权重为40分，得分为</w:t>
      </w:r>
      <w:r>
        <w:rPr>
          <w:rFonts w:hint="eastAsia" w:ascii="Times New Roman" w:hAnsi="Times New Roman" w:eastAsia="仿宋_GB2312" w:cs="Times New Roman"/>
          <w:b w:val="0"/>
          <w:bCs w:val="0"/>
          <w:highlight w:val="none"/>
          <w:shd w:val="clear"/>
          <w:lang w:val="en-US" w:eastAsia="zh-CN"/>
        </w:rPr>
        <w:t>40</w:t>
      </w:r>
      <w:r>
        <w:rPr>
          <w:rFonts w:hint="default" w:ascii="Times New Roman" w:hAnsi="Times New Roman" w:eastAsia="仿宋_GB2312" w:cs="Times New Roman"/>
          <w:b w:val="0"/>
          <w:bCs w:val="0"/>
          <w:highlight w:val="none"/>
          <w:shd w:val="clear"/>
        </w:rPr>
        <w:t xml:space="preserve">分，得分率为 </w:t>
      </w:r>
      <w:r>
        <w:rPr>
          <w:rFonts w:hint="eastAsia" w:ascii="Times New Roman" w:hAnsi="Times New Roman" w:eastAsia="仿宋_GB2312" w:cs="Times New Roman"/>
          <w:b w:val="0"/>
          <w:bCs w:val="0"/>
          <w:highlight w:val="none"/>
          <w:shd w:val="clear"/>
          <w:lang w:val="en-US" w:eastAsia="zh-CN"/>
        </w:rPr>
        <w:t>100</w:t>
      </w:r>
      <w:r>
        <w:rPr>
          <w:rFonts w:hint="default" w:ascii="Times New Roman" w:hAnsi="Times New Roman" w:eastAsia="仿宋_GB2312" w:cs="Times New Roman"/>
          <w:b w:val="0"/>
          <w:bCs w:val="0"/>
          <w:highlight w:val="none"/>
          <w:shd w:val="clear"/>
        </w:rPr>
        <w:t>%。项目效益类指标权重为20分，得分为</w:t>
      </w:r>
      <w:r>
        <w:rPr>
          <w:rFonts w:hint="eastAsia" w:ascii="Times New Roman" w:hAnsi="Times New Roman" w:eastAsia="仿宋_GB2312" w:cs="Times New Roman"/>
          <w:b w:val="0"/>
          <w:bCs w:val="0"/>
          <w:highlight w:val="none"/>
          <w:shd w:val="clear"/>
          <w:lang w:val="en-US" w:eastAsia="zh-CN"/>
        </w:rPr>
        <w:t>20</w:t>
      </w:r>
      <w:r>
        <w:rPr>
          <w:rFonts w:hint="default" w:ascii="Times New Roman" w:hAnsi="Times New Roman" w:eastAsia="仿宋_GB2312" w:cs="Times New Roman"/>
          <w:b w:val="0"/>
          <w:bCs w:val="0"/>
          <w:highlight w:val="none"/>
          <w:shd w:val="clear"/>
        </w:rPr>
        <w:t>分，得分率为</w:t>
      </w:r>
      <w:r>
        <w:rPr>
          <w:rFonts w:hint="eastAsia" w:ascii="Times New Roman" w:hAnsi="Times New Roman" w:eastAsia="仿宋_GB2312" w:cs="Times New Roman"/>
          <w:b w:val="0"/>
          <w:bCs w:val="0"/>
          <w:highlight w:val="none"/>
          <w:shd w:val="clear"/>
          <w:lang w:val="en-US" w:eastAsia="zh-CN"/>
        </w:rPr>
        <w:t>100</w:t>
      </w:r>
      <w:r>
        <w:rPr>
          <w:rFonts w:hint="default" w:ascii="Times New Roman" w:hAnsi="Times New Roman" w:eastAsia="仿宋_GB2312" w:cs="Times New Roman"/>
          <w:b w:val="0"/>
          <w:bCs w:val="0"/>
          <w:highlight w:val="none"/>
          <w:shd w:val="clear"/>
        </w:rPr>
        <w:t>%。具体打分情况详见：附件1综合评分表</w:t>
      </w:r>
      <w:r>
        <w:rPr>
          <w:rFonts w:hint="default" w:ascii="Times New Roman" w:hAnsi="Times New Roman" w:eastAsia="仿宋_GB2312" w:cs="Times New Roman"/>
          <w:b w:val="0"/>
          <w:bCs w:val="0"/>
          <w:highlight w:val="none"/>
          <w:shd w:val="clear"/>
          <w:lang w:eastAsia="zh-CN"/>
        </w:rPr>
        <w:t>。</w:t>
      </w:r>
    </w:p>
    <w:p w14:paraId="26C2D292">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shd w:val="clear"/>
        </w:rPr>
      </w:pPr>
      <w:r>
        <w:rPr>
          <w:rFonts w:hint="default" w:ascii="Times New Roman" w:hAnsi="Times New Roman" w:eastAsia="仿宋_GB2312" w:cs="Times New Roman"/>
          <w:sz w:val="21"/>
          <w:szCs w:val="21"/>
          <w:highlight w:val="none"/>
          <w:shd w:val="clear"/>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4A17A72C">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2F35CDC">
            <w:pPr>
              <w:jc w:val="center"/>
              <w:rPr>
                <w:rFonts w:hint="default" w:ascii="Times New Roman" w:hAnsi="Times New Roman" w:eastAsia="仿宋_GB2312" w:cs="Times New Roman"/>
                <w:b/>
                <w:bCs/>
                <w:color w:val="000000"/>
                <w:sz w:val="21"/>
                <w:szCs w:val="21"/>
                <w:highlight w:val="none"/>
                <w:shd w:val="clear"/>
              </w:rPr>
            </w:pPr>
            <w:r>
              <w:rPr>
                <w:rFonts w:hint="default" w:ascii="Times New Roman" w:hAnsi="Times New Roman" w:eastAsia="仿宋_GB2312" w:cs="Times New Roman"/>
                <w:b/>
                <w:bCs/>
                <w:color w:val="000000"/>
                <w:sz w:val="21"/>
                <w:szCs w:val="21"/>
                <w:highlight w:val="none"/>
                <w:shd w:val="clear"/>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346F7E1">
            <w:pPr>
              <w:jc w:val="center"/>
              <w:rPr>
                <w:rFonts w:hint="default" w:ascii="Times New Roman" w:hAnsi="Times New Roman" w:eastAsia="仿宋_GB2312" w:cs="Times New Roman"/>
                <w:b/>
                <w:bCs/>
                <w:color w:val="000000"/>
                <w:sz w:val="21"/>
                <w:szCs w:val="21"/>
                <w:highlight w:val="none"/>
                <w:shd w:val="clear"/>
              </w:rPr>
            </w:pPr>
            <w:r>
              <w:rPr>
                <w:rFonts w:hint="default" w:ascii="Times New Roman" w:hAnsi="Times New Roman" w:eastAsia="仿宋_GB2312" w:cs="Times New Roman"/>
                <w:b/>
                <w:bCs/>
                <w:color w:val="000000"/>
                <w:sz w:val="21"/>
                <w:szCs w:val="21"/>
                <w:highlight w:val="none"/>
                <w:shd w:val="clear"/>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89FFA72">
            <w:pPr>
              <w:jc w:val="center"/>
              <w:rPr>
                <w:rFonts w:hint="default" w:ascii="Times New Roman" w:hAnsi="Times New Roman" w:eastAsia="仿宋_GB2312" w:cs="Times New Roman"/>
                <w:b/>
                <w:bCs/>
                <w:color w:val="000000"/>
                <w:sz w:val="21"/>
                <w:szCs w:val="21"/>
                <w:highlight w:val="none"/>
                <w:shd w:val="clear"/>
              </w:rPr>
            </w:pPr>
            <w:r>
              <w:rPr>
                <w:rFonts w:hint="default" w:ascii="Times New Roman" w:hAnsi="Times New Roman" w:eastAsia="仿宋_GB2312" w:cs="Times New Roman"/>
                <w:b/>
                <w:bCs/>
                <w:color w:val="000000"/>
                <w:sz w:val="21"/>
                <w:szCs w:val="21"/>
                <w:highlight w:val="none"/>
                <w:shd w:val="clear"/>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F092E16">
            <w:pPr>
              <w:jc w:val="center"/>
              <w:rPr>
                <w:rFonts w:hint="eastAsia" w:ascii="Times New Roman" w:hAnsi="Times New Roman" w:eastAsia="仿宋_GB2312" w:cs="Times New Roman"/>
                <w:b/>
                <w:bCs/>
                <w:color w:val="000000"/>
                <w:sz w:val="21"/>
                <w:szCs w:val="21"/>
                <w:highlight w:val="none"/>
                <w:shd w:val="clear"/>
                <w:lang w:val="en-US" w:eastAsia="zh-CN"/>
              </w:rPr>
            </w:pPr>
            <w:r>
              <w:rPr>
                <w:rFonts w:hint="eastAsia" w:eastAsia="仿宋_GB2312" w:cs="Times New Roman"/>
                <w:b/>
                <w:bCs/>
                <w:color w:val="000000"/>
                <w:sz w:val="21"/>
                <w:szCs w:val="21"/>
                <w:highlight w:val="none"/>
                <w:shd w:val="clear"/>
                <w:lang w:val="en-US" w:eastAsia="zh-CN"/>
              </w:rPr>
              <w:t>得分率</w:t>
            </w:r>
          </w:p>
        </w:tc>
      </w:tr>
      <w:tr w14:paraId="555333A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671E410">
            <w:pPr>
              <w:jc w:val="center"/>
              <w:rPr>
                <w:rFonts w:hint="default" w:ascii="Times New Roman" w:hAnsi="Times New Roman" w:eastAsia="仿宋_GB2312" w:cs="Times New Roman"/>
                <w:color w:val="000000"/>
                <w:sz w:val="21"/>
                <w:szCs w:val="21"/>
                <w:highlight w:val="none"/>
                <w:shd w:val="clear"/>
              </w:rPr>
            </w:pPr>
            <w:r>
              <w:rPr>
                <w:rFonts w:hint="default" w:ascii="Times New Roman" w:hAnsi="Times New Roman" w:eastAsia="仿宋_GB2312" w:cs="Times New Roman"/>
                <w:color w:val="000000"/>
                <w:sz w:val="21"/>
                <w:szCs w:val="21"/>
                <w:highlight w:val="none"/>
                <w:shd w:val="clear"/>
              </w:rPr>
              <w:t>项目决策</w:t>
            </w:r>
          </w:p>
        </w:tc>
        <w:tc>
          <w:tcPr>
            <w:tcW w:w="1927" w:type="dxa"/>
            <w:tcBorders>
              <w:top w:val="nil"/>
              <w:left w:val="nil"/>
              <w:bottom w:val="single" w:color="auto" w:sz="4" w:space="0"/>
              <w:right w:val="single" w:color="auto" w:sz="4" w:space="0"/>
            </w:tcBorders>
            <w:shd w:val="clear" w:color="auto" w:fill="auto"/>
            <w:vAlign w:val="center"/>
          </w:tcPr>
          <w:p w14:paraId="04291F0B">
            <w:pPr>
              <w:jc w:val="center"/>
              <w:rPr>
                <w:rFonts w:hint="default" w:ascii="Times New Roman" w:hAnsi="Times New Roman" w:eastAsia="仿宋_GB2312" w:cs="Times New Roman"/>
                <w:color w:val="000000"/>
                <w:sz w:val="21"/>
                <w:szCs w:val="21"/>
                <w:highlight w:val="none"/>
                <w:shd w:val="clear"/>
                <w:lang w:val="en-US" w:eastAsia="zh-CN"/>
              </w:rPr>
            </w:pPr>
            <w:r>
              <w:rPr>
                <w:rFonts w:hint="default" w:ascii="Times New Roman" w:hAnsi="Times New Roman" w:eastAsia="仿宋_GB2312" w:cs="Times New Roman"/>
                <w:color w:val="000000"/>
                <w:sz w:val="21"/>
                <w:szCs w:val="21"/>
                <w:highlight w:val="none"/>
                <w:shd w:val="clear"/>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866EE96">
            <w:pPr>
              <w:jc w:val="center"/>
              <w:rPr>
                <w:rFonts w:hint="default" w:ascii="Times New Roman" w:hAnsi="Times New Roman" w:eastAsia="仿宋_GB2312" w:cs="Times New Roman"/>
                <w:color w:val="000000"/>
                <w:sz w:val="21"/>
                <w:szCs w:val="21"/>
                <w:highlight w:val="none"/>
                <w:shd w:val="clear"/>
                <w:lang w:val="en-US" w:eastAsia="zh-CN"/>
              </w:rPr>
            </w:pPr>
            <w:r>
              <w:rPr>
                <w:rFonts w:hint="eastAsia" w:eastAsia="仿宋_GB2312" w:cs="Times New Roman"/>
                <w:color w:val="000000"/>
                <w:sz w:val="21"/>
                <w:szCs w:val="21"/>
                <w:highlight w:val="none"/>
                <w:shd w:val="clear"/>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63E9F72">
            <w:pPr>
              <w:jc w:val="center"/>
              <w:rPr>
                <w:rFonts w:hint="default" w:ascii="Times New Roman" w:hAnsi="Times New Roman" w:eastAsia="仿宋_GB2312" w:cs="Times New Roman"/>
                <w:color w:val="000000"/>
                <w:sz w:val="21"/>
                <w:szCs w:val="21"/>
                <w:highlight w:val="none"/>
                <w:shd w:val="clear"/>
              </w:rPr>
            </w:pPr>
            <w:r>
              <w:rPr>
                <w:rFonts w:hint="eastAsia" w:ascii="Times New Roman" w:hAnsi="Times New Roman" w:eastAsia="仿宋_GB2312" w:cs="Times New Roman"/>
                <w:b w:val="0"/>
                <w:bCs w:val="0"/>
                <w:highlight w:val="none"/>
                <w:shd w:val="clear"/>
                <w:lang w:val="en-US" w:eastAsia="zh-CN"/>
              </w:rPr>
              <w:t>100</w:t>
            </w:r>
            <w:r>
              <w:rPr>
                <w:rFonts w:hint="default" w:ascii="Times New Roman" w:hAnsi="Times New Roman" w:eastAsia="仿宋_GB2312" w:cs="Times New Roman"/>
                <w:b w:val="0"/>
                <w:bCs w:val="0"/>
                <w:highlight w:val="none"/>
                <w:shd w:val="clear"/>
              </w:rPr>
              <w:t>%</w:t>
            </w:r>
          </w:p>
        </w:tc>
      </w:tr>
      <w:tr w14:paraId="4024E25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E9AE8F1">
            <w:pPr>
              <w:jc w:val="center"/>
              <w:rPr>
                <w:rFonts w:hint="default" w:ascii="Times New Roman" w:hAnsi="Times New Roman" w:eastAsia="仿宋_GB2312" w:cs="Times New Roman"/>
                <w:color w:val="000000"/>
                <w:sz w:val="21"/>
                <w:szCs w:val="21"/>
                <w:highlight w:val="none"/>
                <w:shd w:val="clear"/>
              </w:rPr>
            </w:pPr>
            <w:r>
              <w:rPr>
                <w:rFonts w:hint="default" w:ascii="Times New Roman" w:hAnsi="Times New Roman" w:eastAsia="仿宋_GB2312" w:cs="Times New Roman"/>
                <w:color w:val="000000"/>
                <w:sz w:val="21"/>
                <w:szCs w:val="21"/>
                <w:highlight w:val="none"/>
                <w:shd w:val="clear"/>
              </w:rPr>
              <w:t>项目过程</w:t>
            </w:r>
          </w:p>
        </w:tc>
        <w:tc>
          <w:tcPr>
            <w:tcW w:w="1927" w:type="dxa"/>
            <w:tcBorders>
              <w:top w:val="nil"/>
              <w:left w:val="nil"/>
              <w:bottom w:val="single" w:color="auto" w:sz="4" w:space="0"/>
              <w:right w:val="single" w:color="auto" w:sz="4" w:space="0"/>
            </w:tcBorders>
            <w:shd w:val="clear" w:color="auto" w:fill="auto"/>
            <w:vAlign w:val="center"/>
          </w:tcPr>
          <w:p w14:paraId="1BE5A1B4">
            <w:pPr>
              <w:jc w:val="center"/>
              <w:rPr>
                <w:rFonts w:hint="default" w:ascii="Times New Roman" w:hAnsi="Times New Roman" w:eastAsia="仿宋_GB2312" w:cs="Times New Roman"/>
                <w:color w:val="000000"/>
                <w:sz w:val="21"/>
                <w:szCs w:val="21"/>
                <w:highlight w:val="none"/>
                <w:shd w:val="clear"/>
                <w:lang w:val="en-US" w:eastAsia="zh-CN"/>
              </w:rPr>
            </w:pPr>
            <w:r>
              <w:rPr>
                <w:rFonts w:hint="default" w:ascii="Times New Roman" w:hAnsi="Times New Roman" w:eastAsia="仿宋_GB2312" w:cs="Times New Roman"/>
                <w:color w:val="000000"/>
                <w:sz w:val="21"/>
                <w:szCs w:val="21"/>
                <w:highlight w:val="none"/>
                <w:shd w:val="clear"/>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6AE3A2A">
            <w:pPr>
              <w:jc w:val="center"/>
              <w:rPr>
                <w:rFonts w:hint="default" w:ascii="Times New Roman" w:hAnsi="Times New Roman" w:eastAsia="仿宋_GB2312" w:cs="Times New Roman"/>
                <w:color w:val="000000"/>
                <w:sz w:val="21"/>
                <w:szCs w:val="21"/>
                <w:highlight w:val="none"/>
                <w:shd w:val="clear"/>
                <w:lang w:val="en-US" w:eastAsia="zh-CN"/>
              </w:rPr>
            </w:pPr>
            <w:r>
              <w:rPr>
                <w:rFonts w:hint="eastAsia" w:eastAsia="仿宋_GB2312" w:cs="Times New Roman"/>
                <w:color w:val="000000"/>
                <w:sz w:val="21"/>
                <w:szCs w:val="21"/>
                <w:highlight w:val="none"/>
                <w:shd w:val="clear"/>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374FC5A">
            <w:pPr>
              <w:jc w:val="center"/>
              <w:rPr>
                <w:rFonts w:hint="default" w:ascii="Times New Roman" w:hAnsi="Times New Roman" w:eastAsia="仿宋_GB2312" w:cs="Times New Roman"/>
                <w:color w:val="000000"/>
                <w:sz w:val="21"/>
                <w:szCs w:val="21"/>
                <w:highlight w:val="none"/>
                <w:shd w:val="clear"/>
              </w:rPr>
            </w:pPr>
            <w:r>
              <w:rPr>
                <w:rFonts w:hint="eastAsia" w:ascii="Times New Roman" w:hAnsi="Times New Roman" w:eastAsia="仿宋_GB2312" w:cs="Times New Roman"/>
                <w:b w:val="0"/>
                <w:bCs w:val="0"/>
                <w:highlight w:val="none"/>
                <w:shd w:val="clear"/>
                <w:lang w:val="en-US" w:eastAsia="zh-CN"/>
              </w:rPr>
              <w:t>100</w:t>
            </w:r>
            <w:r>
              <w:rPr>
                <w:rFonts w:hint="default" w:ascii="Times New Roman" w:hAnsi="Times New Roman" w:eastAsia="仿宋_GB2312" w:cs="Times New Roman"/>
                <w:b w:val="0"/>
                <w:bCs w:val="0"/>
                <w:highlight w:val="none"/>
                <w:shd w:val="clear"/>
              </w:rPr>
              <w:t>%</w:t>
            </w:r>
          </w:p>
        </w:tc>
      </w:tr>
      <w:tr w14:paraId="10CFF3D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F223458">
            <w:pPr>
              <w:jc w:val="center"/>
              <w:rPr>
                <w:rFonts w:hint="default" w:ascii="Times New Roman" w:hAnsi="Times New Roman" w:eastAsia="仿宋_GB2312" w:cs="Times New Roman"/>
                <w:color w:val="000000"/>
                <w:sz w:val="21"/>
                <w:szCs w:val="21"/>
                <w:highlight w:val="none"/>
                <w:shd w:val="clear"/>
              </w:rPr>
            </w:pPr>
            <w:r>
              <w:rPr>
                <w:rFonts w:hint="default" w:ascii="Times New Roman" w:hAnsi="Times New Roman" w:eastAsia="仿宋_GB2312" w:cs="Times New Roman"/>
                <w:color w:val="000000"/>
                <w:sz w:val="21"/>
                <w:szCs w:val="21"/>
                <w:highlight w:val="none"/>
                <w:shd w:val="clear"/>
              </w:rPr>
              <w:t>项目产出</w:t>
            </w:r>
          </w:p>
        </w:tc>
        <w:tc>
          <w:tcPr>
            <w:tcW w:w="1927" w:type="dxa"/>
            <w:tcBorders>
              <w:top w:val="nil"/>
              <w:left w:val="nil"/>
              <w:bottom w:val="single" w:color="auto" w:sz="4" w:space="0"/>
              <w:right w:val="single" w:color="auto" w:sz="4" w:space="0"/>
            </w:tcBorders>
            <w:shd w:val="clear" w:color="auto" w:fill="auto"/>
            <w:vAlign w:val="center"/>
          </w:tcPr>
          <w:p w14:paraId="226A65A7">
            <w:pPr>
              <w:jc w:val="center"/>
              <w:rPr>
                <w:rFonts w:hint="default" w:ascii="Times New Roman" w:hAnsi="Times New Roman" w:eastAsia="仿宋_GB2312" w:cs="Times New Roman"/>
                <w:color w:val="000000"/>
                <w:sz w:val="21"/>
                <w:szCs w:val="21"/>
                <w:highlight w:val="none"/>
                <w:shd w:val="clear"/>
                <w:lang w:val="en-US" w:eastAsia="zh-CN"/>
              </w:rPr>
            </w:pPr>
            <w:r>
              <w:rPr>
                <w:rFonts w:hint="default" w:ascii="Times New Roman" w:hAnsi="Times New Roman" w:eastAsia="仿宋_GB2312" w:cs="Times New Roman"/>
                <w:color w:val="000000"/>
                <w:sz w:val="21"/>
                <w:szCs w:val="21"/>
                <w:highlight w:val="none"/>
                <w:shd w:val="clear"/>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1D8114FC">
            <w:pPr>
              <w:jc w:val="center"/>
              <w:rPr>
                <w:rFonts w:hint="default" w:ascii="Times New Roman" w:hAnsi="Times New Roman" w:eastAsia="仿宋_GB2312" w:cs="Times New Roman"/>
                <w:color w:val="000000"/>
                <w:sz w:val="21"/>
                <w:szCs w:val="21"/>
                <w:highlight w:val="none"/>
                <w:shd w:val="clear"/>
                <w:lang w:val="en-US" w:eastAsia="zh-CN"/>
              </w:rPr>
            </w:pPr>
            <w:r>
              <w:rPr>
                <w:rFonts w:hint="eastAsia" w:eastAsia="仿宋_GB2312" w:cs="Times New Roman"/>
                <w:color w:val="000000"/>
                <w:sz w:val="21"/>
                <w:szCs w:val="21"/>
                <w:highlight w:val="none"/>
                <w:shd w:val="clear"/>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56B5A8FF">
            <w:pPr>
              <w:jc w:val="center"/>
              <w:rPr>
                <w:rFonts w:hint="default" w:ascii="Times New Roman" w:hAnsi="Times New Roman" w:eastAsia="仿宋_GB2312" w:cs="Times New Roman"/>
                <w:color w:val="000000"/>
                <w:sz w:val="21"/>
                <w:szCs w:val="21"/>
                <w:highlight w:val="none"/>
                <w:shd w:val="clear"/>
              </w:rPr>
            </w:pPr>
            <w:r>
              <w:rPr>
                <w:rFonts w:hint="eastAsia" w:ascii="Times New Roman" w:hAnsi="Times New Roman" w:eastAsia="仿宋_GB2312" w:cs="Times New Roman"/>
                <w:b w:val="0"/>
                <w:bCs w:val="0"/>
                <w:highlight w:val="none"/>
                <w:shd w:val="clear"/>
                <w:lang w:val="en-US" w:eastAsia="zh-CN"/>
              </w:rPr>
              <w:t>100</w:t>
            </w:r>
            <w:r>
              <w:rPr>
                <w:rFonts w:hint="default" w:ascii="Times New Roman" w:hAnsi="Times New Roman" w:eastAsia="仿宋_GB2312" w:cs="Times New Roman"/>
                <w:b w:val="0"/>
                <w:bCs w:val="0"/>
                <w:highlight w:val="none"/>
                <w:shd w:val="clear"/>
              </w:rPr>
              <w:t>%</w:t>
            </w:r>
          </w:p>
        </w:tc>
      </w:tr>
      <w:tr w14:paraId="41FFC84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847C94A">
            <w:pPr>
              <w:jc w:val="center"/>
              <w:rPr>
                <w:rFonts w:hint="default" w:ascii="Times New Roman" w:hAnsi="Times New Roman" w:eastAsia="仿宋_GB2312" w:cs="Times New Roman"/>
                <w:color w:val="000000"/>
                <w:sz w:val="21"/>
                <w:szCs w:val="21"/>
                <w:highlight w:val="none"/>
                <w:shd w:val="clear"/>
              </w:rPr>
            </w:pPr>
            <w:r>
              <w:rPr>
                <w:rFonts w:hint="default" w:ascii="Times New Roman" w:hAnsi="Times New Roman" w:eastAsia="仿宋_GB2312" w:cs="Times New Roman"/>
                <w:color w:val="000000"/>
                <w:sz w:val="21"/>
                <w:szCs w:val="21"/>
                <w:highlight w:val="none"/>
                <w:shd w:val="clear"/>
              </w:rPr>
              <w:t>项目效益</w:t>
            </w:r>
          </w:p>
        </w:tc>
        <w:tc>
          <w:tcPr>
            <w:tcW w:w="1927" w:type="dxa"/>
            <w:tcBorders>
              <w:top w:val="nil"/>
              <w:left w:val="nil"/>
              <w:bottom w:val="single" w:color="auto" w:sz="4" w:space="0"/>
              <w:right w:val="single" w:color="auto" w:sz="4" w:space="0"/>
            </w:tcBorders>
            <w:shd w:val="clear" w:color="auto" w:fill="auto"/>
            <w:vAlign w:val="center"/>
          </w:tcPr>
          <w:p w14:paraId="1EC4519A">
            <w:pPr>
              <w:jc w:val="center"/>
              <w:rPr>
                <w:rFonts w:hint="default" w:ascii="Times New Roman" w:hAnsi="Times New Roman" w:eastAsia="仿宋_GB2312" w:cs="Times New Roman"/>
                <w:color w:val="000000"/>
                <w:sz w:val="21"/>
                <w:szCs w:val="21"/>
                <w:highlight w:val="none"/>
                <w:shd w:val="clear"/>
                <w:lang w:val="en-US" w:eastAsia="zh-CN"/>
              </w:rPr>
            </w:pPr>
            <w:r>
              <w:rPr>
                <w:rFonts w:hint="default" w:ascii="Times New Roman" w:hAnsi="Times New Roman" w:eastAsia="仿宋_GB2312" w:cs="Times New Roman"/>
                <w:color w:val="000000"/>
                <w:sz w:val="21"/>
                <w:szCs w:val="21"/>
                <w:highlight w:val="none"/>
                <w:shd w:val="clear"/>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3C98B21">
            <w:pPr>
              <w:jc w:val="center"/>
              <w:rPr>
                <w:rFonts w:hint="default" w:ascii="Times New Roman" w:hAnsi="Times New Roman" w:eastAsia="仿宋_GB2312" w:cs="Times New Roman"/>
                <w:color w:val="000000"/>
                <w:sz w:val="21"/>
                <w:szCs w:val="21"/>
                <w:highlight w:val="none"/>
                <w:shd w:val="clear"/>
                <w:lang w:val="en-US" w:eastAsia="zh-CN"/>
              </w:rPr>
            </w:pPr>
            <w:r>
              <w:rPr>
                <w:rFonts w:hint="eastAsia" w:eastAsia="仿宋_GB2312" w:cs="Times New Roman"/>
                <w:color w:val="000000"/>
                <w:sz w:val="21"/>
                <w:szCs w:val="21"/>
                <w:highlight w:val="none"/>
                <w:shd w:val="clear"/>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2B36BB3">
            <w:pPr>
              <w:jc w:val="center"/>
              <w:rPr>
                <w:rFonts w:hint="default" w:ascii="Times New Roman" w:hAnsi="Times New Roman" w:eastAsia="仿宋_GB2312" w:cs="Times New Roman"/>
                <w:color w:val="000000"/>
                <w:sz w:val="21"/>
                <w:szCs w:val="21"/>
                <w:highlight w:val="none"/>
                <w:shd w:val="clear"/>
              </w:rPr>
            </w:pPr>
            <w:r>
              <w:rPr>
                <w:rFonts w:hint="eastAsia" w:ascii="Times New Roman" w:hAnsi="Times New Roman" w:eastAsia="仿宋_GB2312" w:cs="Times New Roman"/>
                <w:b w:val="0"/>
                <w:bCs w:val="0"/>
                <w:highlight w:val="none"/>
                <w:shd w:val="clear"/>
                <w:lang w:val="en-US" w:eastAsia="zh-CN"/>
              </w:rPr>
              <w:t>100</w:t>
            </w:r>
            <w:r>
              <w:rPr>
                <w:rFonts w:hint="default" w:ascii="Times New Roman" w:hAnsi="Times New Roman" w:eastAsia="仿宋_GB2312" w:cs="Times New Roman"/>
                <w:b w:val="0"/>
                <w:bCs w:val="0"/>
                <w:highlight w:val="none"/>
                <w:shd w:val="clear"/>
              </w:rPr>
              <w:t>%</w:t>
            </w:r>
          </w:p>
        </w:tc>
      </w:tr>
      <w:tr w14:paraId="52E403C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E8A0E0B">
            <w:pPr>
              <w:jc w:val="center"/>
              <w:rPr>
                <w:rFonts w:hint="default" w:ascii="Times New Roman" w:hAnsi="Times New Roman" w:eastAsia="仿宋_GB2312" w:cs="Times New Roman"/>
                <w:b/>
                <w:bCs/>
                <w:color w:val="000000"/>
                <w:sz w:val="21"/>
                <w:szCs w:val="21"/>
                <w:highlight w:val="none"/>
                <w:shd w:val="clear"/>
              </w:rPr>
            </w:pPr>
            <w:r>
              <w:rPr>
                <w:rFonts w:hint="default" w:ascii="Times New Roman" w:hAnsi="Times New Roman" w:eastAsia="仿宋_GB2312" w:cs="Times New Roman"/>
                <w:b/>
                <w:bCs/>
                <w:color w:val="000000"/>
                <w:sz w:val="21"/>
                <w:szCs w:val="21"/>
                <w:highlight w:val="none"/>
                <w:shd w:val="clear"/>
              </w:rPr>
              <w:t>合计</w:t>
            </w:r>
          </w:p>
        </w:tc>
        <w:tc>
          <w:tcPr>
            <w:tcW w:w="1927" w:type="dxa"/>
            <w:tcBorders>
              <w:top w:val="nil"/>
              <w:left w:val="nil"/>
              <w:bottom w:val="single" w:color="auto" w:sz="4" w:space="0"/>
              <w:right w:val="single" w:color="auto" w:sz="4" w:space="0"/>
            </w:tcBorders>
            <w:shd w:val="clear" w:color="auto" w:fill="auto"/>
            <w:vAlign w:val="center"/>
          </w:tcPr>
          <w:p w14:paraId="01453FA7">
            <w:pPr>
              <w:jc w:val="center"/>
              <w:rPr>
                <w:rFonts w:hint="default" w:ascii="Times New Roman" w:hAnsi="Times New Roman" w:eastAsia="仿宋_GB2312" w:cs="Times New Roman"/>
                <w:b/>
                <w:bCs/>
                <w:color w:val="000000"/>
                <w:sz w:val="21"/>
                <w:szCs w:val="21"/>
                <w:highlight w:val="none"/>
                <w:shd w:val="clear"/>
                <w:lang w:val="en-US" w:eastAsia="zh-CN"/>
              </w:rPr>
            </w:pPr>
            <w:r>
              <w:rPr>
                <w:rFonts w:hint="default" w:ascii="Times New Roman" w:hAnsi="Times New Roman" w:eastAsia="仿宋_GB2312" w:cs="Times New Roman"/>
                <w:b/>
                <w:bCs/>
                <w:color w:val="000000"/>
                <w:sz w:val="21"/>
                <w:szCs w:val="21"/>
                <w:highlight w:val="none"/>
                <w:shd w:val="clear"/>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470E56BD">
            <w:pPr>
              <w:jc w:val="center"/>
              <w:rPr>
                <w:rFonts w:hint="default" w:ascii="Times New Roman" w:hAnsi="Times New Roman" w:eastAsia="仿宋_GB2312" w:cs="Times New Roman"/>
                <w:b/>
                <w:bCs/>
                <w:color w:val="000000"/>
                <w:sz w:val="21"/>
                <w:szCs w:val="21"/>
                <w:highlight w:val="none"/>
                <w:shd w:val="clear"/>
                <w:lang w:val="en-US" w:eastAsia="zh-CN"/>
              </w:rPr>
            </w:pPr>
            <w:r>
              <w:rPr>
                <w:rFonts w:hint="eastAsia" w:eastAsia="仿宋_GB2312" w:cs="Times New Roman"/>
                <w:b/>
                <w:bCs/>
                <w:color w:val="000000"/>
                <w:sz w:val="21"/>
                <w:szCs w:val="21"/>
                <w:highlight w:val="none"/>
                <w:shd w:val="clear"/>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2475A3D4">
            <w:pPr>
              <w:jc w:val="center"/>
              <w:rPr>
                <w:rFonts w:hint="default" w:ascii="Times New Roman" w:hAnsi="Times New Roman" w:eastAsia="仿宋_GB2312" w:cs="Times New Roman"/>
                <w:b/>
                <w:bCs/>
                <w:color w:val="000000"/>
                <w:sz w:val="21"/>
                <w:szCs w:val="21"/>
                <w:highlight w:val="none"/>
                <w:shd w:val="clear"/>
              </w:rPr>
            </w:pPr>
            <w:r>
              <w:rPr>
                <w:rFonts w:hint="eastAsia" w:ascii="Times New Roman" w:hAnsi="Times New Roman" w:eastAsia="仿宋_GB2312" w:cs="Times New Roman"/>
                <w:b w:val="0"/>
                <w:bCs w:val="0"/>
                <w:highlight w:val="none"/>
                <w:shd w:val="clear"/>
                <w:lang w:val="en-US" w:eastAsia="zh-CN"/>
              </w:rPr>
              <w:t>100</w:t>
            </w:r>
            <w:r>
              <w:rPr>
                <w:rFonts w:hint="default" w:ascii="Times New Roman" w:hAnsi="Times New Roman" w:eastAsia="仿宋_GB2312" w:cs="Times New Roman"/>
                <w:b w:val="0"/>
                <w:bCs w:val="0"/>
                <w:highlight w:val="none"/>
                <w:shd w:val="clear"/>
              </w:rPr>
              <w:t>%</w:t>
            </w:r>
          </w:p>
        </w:tc>
      </w:tr>
    </w:tbl>
    <w:p w14:paraId="2B0E7C65">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770B5CEB">
      <w:pPr>
        <w:pStyle w:val="2"/>
        <w:spacing w:before="0" w:after="0" w:line="560" w:lineRule="exact"/>
        <w:ind w:firstLine="643" w:firstLineChars="200"/>
        <w:jc w:val="both"/>
        <w:rPr>
          <w:rFonts w:hint="default" w:ascii="Times New Roman" w:hAnsi="Times New Roman" w:eastAsia="楷体_GB2312" w:cs="Times New Roman"/>
          <w:highlight w:val="none"/>
          <w:shd w:val="clear"/>
        </w:rPr>
      </w:pPr>
      <w:r>
        <w:rPr>
          <w:rFonts w:hint="default" w:ascii="Times New Roman" w:hAnsi="Times New Roman" w:eastAsia="楷体_GB2312" w:cs="Times New Roman"/>
          <w:highlight w:val="none"/>
          <w:shd w:val="clear"/>
        </w:rPr>
        <w:t>（一）项目决策情况</w:t>
      </w:r>
    </w:p>
    <w:p w14:paraId="0B0143F8">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lang w:val="en-US" w:eastAsia="zh-CN"/>
        </w:rPr>
      </w:pPr>
      <w:r>
        <w:rPr>
          <w:rFonts w:hint="default" w:ascii="Times New Roman" w:hAnsi="Times New Roman" w:eastAsia="仿宋_GB2312" w:cs="Times New Roman"/>
          <w:sz w:val="32"/>
          <w:szCs w:val="32"/>
          <w:highlight w:val="none"/>
          <w:shd w:val="clear"/>
          <w:lang w:val="en-US" w:eastAsia="zh-CN"/>
        </w:rPr>
        <w:t>项目决策类指标包括项目立项、绩效目标和资金投入三方面的内容，由</w:t>
      </w:r>
      <w:r>
        <w:rPr>
          <w:rFonts w:hint="eastAsia" w:eastAsia="仿宋_GB2312" w:cs="Times New Roman"/>
          <w:sz w:val="32"/>
          <w:szCs w:val="32"/>
          <w:highlight w:val="none"/>
          <w:shd w:val="clear"/>
          <w:lang w:val="en-US" w:eastAsia="zh-CN"/>
        </w:rPr>
        <w:t>6</w:t>
      </w:r>
      <w:r>
        <w:rPr>
          <w:rFonts w:hint="default" w:ascii="Times New Roman" w:hAnsi="Times New Roman" w:eastAsia="仿宋_GB2312" w:cs="Times New Roman"/>
          <w:sz w:val="32"/>
          <w:szCs w:val="32"/>
          <w:highlight w:val="none"/>
          <w:shd w:val="clear"/>
          <w:lang w:val="en-US" w:eastAsia="zh-CN"/>
        </w:rPr>
        <w:t>个三级指标构成，权重分值为20分，实际得分</w:t>
      </w:r>
      <w:r>
        <w:rPr>
          <w:rFonts w:hint="eastAsia" w:eastAsia="仿宋_GB2312" w:cs="Times New Roman"/>
          <w:sz w:val="32"/>
          <w:szCs w:val="32"/>
          <w:highlight w:val="none"/>
          <w:shd w:val="clear"/>
          <w:lang w:val="en-US" w:eastAsia="zh-CN"/>
        </w:rPr>
        <w:t>20</w:t>
      </w:r>
      <w:r>
        <w:rPr>
          <w:rFonts w:hint="default" w:ascii="Times New Roman" w:hAnsi="Times New Roman" w:eastAsia="仿宋_GB2312" w:cs="Times New Roman"/>
          <w:sz w:val="32"/>
          <w:szCs w:val="32"/>
          <w:highlight w:val="none"/>
          <w:shd w:val="clear"/>
          <w:lang w:val="en-US" w:eastAsia="zh-CN"/>
        </w:rPr>
        <w:t>分，得分率为</w:t>
      </w:r>
      <w:r>
        <w:rPr>
          <w:rFonts w:hint="eastAsia" w:eastAsia="仿宋_GB2312" w:cs="Times New Roman"/>
          <w:sz w:val="32"/>
          <w:szCs w:val="32"/>
          <w:highlight w:val="none"/>
          <w:shd w:val="clear"/>
          <w:lang w:val="en-US" w:eastAsia="zh-CN"/>
        </w:rPr>
        <w:t>100</w:t>
      </w:r>
      <w:r>
        <w:rPr>
          <w:rFonts w:hint="default" w:ascii="Times New Roman" w:hAnsi="Times New Roman" w:eastAsia="仿宋_GB2312" w:cs="Times New Roman"/>
          <w:sz w:val="32"/>
          <w:szCs w:val="32"/>
          <w:highlight w:val="none"/>
          <w:shd w:val="clear"/>
          <w:lang w:val="en-US" w:eastAsia="zh-CN"/>
        </w:rPr>
        <w:t>%。</w:t>
      </w:r>
    </w:p>
    <w:p w14:paraId="1D461FE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shd w:val="clear"/>
          <w:lang w:val="en-US" w:eastAsia="zh-CN"/>
        </w:rPr>
      </w:pPr>
      <w:r>
        <w:rPr>
          <w:rFonts w:hint="default" w:ascii="Times New Roman" w:hAnsi="Times New Roman" w:eastAsia="仿宋_GB2312" w:cs="Times New Roman"/>
          <w:b/>
          <w:bCs/>
          <w:sz w:val="32"/>
          <w:szCs w:val="32"/>
          <w:highlight w:val="none"/>
          <w:shd w:val="clear"/>
          <w:lang w:val="en-US" w:eastAsia="zh-CN"/>
        </w:rPr>
        <w:t>1.项目立项</w:t>
      </w:r>
    </w:p>
    <w:p w14:paraId="3B4BCAAB">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lang w:val="en-US" w:eastAsia="zh-CN"/>
        </w:rPr>
      </w:pPr>
      <w:r>
        <w:rPr>
          <w:rFonts w:hint="default" w:ascii="Times New Roman" w:hAnsi="Times New Roman" w:eastAsia="仿宋_GB2312" w:cs="Times New Roman"/>
          <w:sz w:val="32"/>
          <w:szCs w:val="32"/>
          <w:highlight w:val="none"/>
          <w:shd w:val="clear"/>
          <w:lang w:val="en-US" w:eastAsia="zh-CN"/>
        </w:rPr>
        <w:t>（1）立项依据充分性</w:t>
      </w:r>
    </w:p>
    <w:p w14:paraId="5E1297E5">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lang w:val="en-US" w:eastAsia="zh-CN"/>
        </w:rPr>
      </w:pPr>
      <w:r>
        <w:rPr>
          <w:rFonts w:hint="default" w:ascii="Times New Roman" w:hAnsi="Times New Roman" w:eastAsia="仿宋_GB2312" w:cs="Times New Roman"/>
          <w:sz w:val="32"/>
          <w:szCs w:val="32"/>
          <w:highlight w:val="none"/>
          <w:shd w:val="clear"/>
          <w:lang w:val="en-US" w:eastAsia="zh-CN"/>
        </w:rPr>
        <w:t>该项目立项符合国家相关法律法规，围绕本年度工作重点和工作计划制定经费预算，属于公共财政支持范围。本项目与部门内部其他相关项目不重复。部门发展规划及职能文件等归档完整。</w:t>
      </w:r>
    </w:p>
    <w:p w14:paraId="0603BC7D">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lang w:val="en-US" w:eastAsia="zh-CN"/>
        </w:rPr>
      </w:pPr>
      <w:r>
        <w:rPr>
          <w:rFonts w:hint="default" w:ascii="Times New Roman" w:hAnsi="Times New Roman" w:eastAsia="仿宋_GB2312" w:cs="Times New Roman"/>
          <w:sz w:val="32"/>
          <w:szCs w:val="32"/>
          <w:highlight w:val="none"/>
          <w:shd w:val="clear"/>
          <w:lang w:val="en-US" w:eastAsia="zh-CN"/>
        </w:rPr>
        <w:t>（2）立项程序规范性</w:t>
      </w:r>
    </w:p>
    <w:p w14:paraId="687C62DB">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lang w:val="en-US" w:eastAsia="zh-CN"/>
        </w:rPr>
      </w:pPr>
      <w:r>
        <w:rPr>
          <w:rFonts w:hint="default" w:ascii="Times New Roman" w:hAnsi="Times New Roman" w:eastAsia="仿宋_GB2312" w:cs="Times New Roman"/>
          <w:sz w:val="32"/>
          <w:szCs w:val="32"/>
          <w:highlight w:val="none"/>
          <w:shd w:val="clear"/>
        </w:rPr>
        <w:t>项目申请、设立过程符合相关要求，</w:t>
      </w:r>
      <w:r>
        <w:rPr>
          <w:rFonts w:hint="default" w:ascii="Times New Roman" w:hAnsi="Times New Roman" w:eastAsia="仿宋_GB2312" w:cs="Times New Roman"/>
          <w:sz w:val="32"/>
          <w:szCs w:val="32"/>
          <w:highlight w:val="none"/>
          <w:shd w:val="clear"/>
          <w:lang w:eastAsia="zh-Hans"/>
        </w:rPr>
        <w:t>严格按照审批流程准备符合要求的文件、材料；</w:t>
      </w:r>
      <w:r>
        <w:rPr>
          <w:rFonts w:hint="default" w:ascii="Times New Roman" w:hAnsi="Times New Roman" w:eastAsia="仿宋_GB2312" w:cs="Times New Roman"/>
          <w:sz w:val="32"/>
          <w:szCs w:val="32"/>
          <w:highlight w:val="none"/>
          <w:shd w:val="clear"/>
          <w:lang w:val="en-US" w:eastAsia="zh-CN"/>
        </w:rPr>
        <w:t>根据</w:t>
      </w:r>
      <w:r>
        <w:rPr>
          <w:rFonts w:hint="eastAsia" w:eastAsia="仿宋_GB2312" w:cs="Times New Roman"/>
          <w:sz w:val="32"/>
          <w:szCs w:val="32"/>
          <w:highlight w:val="none"/>
          <w:shd w:val="clear"/>
          <w:lang w:val="en-US" w:eastAsia="zh-CN"/>
        </w:rPr>
        <w:t>幼儿园实际情况制定</w:t>
      </w:r>
      <w:r>
        <w:rPr>
          <w:rFonts w:hint="default" w:ascii="Times New Roman" w:hAnsi="Times New Roman" w:eastAsia="仿宋_GB2312" w:cs="Times New Roman"/>
          <w:sz w:val="32"/>
          <w:szCs w:val="32"/>
          <w:highlight w:val="none"/>
          <w:shd w:val="clear"/>
          <w:lang w:val="en-US" w:eastAsia="zh-CN"/>
        </w:rPr>
        <w:t>工作计划和经费预算，经过与部门项目分管领导沟通、筛选确定经费预算计划，确定最终预算方案。项目的审批文件、材料符合相关要求，项目事前经过必要的集体决策，保障了程序的规范性。</w:t>
      </w:r>
    </w:p>
    <w:p w14:paraId="755B5AF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shd w:val="clear"/>
          <w:lang w:val="en-US" w:eastAsia="zh-CN"/>
        </w:rPr>
      </w:pPr>
      <w:r>
        <w:rPr>
          <w:rFonts w:hint="default" w:ascii="Times New Roman" w:hAnsi="Times New Roman" w:eastAsia="仿宋_GB2312" w:cs="Times New Roman"/>
          <w:b/>
          <w:bCs/>
          <w:sz w:val="32"/>
          <w:szCs w:val="32"/>
          <w:highlight w:val="none"/>
          <w:shd w:val="clear"/>
          <w:lang w:val="en-US" w:eastAsia="zh-CN"/>
        </w:rPr>
        <w:t>2.绩效目标</w:t>
      </w:r>
    </w:p>
    <w:p w14:paraId="43D51E9D">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lang w:val="en-US" w:eastAsia="zh-CN"/>
        </w:rPr>
      </w:pPr>
      <w:r>
        <w:rPr>
          <w:rFonts w:hint="default" w:ascii="Times New Roman" w:hAnsi="Times New Roman" w:eastAsia="仿宋_GB2312" w:cs="Times New Roman"/>
          <w:sz w:val="32"/>
          <w:szCs w:val="32"/>
          <w:highlight w:val="none"/>
          <w:shd w:val="clear"/>
          <w:lang w:val="en-US" w:eastAsia="zh-CN"/>
        </w:rPr>
        <w:t>（1）绩效目标合理性</w:t>
      </w:r>
    </w:p>
    <w:p w14:paraId="1F1E5300">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lang w:val="en-US" w:eastAsia="zh-CN"/>
        </w:rPr>
      </w:pPr>
      <w:r>
        <w:rPr>
          <w:rFonts w:hint="default" w:ascii="Times New Roman" w:hAnsi="Times New Roman" w:eastAsia="仿宋_GB2312" w:cs="Times New Roman"/>
          <w:sz w:val="32"/>
          <w:szCs w:val="32"/>
          <w:highlight w:val="none"/>
          <w:shd w:val="clear"/>
          <w:lang w:val="en-US" w:eastAsia="zh-Hans"/>
        </w:rPr>
        <w:t>年初结合实际工作内容</w:t>
      </w:r>
      <w:r>
        <w:rPr>
          <w:rFonts w:hint="default" w:ascii="Times New Roman" w:hAnsi="Times New Roman" w:eastAsia="仿宋_GB2312" w:cs="Times New Roman"/>
          <w:sz w:val="32"/>
          <w:szCs w:val="32"/>
          <w:highlight w:val="none"/>
          <w:shd w:val="clear"/>
          <w:lang w:val="en-US" w:eastAsia="zh-CN"/>
        </w:rPr>
        <w:t>设定绩效目标</w:t>
      </w:r>
      <w:r>
        <w:rPr>
          <w:rFonts w:hint="default" w:ascii="Times New Roman" w:hAnsi="Times New Roman" w:eastAsia="仿宋_GB2312" w:cs="Times New Roman"/>
          <w:sz w:val="32"/>
          <w:szCs w:val="32"/>
          <w:highlight w:val="none"/>
          <w:shd w:val="clear"/>
          <w:lang w:val="en-US" w:eastAsia="zh-Hans"/>
        </w:rPr>
        <w:t>，绩效目标</w:t>
      </w:r>
      <w:r>
        <w:rPr>
          <w:rFonts w:hint="default" w:ascii="Times New Roman" w:hAnsi="Times New Roman" w:eastAsia="仿宋_GB2312" w:cs="Times New Roman"/>
          <w:sz w:val="32"/>
          <w:szCs w:val="32"/>
          <w:highlight w:val="none"/>
          <w:shd w:val="clear"/>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89F7A57">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lang w:val="en-US" w:eastAsia="zh-CN"/>
        </w:rPr>
      </w:pPr>
      <w:r>
        <w:rPr>
          <w:rFonts w:hint="default" w:ascii="Times New Roman" w:hAnsi="Times New Roman" w:eastAsia="仿宋_GB2312" w:cs="Times New Roman"/>
          <w:sz w:val="32"/>
          <w:szCs w:val="32"/>
          <w:highlight w:val="none"/>
          <w:shd w:val="clear"/>
          <w:lang w:val="en-US" w:eastAsia="zh-CN"/>
        </w:rPr>
        <w:t>（2）绩效指标明确性</w:t>
      </w:r>
    </w:p>
    <w:p w14:paraId="29433C3C">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lang w:val="en-US" w:eastAsia="zh-CN"/>
        </w:rPr>
      </w:pPr>
      <w:r>
        <w:rPr>
          <w:rFonts w:hint="default" w:ascii="Times New Roman" w:hAnsi="Times New Roman" w:eastAsia="仿宋_GB2312" w:cs="Times New Roman"/>
          <w:sz w:val="32"/>
          <w:szCs w:val="32"/>
          <w:highlight w:val="none"/>
          <w:shd w:val="clear"/>
          <w:lang w:val="en-US" w:eastAsia="zh-CN"/>
        </w:rPr>
        <w:t>项目设置了明确的预期产出效益和效果，将绩效目标细化分解为具体的绩效指标，绩效目标与项目目标任务数相对应，绩效目标设定的绩效指标清晰、细化、可衡量。</w:t>
      </w:r>
    </w:p>
    <w:p w14:paraId="2ACE821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shd w:val="clear"/>
          <w:lang w:val="en-US" w:eastAsia="zh-CN"/>
        </w:rPr>
      </w:pPr>
      <w:r>
        <w:rPr>
          <w:rFonts w:hint="default" w:ascii="Times New Roman" w:hAnsi="Times New Roman" w:eastAsia="仿宋_GB2312" w:cs="Times New Roman"/>
          <w:b/>
          <w:bCs/>
          <w:sz w:val="32"/>
          <w:szCs w:val="32"/>
          <w:highlight w:val="none"/>
          <w:shd w:val="clear"/>
          <w:lang w:val="en-US" w:eastAsia="zh-CN"/>
        </w:rPr>
        <w:t>3.资金投入</w:t>
      </w:r>
    </w:p>
    <w:p w14:paraId="7582E0C3">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lang w:val="en-US" w:eastAsia="zh-CN"/>
        </w:rPr>
      </w:pPr>
      <w:r>
        <w:rPr>
          <w:rFonts w:hint="default" w:ascii="Times New Roman" w:hAnsi="Times New Roman" w:eastAsia="仿宋_GB2312" w:cs="Times New Roman"/>
          <w:sz w:val="32"/>
          <w:szCs w:val="32"/>
          <w:highlight w:val="none"/>
          <w:shd w:val="clear"/>
          <w:lang w:val="en-US" w:eastAsia="zh-CN"/>
        </w:rPr>
        <w:t>（1）预算编制科学性</w:t>
      </w:r>
    </w:p>
    <w:p w14:paraId="5D2D67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0288880B">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在预算编制过程中，</w:t>
      </w:r>
      <w:r>
        <w:rPr>
          <w:rFonts w:hint="default" w:ascii="Times New Roman" w:hAnsi="Times New Roman" w:eastAsia="仿宋_GB2312" w:cs="Times New Roman"/>
          <w:sz w:val="32"/>
          <w:szCs w:val="32"/>
          <w:highlight w:val="none"/>
          <w:shd w:val="clear"/>
          <w:lang w:val="en-US" w:eastAsia="zh-CN"/>
        </w:rPr>
        <w:t>还</w:t>
      </w:r>
      <w:r>
        <w:rPr>
          <w:rFonts w:hint="default" w:ascii="Times New Roman" w:hAnsi="Times New Roman" w:eastAsia="仿宋_GB2312" w:cs="Times New Roman"/>
          <w:sz w:val="32"/>
          <w:szCs w:val="32"/>
          <w:highlight w:val="none"/>
          <w:shd w:val="clear"/>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AC2E991">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lang w:val="en-US" w:eastAsia="zh-CN"/>
        </w:rPr>
      </w:pPr>
      <w:r>
        <w:rPr>
          <w:rFonts w:hint="default" w:ascii="Times New Roman" w:hAnsi="Times New Roman" w:eastAsia="仿宋_GB2312" w:cs="Times New Roman"/>
          <w:sz w:val="32"/>
          <w:szCs w:val="32"/>
          <w:highlight w:val="none"/>
          <w:shd w:val="clear"/>
          <w:lang w:val="en-US" w:eastAsia="zh-CN"/>
        </w:rPr>
        <w:t>（2）资金分配合理性</w:t>
      </w:r>
    </w:p>
    <w:p w14:paraId="57E1FB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F939E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A28F8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lang w:eastAsia="zh-CN"/>
        </w:rPr>
      </w:pPr>
      <w:r>
        <w:rPr>
          <w:rFonts w:hint="default" w:ascii="Times New Roman" w:hAnsi="Times New Roman" w:eastAsia="仿宋_GB2312" w:cs="Times New Roman"/>
          <w:sz w:val="32"/>
          <w:szCs w:val="32"/>
          <w:highlight w:val="none"/>
          <w:shd w:val="clear"/>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6A94000">
      <w:pPr>
        <w:pStyle w:val="2"/>
        <w:numPr>
          <w:ilvl w:val="0"/>
          <w:numId w:val="0"/>
        </w:numPr>
        <w:spacing w:before="0" w:after="0" w:line="560" w:lineRule="exact"/>
        <w:ind w:firstLine="321" w:firstLineChars="100"/>
        <w:jc w:val="both"/>
        <w:rPr>
          <w:rFonts w:hint="default" w:ascii="Times New Roman" w:hAnsi="Times New Roman" w:eastAsia="楷体" w:cs="Times New Roman"/>
          <w:highlight w:val="none"/>
        </w:rPr>
      </w:pPr>
      <w:r>
        <w:rPr>
          <w:rFonts w:hint="eastAsia" w:ascii="Times New Roman" w:hAnsi="Times New Roman" w:eastAsia="楷体" w:cs="Times New Roman"/>
          <w:highlight w:val="none"/>
          <w:lang w:eastAsia="zh-CN"/>
        </w:rPr>
        <w:t>（</w:t>
      </w:r>
      <w:r>
        <w:rPr>
          <w:rFonts w:hint="eastAsia" w:ascii="Times New Roman" w:hAnsi="Times New Roman" w:eastAsia="楷体" w:cs="Times New Roman"/>
          <w:highlight w:val="none"/>
          <w:lang w:val="en-US" w:eastAsia="zh-CN"/>
        </w:rPr>
        <w:t>二</w:t>
      </w:r>
      <w:r>
        <w:rPr>
          <w:rFonts w:hint="eastAsia" w:ascii="Times New Roman" w:hAnsi="Times New Roman" w:eastAsia="楷体" w:cs="Times New Roman"/>
          <w:highlight w:val="none"/>
          <w:lang w:eastAsia="zh-CN"/>
        </w:rPr>
        <w:t>）</w:t>
      </w:r>
      <w:r>
        <w:rPr>
          <w:rFonts w:hint="default" w:ascii="Times New Roman" w:hAnsi="Times New Roman" w:eastAsia="楷体" w:cs="Times New Roman"/>
          <w:highlight w:val="none"/>
        </w:rPr>
        <w:t>项目过程情况</w:t>
      </w:r>
    </w:p>
    <w:p w14:paraId="2057201E">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lang w:val="en-US" w:eastAsia="zh-CN"/>
        </w:rPr>
      </w:pPr>
      <w:r>
        <w:rPr>
          <w:rFonts w:hint="default" w:ascii="Times New Roman" w:hAnsi="Times New Roman" w:eastAsia="仿宋_GB2312" w:cs="Times New Roman"/>
          <w:sz w:val="32"/>
          <w:szCs w:val="32"/>
          <w:highlight w:val="none"/>
          <w:shd w:val="clear"/>
          <w:lang w:val="en-US" w:eastAsia="zh-CN"/>
        </w:rPr>
        <w:t>项目决策类指标包括项目立项、绩效目标和资金投入三方面的内容，由</w:t>
      </w:r>
      <w:r>
        <w:rPr>
          <w:rFonts w:hint="eastAsia" w:eastAsia="仿宋_GB2312" w:cs="Times New Roman"/>
          <w:sz w:val="32"/>
          <w:szCs w:val="32"/>
          <w:highlight w:val="none"/>
          <w:shd w:val="clear"/>
          <w:lang w:val="en-US" w:eastAsia="zh-CN"/>
        </w:rPr>
        <w:t>5</w:t>
      </w:r>
      <w:r>
        <w:rPr>
          <w:rFonts w:hint="default" w:ascii="Times New Roman" w:hAnsi="Times New Roman" w:eastAsia="仿宋_GB2312" w:cs="Times New Roman"/>
          <w:sz w:val="32"/>
          <w:szCs w:val="32"/>
          <w:highlight w:val="none"/>
          <w:shd w:val="clear"/>
          <w:lang w:val="en-US" w:eastAsia="zh-CN"/>
        </w:rPr>
        <w:t>个三级指标构成，权重分值为20分，实际得分</w:t>
      </w:r>
      <w:r>
        <w:rPr>
          <w:rFonts w:hint="eastAsia" w:eastAsia="仿宋_GB2312" w:cs="Times New Roman"/>
          <w:sz w:val="32"/>
          <w:szCs w:val="32"/>
          <w:highlight w:val="none"/>
          <w:shd w:val="clear"/>
          <w:lang w:val="en-US" w:eastAsia="zh-CN"/>
        </w:rPr>
        <w:t>20</w:t>
      </w:r>
      <w:r>
        <w:rPr>
          <w:rFonts w:hint="default" w:ascii="Times New Roman" w:hAnsi="Times New Roman" w:eastAsia="仿宋_GB2312" w:cs="Times New Roman"/>
          <w:sz w:val="32"/>
          <w:szCs w:val="32"/>
          <w:highlight w:val="none"/>
          <w:shd w:val="clear"/>
          <w:lang w:val="en-US" w:eastAsia="zh-CN"/>
        </w:rPr>
        <w:t>分，得分率为</w:t>
      </w:r>
      <w:r>
        <w:rPr>
          <w:rFonts w:hint="eastAsia" w:eastAsia="仿宋_GB2312" w:cs="Times New Roman"/>
          <w:sz w:val="32"/>
          <w:szCs w:val="32"/>
          <w:highlight w:val="none"/>
          <w:shd w:val="clear"/>
          <w:lang w:val="en-US" w:eastAsia="zh-CN"/>
        </w:rPr>
        <w:t>100</w:t>
      </w:r>
      <w:r>
        <w:rPr>
          <w:rFonts w:hint="default" w:ascii="Times New Roman" w:hAnsi="Times New Roman" w:eastAsia="仿宋_GB2312" w:cs="Times New Roman"/>
          <w:sz w:val="32"/>
          <w:szCs w:val="32"/>
          <w:highlight w:val="none"/>
          <w:shd w:val="clear"/>
          <w:lang w:val="en-US" w:eastAsia="zh-CN"/>
        </w:rPr>
        <w:t>%。</w:t>
      </w:r>
    </w:p>
    <w:p w14:paraId="3D94095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2720DCB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7E5A83B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120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1427A68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7C2653B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120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7B394F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07F45C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623A73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044356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3F26AB39">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3364073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563065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6D81A2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2DB93F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0A8194D">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0C17D00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4DC31A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41CB71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635E05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3CC11498">
      <w:pPr>
        <w:pStyle w:val="12"/>
        <w:numPr>
          <w:ilvl w:val="0"/>
          <w:numId w:val="5"/>
        </w:numPr>
        <w:spacing w:line="560" w:lineRule="exact"/>
        <w:ind w:left="197" w:leftChars="0" w:firstLine="643" w:firstLineChars="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6104101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131FF6F9">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514033F0">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保教楼建筑面积</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≥1374.09㎡</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＝1374.09㎡</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3D4FA0BE">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6F171616">
      <w:pPr>
        <w:shd w:val="clear"/>
        <w:spacing w:line="600" w:lineRule="exact"/>
        <w:ind w:firstLine="640" w:firstLineChars="200"/>
        <w:outlineLvl w:val="0"/>
        <w:rPr>
          <w:rFonts w:hint="default"/>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项目验收合格率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4AB60CED">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6C245FF5">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项目按计划开工时间</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2022年9月1日</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2022年9月1日</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40DFC0A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项目按计划完工时间</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2024年6月30日</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2024年6月30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5BD7A22A">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经济成本指标</w:t>
      </w:r>
    </w:p>
    <w:p w14:paraId="40E052CD">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工程款</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＝73.8万元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73.8万元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1A02FBFD">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劳务费</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＝46.2万元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46.2万元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74AD1475">
      <w:pPr>
        <w:pStyle w:val="12"/>
        <w:numPr>
          <w:ilvl w:val="0"/>
          <w:numId w:val="5"/>
        </w:numPr>
        <w:spacing w:line="560" w:lineRule="exact"/>
        <w:ind w:left="197" w:leftChars="0" w:firstLine="643" w:firstLineChars="0"/>
        <w:rPr>
          <w:rFonts w:hint="default" w:ascii="Times New Roman" w:hAnsi="Times New Roman" w:eastAsia="楷体_GB2312" w:cs="Times New Roman"/>
          <w:b/>
          <w:bCs/>
          <w:sz w:val="32"/>
          <w:szCs w:val="32"/>
          <w:lang w:val="en-US" w:eastAsia="zh-CN"/>
        </w:rPr>
      </w:pPr>
      <w:bookmarkStart w:id="3" w:name="_GoBack"/>
      <w:bookmarkEnd w:id="3"/>
      <w:r>
        <w:rPr>
          <w:rFonts w:hint="default" w:ascii="Times New Roman" w:hAnsi="Times New Roman" w:eastAsia="楷体_GB2312" w:cs="Times New Roman"/>
          <w:b/>
          <w:bCs/>
          <w:sz w:val="32"/>
          <w:szCs w:val="32"/>
          <w:lang w:val="en-US" w:eastAsia="zh-CN"/>
        </w:rPr>
        <w:t>项目</w:t>
      </w:r>
      <w:r>
        <w:rPr>
          <w:rFonts w:hint="eastAsia" w:eastAsia="楷体_GB2312" w:cs="Times New Roman"/>
          <w:b/>
          <w:bCs/>
          <w:sz w:val="32"/>
          <w:szCs w:val="32"/>
          <w:lang w:val="en-US" w:eastAsia="zh-CN"/>
        </w:rPr>
        <w:t>效益</w:t>
      </w:r>
      <w:r>
        <w:rPr>
          <w:rFonts w:hint="default" w:ascii="Times New Roman" w:hAnsi="Times New Roman" w:eastAsia="楷体_GB2312" w:cs="Times New Roman"/>
          <w:b/>
          <w:bCs/>
          <w:sz w:val="32"/>
          <w:szCs w:val="32"/>
          <w:lang w:val="en-US" w:eastAsia="zh-CN"/>
        </w:rPr>
        <w:t>情况</w:t>
      </w:r>
    </w:p>
    <w:p w14:paraId="4053F57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项目效益类指标包括项</w:t>
      </w:r>
      <w:r>
        <w:rPr>
          <w:rFonts w:hint="default" w:ascii="Times New Roman" w:hAnsi="Times New Roman" w:eastAsia="仿宋_GB2312" w:cs="Times New Roman"/>
          <w:sz w:val="32"/>
          <w:szCs w:val="32"/>
          <w:highlight w:val="none"/>
          <w:lang w:val="en-US" w:eastAsia="zh-CN"/>
        </w:rPr>
        <w:t>目</w:t>
      </w:r>
      <w:r>
        <w:rPr>
          <w:rFonts w:hint="eastAsia" w:eastAsia="仿宋_GB2312" w:cs="Times New Roman"/>
          <w:sz w:val="32"/>
          <w:szCs w:val="32"/>
          <w:highlight w:val="none"/>
          <w:lang w:val="en-US" w:eastAsia="zh-CN"/>
        </w:rPr>
        <w:t>社会</w:t>
      </w:r>
      <w:r>
        <w:rPr>
          <w:rFonts w:hint="default" w:ascii="Times New Roman" w:hAnsi="Times New Roman" w:eastAsia="仿宋_GB2312" w:cs="Times New Roman"/>
          <w:sz w:val="32"/>
          <w:szCs w:val="32"/>
          <w:highlight w:val="none"/>
          <w:lang w:val="en-US" w:eastAsia="zh-CN"/>
        </w:rPr>
        <w:t>效益方面的内容，由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70655899">
      <w:pPr>
        <w:numPr>
          <w:ilvl w:val="0"/>
          <w:numId w:val="6"/>
        </w:numPr>
        <w:shd w:val="clear"/>
        <w:spacing w:line="600" w:lineRule="exact"/>
        <w:ind w:left="-10" w:leftChars="0" w:firstLine="640" w:firstLineChars="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社会效益指标</w:t>
      </w:r>
    </w:p>
    <w:p w14:paraId="2DDEE9CE">
      <w:pPr>
        <w:numPr>
          <w:ilvl w:val="0"/>
          <w:numId w:val="0"/>
        </w:numPr>
        <w:shd w:val="clear"/>
        <w:spacing w:line="600" w:lineRule="exact"/>
        <w:ind w:left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提升教育教学质量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有效改善</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有效改善</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48A755F0">
      <w:pPr>
        <w:numPr>
          <w:ilvl w:val="0"/>
          <w:numId w:val="0"/>
        </w:numPr>
        <w:shd w:val="clear"/>
        <w:spacing w:line="600" w:lineRule="exact"/>
        <w:ind w:left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2.满意度指标</w:t>
      </w:r>
    </w:p>
    <w:p w14:paraId="06400084">
      <w:pPr>
        <w:numPr>
          <w:ilvl w:val="0"/>
          <w:numId w:val="0"/>
        </w:numPr>
        <w:shd w:val="clear"/>
        <w:spacing w:line="600" w:lineRule="exact"/>
        <w:ind w:left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幼儿满意度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161E0067">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w:t>
      </w:r>
      <w:r>
        <w:rPr>
          <w:rFonts w:hint="eastAsia" w:eastAsia="楷体_GB2312" w:cs="Times New Roman"/>
          <w:b/>
          <w:bCs/>
          <w:sz w:val="32"/>
          <w:szCs w:val="32"/>
          <w:lang w:val="en-US" w:eastAsia="zh-CN"/>
        </w:rPr>
        <w:t>七</w:t>
      </w:r>
      <w:r>
        <w:rPr>
          <w:rFonts w:hint="default"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sz w:val="32"/>
          <w:szCs w:val="32"/>
          <w:lang w:val="en-US" w:eastAsia="zh-Hans"/>
        </w:rPr>
        <w:t>预算执行进度与绩效指标总体完成率偏差</w:t>
      </w:r>
    </w:p>
    <w:p w14:paraId="5F37C0F7">
      <w:pPr>
        <w:numPr>
          <w:ilvl w:val="0"/>
          <w:numId w:val="0"/>
        </w:numPr>
        <w:shd w:val="clear"/>
        <w:spacing w:line="600" w:lineRule="exact"/>
        <w:ind w:firstLine="640" w:firstLineChars="200"/>
        <w:outlineLvl w:val="0"/>
        <w:rPr>
          <w:rFonts w:hint="eastAsia" w:ascii="方正楷体_GB2312" w:hAnsi="方正楷体_GB2312" w:eastAsia="方正楷体_GB2312" w:cs="方正楷体_GB2312"/>
          <w:sz w:val="32"/>
          <w:szCs w:val="32"/>
          <w:highlight w:val="none"/>
        </w:rPr>
      </w:pPr>
      <w:r>
        <w:rPr>
          <w:rFonts w:hint="eastAsia" w:eastAsia="仿宋_GB2312" w:cs="Times New Roman"/>
          <w:sz w:val="32"/>
          <w:szCs w:val="32"/>
          <w:highlight w:val="none"/>
          <w:lang w:val="en-US" w:eastAsia="zh-CN"/>
        </w:rPr>
        <w:t>昌州财教【2021】73号关于提前下达2022年支出学前教育资金发展预算的通知项目年初预算80万元，全年预120万元，实际支出120万元，预算执行率为100%，项目绩效指标总体完成率为100%。</w:t>
      </w:r>
    </w:p>
    <w:p w14:paraId="523D6ED7">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34306E4C">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678C9FB7">
      <w:pPr>
        <w:spacing w:line="560" w:lineRule="exact"/>
        <w:ind w:firstLine="640" w:firstLineChars="200"/>
        <w:rPr>
          <w:rFonts w:hint="eastAsia" w:eastAsia="仿宋_GB2312"/>
          <w:sz w:val="32"/>
          <w:szCs w:val="32"/>
        </w:rPr>
      </w:pPr>
      <w:r>
        <w:rPr>
          <w:rFonts w:hint="eastAsia" w:eastAsia="仿宋_GB2312"/>
          <w:sz w:val="32"/>
          <w:szCs w:val="32"/>
          <w:lang w:val="en-US" w:eastAsia="zh-CN"/>
        </w:rPr>
        <w:t>1、</w:t>
      </w:r>
      <w:r>
        <w:rPr>
          <w:rFonts w:hint="eastAsia" w:eastAsia="仿宋_GB2312"/>
          <w:sz w:val="32"/>
          <w:szCs w:val="32"/>
        </w:rPr>
        <w:t>目标导向，构建分层分类评价体系</w:t>
      </w:r>
    </w:p>
    <w:p w14:paraId="7309CA78">
      <w:pPr>
        <w:spacing w:line="560" w:lineRule="exact"/>
        <w:ind w:firstLine="640" w:firstLineChars="200"/>
        <w:rPr>
          <w:rFonts w:eastAsia="仿宋_GB2312"/>
          <w:sz w:val="32"/>
          <w:szCs w:val="32"/>
        </w:rPr>
      </w:pPr>
      <w:r>
        <w:rPr>
          <w:rFonts w:hint="eastAsia" w:eastAsia="仿宋_GB2312"/>
          <w:sz w:val="32"/>
          <w:szCs w:val="32"/>
        </w:rPr>
        <w:t>围绕战略目标拆解关键指标，实现“组织目标→部门任务→个人职责”三级对齐。</w:t>
      </w: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FCBB58E">
      <w:pPr>
        <w:pStyle w:val="2"/>
        <w:numPr>
          <w:ilvl w:val="0"/>
          <w:numId w:val="0"/>
        </w:numPr>
        <w:spacing w:before="0" w:after="0" w:line="560" w:lineRule="exact"/>
        <w:ind w:firstLine="640" w:firstLineChars="200"/>
        <w:jc w:val="left"/>
        <w:rPr>
          <w:rFonts w:hint="eastAsia" w:ascii="Times New Roman" w:hAnsi="Times New Roman" w:eastAsia="仿宋_GB2312"/>
          <w:b w:val="0"/>
          <w:bCs w:val="0"/>
          <w:kern w:val="2"/>
        </w:rPr>
      </w:pPr>
      <w:r>
        <w:rPr>
          <w:rFonts w:hint="eastAsia" w:ascii="Times New Roman" w:hAnsi="Times New Roman" w:eastAsia="仿宋_GB2312"/>
          <w:b w:val="0"/>
          <w:bCs w:val="0"/>
          <w:kern w:val="2"/>
          <w:lang w:val="en-US" w:eastAsia="zh-CN"/>
        </w:rPr>
        <w:t>2、</w:t>
      </w:r>
      <w:r>
        <w:rPr>
          <w:rFonts w:hint="eastAsia" w:ascii="Times New Roman" w:hAnsi="Times New Roman" w:eastAsia="仿宋_GB2312"/>
          <w:b w:val="0"/>
          <w:bCs w:val="0"/>
          <w:kern w:val="2"/>
        </w:rPr>
        <w:t>动态反馈，强化过程管理</w:t>
      </w:r>
    </w:p>
    <w:p w14:paraId="64FEAC7E">
      <w:pPr>
        <w:pStyle w:val="2"/>
        <w:numPr>
          <w:ilvl w:val="0"/>
          <w:numId w:val="0"/>
        </w:numPr>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CD310A8">
      <w:pPr>
        <w:ind w:firstLine="640" w:firstLineChars="200"/>
        <w:rPr>
          <w:rFonts w:ascii="Times New Roman" w:hAnsi="Times New Roman" w:eastAsia="仿宋_GB2312" w:cs="Times New Roman"/>
          <w:b w:val="0"/>
          <w:bCs w:val="0"/>
          <w:kern w:val="2"/>
          <w:sz w:val="32"/>
          <w:szCs w:val="32"/>
          <w:lang w:val="en-US" w:eastAsia="zh-CN" w:bidi="ar-SA"/>
        </w:rPr>
      </w:pPr>
      <w:r>
        <w:rPr>
          <w:rFonts w:hint="eastAsia" w:eastAsia="仿宋_GB2312" w:cs="Times New Roman"/>
          <w:b w:val="0"/>
          <w:bCs w:val="0"/>
          <w:kern w:val="2"/>
          <w:sz w:val="32"/>
          <w:szCs w:val="32"/>
          <w:lang w:val="en-US" w:eastAsia="zh-CN" w:bidi="ar-SA"/>
        </w:rPr>
        <w:t>3、</w:t>
      </w:r>
      <w:r>
        <w:rPr>
          <w:rFonts w:hint="eastAsia" w:ascii="Times New Roman" w:hAnsi="Times New Roman" w:eastAsia="仿宋_GB2312" w:cs="Times New Roman"/>
          <w:b w:val="0"/>
          <w:bCs w:val="0"/>
          <w:kern w:val="2"/>
          <w:sz w:val="32"/>
          <w:szCs w:val="32"/>
          <w:lang w:val="en-US" w:eastAsia="zh-CN" w:bidi="ar-SA"/>
        </w:rPr>
        <w:t>数据驱动，提升评价客观性</w:t>
      </w:r>
    </w:p>
    <w:p w14:paraId="18178F1F">
      <w:pPr>
        <w:spacing w:line="700" w:lineRule="exact"/>
        <w:ind w:firstLine="1280" w:firstLineChars="400"/>
        <w:jc w:val="left"/>
        <w:rPr>
          <w:rFonts w:hint="eastAsia" w:ascii="仿宋" w:hAnsi="仿宋" w:eastAsia="仿宋" w:cs="仿宋"/>
          <w:sz w:val="32"/>
          <w:szCs w:val="32"/>
        </w:rPr>
      </w:pPr>
      <w:r>
        <w:rPr>
          <w:rFonts w:hint="eastAsia" w:ascii="仿宋" w:hAnsi="仿宋" w:eastAsia="仿宋" w:cs="仿宋"/>
          <w:b w:val="0"/>
          <w:bCs w:val="0"/>
          <w:kern w:val="2"/>
          <w:sz w:val="32"/>
          <w:szCs w:val="32"/>
          <w:lang w:eastAsia="zh-CN"/>
        </w:rPr>
        <w:t>学前教育经费（</w:t>
      </w:r>
      <w:r>
        <w:rPr>
          <w:rFonts w:hint="eastAsia" w:ascii="仿宋" w:hAnsi="仿宋" w:eastAsia="仿宋" w:cs="仿宋"/>
          <w:kern w:val="0"/>
          <w:sz w:val="32"/>
          <w:szCs w:val="32"/>
        </w:rPr>
        <w:t>昌州财教（2021）73号关于提前下达2022年支出学前教育资金发展预算的通知</w:t>
      </w:r>
      <w:r>
        <w:rPr>
          <w:rFonts w:hint="eastAsia" w:ascii="仿宋" w:hAnsi="仿宋" w:eastAsia="仿宋" w:cs="仿宋"/>
          <w:b w:val="0"/>
          <w:bCs w:val="0"/>
          <w:kern w:val="2"/>
          <w:sz w:val="32"/>
          <w:szCs w:val="32"/>
          <w:lang w:eastAsia="zh-CN"/>
        </w:rPr>
        <w:t>）</w:t>
      </w:r>
      <w:r>
        <w:rPr>
          <w:rFonts w:hint="eastAsia" w:ascii="仿宋" w:hAnsi="仿宋" w:eastAsia="仿宋" w:cs="仿宋"/>
          <w:b w:val="0"/>
          <w:bCs w:val="0"/>
          <w:kern w:val="2"/>
          <w:sz w:val="32"/>
          <w:szCs w:val="32"/>
        </w:rPr>
        <w:t>资金中，预算安排数</w:t>
      </w:r>
      <w:r>
        <w:rPr>
          <w:rFonts w:hint="eastAsia" w:ascii="方正仿宋_GB2312" w:hAnsi="方正仿宋_GB2312" w:eastAsia="方正仿宋_GB2312" w:cs="方正仿宋_GB2312"/>
          <w:color w:val="auto"/>
          <w:sz w:val="30"/>
          <w:szCs w:val="30"/>
          <w:highlight w:val="none"/>
          <w:lang w:val="en-US" w:eastAsia="zh-CN"/>
        </w:rPr>
        <w:t>120</w:t>
      </w:r>
      <w:r>
        <w:rPr>
          <w:rFonts w:hint="eastAsia" w:ascii="仿宋" w:hAnsi="仿宋" w:eastAsia="仿宋" w:cs="仿宋"/>
          <w:b w:val="0"/>
          <w:bCs w:val="0"/>
          <w:kern w:val="2"/>
          <w:sz w:val="32"/>
          <w:szCs w:val="32"/>
        </w:rPr>
        <w:t>万元。截止到202</w:t>
      </w:r>
      <w:r>
        <w:rPr>
          <w:rFonts w:hint="eastAsia" w:ascii="仿宋" w:hAnsi="仿宋" w:eastAsia="仿宋" w:cs="仿宋"/>
          <w:b w:val="0"/>
          <w:bCs w:val="0"/>
          <w:kern w:val="2"/>
          <w:sz w:val="32"/>
          <w:szCs w:val="32"/>
          <w:lang w:val="en-US" w:eastAsia="zh-CN"/>
        </w:rPr>
        <w:t>4</w:t>
      </w:r>
      <w:r>
        <w:rPr>
          <w:rFonts w:hint="eastAsia" w:ascii="仿宋" w:hAnsi="仿宋" w:eastAsia="仿宋" w:cs="仿宋"/>
          <w:b w:val="0"/>
          <w:bCs w:val="0"/>
          <w:kern w:val="2"/>
          <w:sz w:val="32"/>
          <w:szCs w:val="32"/>
        </w:rPr>
        <w:t>年12月31日，共到位</w:t>
      </w:r>
      <w:r>
        <w:rPr>
          <w:rFonts w:hint="eastAsia" w:eastAsia="仿宋_GB2312" w:cs="Times New Roman"/>
          <w:sz w:val="32"/>
          <w:szCs w:val="32"/>
          <w:highlight w:val="none"/>
          <w:lang w:val="en-US" w:eastAsia="zh-CN"/>
        </w:rPr>
        <w:t>120</w:t>
      </w:r>
      <w:r>
        <w:rPr>
          <w:rFonts w:hint="eastAsia" w:ascii="仿宋" w:hAnsi="仿宋" w:eastAsia="仿宋" w:cs="仿宋"/>
          <w:b w:val="0"/>
          <w:bCs w:val="0"/>
          <w:kern w:val="2"/>
          <w:sz w:val="32"/>
          <w:szCs w:val="32"/>
        </w:rPr>
        <w:t>万元，资金执行数</w:t>
      </w:r>
      <w:r>
        <w:rPr>
          <w:rFonts w:hint="eastAsia" w:eastAsia="仿宋_GB2312" w:cs="Times New Roman"/>
          <w:sz w:val="32"/>
          <w:szCs w:val="32"/>
          <w:highlight w:val="none"/>
          <w:lang w:val="en-US" w:eastAsia="zh-CN"/>
        </w:rPr>
        <w:t>120</w:t>
      </w:r>
      <w:r>
        <w:rPr>
          <w:rFonts w:hint="eastAsia" w:ascii="仿宋" w:hAnsi="仿宋" w:eastAsia="仿宋" w:cs="仿宋"/>
          <w:b w:val="0"/>
          <w:bCs w:val="0"/>
          <w:kern w:val="2"/>
          <w:sz w:val="32"/>
          <w:szCs w:val="32"/>
        </w:rPr>
        <w:t>万元。项目开始有预算，对实际执行跟踪监控，项目结束进行绩效评价。县教育局、财政局对经费使用和管理情况进行监督和检查，支出符合国家财经法规和财务管理制度规定以及有关专项资金管理办法的规定；资金拨付有完整的审批程序和手续；支出符合部门预算批复的用途；资金使用无截留、挤占、挪用、虚列支出等情况。</w:t>
      </w:r>
    </w:p>
    <w:p w14:paraId="70B72EC7">
      <w:pPr>
        <w:keepNext/>
        <w:keepLines/>
        <w:numPr>
          <w:ilvl w:val="0"/>
          <w:numId w:val="7"/>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459F587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A3B5D8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14:paraId="08DDD3E6">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76D2AFD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1.指标体系优化：精准聚焦核心目标，每年度根据战略调整指标库，确保核心指标与组织目标强关联。</w:t>
      </w:r>
    </w:p>
    <w:p w14:paraId="0464220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1745BF9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3.量化与定性结合，避免过度量化。能用数据衡量的指标优先量化，但需保留必要的定性指标。</w:t>
      </w:r>
    </w:p>
    <w:p w14:paraId="0CABEE10">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50CE366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22829230">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007C9B94">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101B8626">
      <w:pPr>
        <w:pStyle w:val="13"/>
        <w:spacing w:after="0" w:line="560" w:lineRule="exact"/>
        <w:ind w:left="0" w:leftChars="0" w:firstLine="0" w:firstLineChars="0"/>
        <w:rPr>
          <w:rFonts w:hint="eastAsia" w:ascii="Times New Roman" w:hAnsi="Times New Roman" w:eastAsia="仿宋_GB2312" w:cs="Times New Roman"/>
          <w:sz w:val="32"/>
          <w:szCs w:val="32"/>
          <w:lang w:eastAsia="zh-CN"/>
        </w:rPr>
      </w:pPr>
    </w:p>
    <w:p w14:paraId="7B7E2DEC">
      <w:pPr>
        <w:pStyle w:val="13"/>
        <w:spacing w:after="0" w:line="560" w:lineRule="exact"/>
        <w:ind w:left="0" w:leftChars="0" w:firstLine="0" w:firstLineChars="0"/>
        <w:rPr>
          <w:rFonts w:hint="default" w:ascii="Times New Roman" w:hAnsi="Times New Roman" w:eastAsia="仿宋_GB2312" w:cs="Times New Roman"/>
          <w:sz w:val="32"/>
          <w:szCs w:val="32"/>
        </w:rPr>
      </w:pPr>
    </w:p>
    <w:p w14:paraId="063CC939">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07F9FD3C">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51081417">
      <w:pPr>
        <w:pStyle w:val="19"/>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方正楷体_GB2312" w:hAnsi="方正楷体_GB2312" w:eastAsia="方正楷体_GB2312" w:cs="方正楷体_GB2312"/>
          <w:b w:val="0"/>
          <w:bCs w:val="0"/>
          <w:color w:val="auto"/>
          <w:sz w:val="32"/>
          <w:szCs w:val="32"/>
          <w:highlight w:val="none"/>
          <w:lang w:val="en-US" w:eastAsia="zh-CN"/>
        </w:rPr>
        <w:t>昌州财教【2021】73号</w:t>
      </w:r>
      <w:r>
        <w:rPr>
          <w:rFonts w:hint="eastAsia" w:ascii="方正楷体_GB2312" w:hAnsi="方正楷体_GB2312" w:eastAsia="方正楷体_GB2312" w:cs="方正楷体_GB2312"/>
          <w:b w:val="0"/>
          <w:bCs w:val="0"/>
          <w:kern w:val="0"/>
          <w:sz w:val="32"/>
          <w:szCs w:val="32"/>
          <w:highlight w:val="none"/>
        </w:rPr>
        <w:t>关于提前下达2022年支出学前教育资金发展预算的通知</w:t>
      </w:r>
      <w:r>
        <w:rPr>
          <w:rFonts w:hint="eastAsia" w:ascii="仿宋_GB2312" w:hAnsi="仿宋_GB2312" w:eastAsia="仿宋_GB2312" w:cs="仿宋_GB2312"/>
          <w:b/>
          <w:bCs/>
          <w:sz w:val="28"/>
          <w:szCs w:val="40"/>
        </w:rPr>
        <w:t>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138"/>
        <w:gridCol w:w="933"/>
        <w:gridCol w:w="1725"/>
        <w:gridCol w:w="5216"/>
        <w:gridCol w:w="5"/>
        <w:gridCol w:w="1299"/>
        <w:gridCol w:w="1365"/>
      </w:tblGrid>
      <w:tr w14:paraId="5C1B7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0346199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138" w:type="dxa"/>
            <w:shd w:val="clear" w:color="auto" w:fill="FFFFFF"/>
            <w:vAlign w:val="center"/>
          </w:tcPr>
          <w:p w14:paraId="0BED26E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933" w:type="dxa"/>
            <w:shd w:val="clear" w:color="auto" w:fill="FFFFFF"/>
            <w:vAlign w:val="center"/>
          </w:tcPr>
          <w:p w14:paraId="6271800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6179A6D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5308ABB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6F6D8E1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5FA937E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7B8BE2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4F9966B8">
            <w:pPr>
              <w:widowControl/>
              <w:spacing w:line="0" w:lineRule="atLeast"/>
              <w:jc w:val="center"/>
              <w:rPr>
                <w:rFonts w:hint="default" w:ascii="Times New Roman" w:hAnsi="Times New Roman" w:eastAsia="仿宋_GB2312" w:cs="Times New Roman"/>
                <w:color w:val="000000"/>
                <w:kern w:val="0"/>
                <w:sz w:val="18"/>
                <w:szCs w:val="18"/>
              </w:rPr>
            </w:pPr>
          </w:p>
          <w:p w14:paraId="7E59E1F2">
            <w:pPr>
              <w:widowControl/>
              <w:spacing w:line="0" w:lineRule="atLeast"/>
              <w:jc w:val="center"/>
              <w:rPr>
                <w:rFonts w:hint="default" w:ascii="Times New Roman" w:hAnsi="Times New Roman" w:eastAsia="仿宋_GB2312" w:cs="Times New Roman"/>
                <w:color w:val="000000"/>
                <w:kern w:val="0"/>
                <w:sz w:val="18"/>
                <w:szCs w:val="18"/>
              </w:rPr>
            </w:pPr>
          </w:p>
          <w:p w14:paraId="6F932464">
            <w:pPr>
              <w:widowControl/>
              <w:spacing w:line="0" w:lineRule="atLeast"/>
              <w:jc w:val="center"/>
              <w:rPr>
                <w:rFonts w:hint="default" w:ascii="Times New Roman" w:hAnsi="Times New Roman" w:eastAsia="仿宋_GB2312" w:cs="Times New Roman"/>
                <w:color w:val="000000"/>
                <w:kern w:val="0"/>
                <w:sz w:val="18"/>
                <w:szCs w:val="18"/>
              </w:rPr>
            </w:pPr>
          </w:p>
          <w:p w14:paraId="162726D2">
            <w:pPr>
              <w:widowControl/>
              <w:spacing w:line="0" w:lineRule="atLeast"/>
              <w:jc w:val="center"/>
              <w:rPr>
                <w:rFonts w:hint="default" w:ascii="Times New Roman" w:hAnsi="Times New Roman" w:eastAsia="仿宋_GB2312" w:cs="Times New Roman"/>
                <w:color w:val="000000"/>
                <w:kern w:val="0"/>
                <w:sz w:val="18"/>
                <w:szCs w:val="18"/>
              </w:rPr>
            </w:pPr>
          </w:p>
          <w:p w14:paraId="4084897C">
            <w:pPr>
              <w:widowControl/>
              <w:spacing w:line="0" w:lineRule="atLeast"/>
              <w:jc w:val="center"/>
              <w:rPr>
                <w:rFonts w:hint="default" w:ascii="Times New Roman" w:hAnsi="Times New Roman" w:eastAsia="仿宋_GB2312" w:cs="Times New Roman"/>
                <w:color w:val="000000"/>
                <w:kern w:val="0"/>
                <w:sz w:val="18"/>
                <w:szCs w:val="18"/>
              </w:rPr>
            </w:pPr>
          </w:p>
          <w:p w14:paraId="182D8975">
            <w:pPr>
              <w:widowControl/>
              <w:spacing w:line="0" w:lineRule="atLeast"/>
              <w:jc w:val="center"/>
              <w:rPr>
                <w:rFonts w:hint="default" w:ascii="Times New Roman" w:hAnsi="Times New Roman" w:eastAsia="仿宋_GB2312" w:cs="Times New Roman"/>
                <w:color w:val="000000"/>
                <w:kern w:val="0"/>
                <w:sz w:val="18"/>
                <w:szCs w:val="18"/>
              </w:rPr>
            </w:pPr>
          </w:p>
          <w:p w14:paraId="6417F1B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138" w:type="dxa"/>
            <w:vMerge w:val="restart"/>
            <w:shd w:val="clear" w:color="auto" w:fill="FFFFFF"/>
            <w:vAlign w:val="center"/>
          </w:tcPr>
          <w:p w14:paraId="6DE0884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933" w:type="dxa"/>
            <w:shd w:val="clear" w:color="auto" w:fill="FFFFFF"/>
            <w:vAlign w:val="center"/>
          </w:tcPr>
          <w:p w14:paraId="14C6A76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10CD17D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290BD82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5956A8A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2F8FCEB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6AB25B17">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6FD1DD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7DEF988B">
            <w:pPr>
              <w:spacing w:line="0" w:lineRule="atLeast"/>
              <w:jc w:val="center"/>
              <w:rPr>
                <w:rFonts w:hint="default" w:ascii="Times New Roman" w:hAnsi="Times New Roman" w:eastAsia="仿宋_GB2312" w:cs="Times New Roman"/>
                <w:color w:val="000000"/>
                <w:kern w:val="0"/>
                <w:sz w:val="18"/>
                <w:szCs w:val="18"/>
              </w:rPr>
            </w:pPr>
          </w:p>
        </w:tc>
        <w:tc>
          <w:tcPr>
            <w:tcW w:w="1138" w:type="dxa"/>
            <w:vMerge w:val="continue"/>
            <w:shd w:val="clear" w:color="auto" w:fill="FFFFFF"/>
            <w:vAlign w:val="center"/>
          </w:tcPr>
          <w:p w14:paraId="4F5A82CB">
            <w:pPr>
              <w:widowControl/>
              <w:spacing w:line="0" w:lineRule="atLeast"/>
              <w:jc w:val="center"/>
              <w:rPr>
                <w:rFonts w:hint="default" w:ascii="Times New Roman" w:hAnsi="Times New Roman" w:eastAsia="仿宋_GB2312" w:cs="Times New Roman"/>
                <w:color w:val="000000"/>
                <w:kern w:val="0"/>
                <w:sz w:val="18"/>
                <w:szCs w:val="18"/>
              </w:rPr>
            </w:pPr>
          </w:p>
        </w:tc>
        <w:tc>
          <w:tcPr>
            <w:tcW w:w="933" w:type="dxa"/>
            <w:shd w:val="clear" w:color="auto" w:fill="FFFFFF"/>
            <w:vAlign w:val="center"/>
          </w:tcPr>
          <w:p w14:paraId="4EE9BF8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7910E37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3DF8397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48DC1DA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24F1D0A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1D6701D1">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6651C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66856274">
            <w:pPr>
              <w:spacing w:line="0" w:lineRule="atLeast"/>
              <w:jc w:val="center"/>
              <w:rPr>
                <w:rFonts w:hint="default" w:ascii="Times New Roman" w:hAnsi="Times New Roman" w:eastAsia="仿宋_GB2312" w:cs="Times New Roman"/>
                <w:color w:val="000000"/>
                <w:kern w:val="0"/>
                <w:sz w:val="18"/>
                <w:szCs w:val="18"/>
              </w:rPr>
            </w:pPr>
          </w:p>
        </w:tc>
        <w:tc>
          <w:tcPr>
            <w:tcW w:w="1138" w:type="dxa"/>
            <w:vMerge w:val="restart"/>
            <w:shd w:val="clear" w:color="auto" w:fill="FFFFFF"/>
            <w:vAlign w:val="center"/>
          </w:tcPr>
          <w:p w14:paraId="69E484F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933" w:type="dxa"/>
            <w:shd w:val="clear" w:color="auto" w:fill="FFFFFF"/>
            <w:vAlign w:val="center"/>
          </w:tcPr>
          <w:p w14:paraId="22914C5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4505E07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60D185E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66A7F26F">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6ACBCE7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4F8160A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6BF5985F">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5E6945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45EC183B">
            <w:pPr>
              <w:widowControl/>
              <w:spacing w:line="0" w:lineRule="atLeast"/>
              <w:jc w:val="center"/>
              <w:rPr>
                <w:rFonts w:hint="default" w:ascii="Times New Roman" w:hAnsi="Times New Roman" w:eastAsia="仿宋_GB2312" w:cs="Times New Roman"/>
                <w:color w:val="000000"/>
                <w:kern w:val="0"/>
                <w:sz w:val="18"/>
                <w:szCs w:val="18"/>
              </w:rPr>
            </w:pPr>
          </w:p>
        </w:tc>
        <w:tc>
          <w:tcPr>
            <w:tcW w:w="1138" w:type="dxa"/>
            <w:vMerge w:val="continue"/>
            <w:shd w:val="clear" w:color="auto" w:fill="FFFFFF"/>
            <w:vAlign w:val="center"/>
          </w:tcPr>
          <w:p w14:paraId="0D494934">
            <w:pPr>
              <w:widowControl/>
              <w:spacing w:line="0" w:lineRule="atLeast"/>
              <w:jc w:val="center"/>
              <w:rPr>
                <w:rFonts w:hint="default" w:ascii="Times New Roman" w:hAnsi="Times New Roman" w:eastAsia="仿宋_GB2312" w:cs="Times New Roman"/>
                <w:color w:val="000000"/>
                <w:kern w:val="0"/>
                <w:sz w:val="18"/>
                <w:szCs w:val="18"/>
              </w:rPr>
            </w:pPr>
          </w:p>
        </w:tc>
        <w:tc>
          <w:tcPr>
            <w:tcW w:w="933" w:type="dxa"/>
            <w:shd w:val="clear" w:color="auto" w:fill="FFFFFF"/>
            <w:vAlign w:val="center"/>
          </w:tcPr>
          <w:p w14:paraId="4548954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17A0456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343CE1F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30EF122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01C1B4F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2B889468">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551B4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6381913A">
            <w:pPr>
              <w:spacing w:line="0" w:lineRule="atLeast"/>
              <w:jc w:val="center"/>
              <w:rPr>
                <w:rFonts w:hint="default" w:ascii="Times New Roman" w:hAnsi="Times New Roman" w:eastAsia="仿宋_GB2312" w:cs="Times New Roman"/>
                <w:color w:val="000000"/>
                <w:kern w:val="0"/>
                <w:sz w:val="18"/>
                <w:szCs w:val="18"/>
              </w:rPr>
            </w:pPr>
          </w:p>
        </w:tc>
        <w:tc>
          <w:tcPr>
            <w:tcW w:w="1138" w:type="dxa"/>
            <w:vMerge w:val="restart"/>
            <w:shd w:val="clear" w:color="auto" w:fill="FFFFFF"/>
            <w:vAlign w:val="center"/>
          </w:tcPr>
          <w:p w14:paraId="02302A9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33DDE719">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933" w:type="dxa"/>
            <w:shd w:val="clear" w:color="auto" w:fill="FFFFFF"/>
            <w:vAlign w:val="center"/>
          </w:tcPr>
          <w:p w14:paraId="55FA7F2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19A2D99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5058B4C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05A5AF8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35255B1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5426B4E9">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6FDD92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1D7A6456">
            <w:pPr>
              <w:widowControl/>
              <w:spacing w:line="0" w:lineRule="atLeast"/>
              <w:jc w:val="center"/>
              <w:rPr>
                <w:rFonts w:hint="default" w:ascii="Times New Roman" w:hAnsi="Times New Roman" w:eastAsia="仿宋_GB2312" w:cs="Times New Roman"/>
                <w:color w:val="000000"/>
                <w:kern w:val="0"/>
                <w:sz w:val="18"/>
                <w:szCs w:val="18"/>
              </w:rPr>
            </w:pPr>
          </w:p>
        </w:tc>
        <w:tc>
          <w:tcPr>
            <w:tcW w:w="1138" w:type="dxa"/>
            <w:vMerge w:val="continue"/>
            <w:shd w:val="clear" w:color="auto" w:fill="FFFFFF"/>
            <w:vAlign w:val="center"/>
          </w:tcPr>
          <w:p w14:paraId="1E8A45CE">
            <w:pPr>
              <w:widowControl/>
              <w:spacing w:line="0" w:lineRule="atLeast"/>
              <w:jc w:val="center"/>
              <w:rPr>
                <w:rFonts w:hint="default" w:ascii="Times New Roman" w:hAnsi="Times New Roman" w:eastAsia="仿宋_GB2312" w:cs="Times New Roman"/>
                <w:color w:val="000000"/>
                <w:kern w:val="0"/>
                <w:sz w:val="18"/>
                <w:szCs w:val="18"/>
              </w:rPr>
            </w:pPr>
          </w:p>
        </w:tc>
        <w:tc>
          <w:tcPr>
            <w:tcW w:w="933" w:type="dxa"/>
            <w:shd w:val="clear" w:color="auto" w:fill="FFFFFF"/>
            <w:vAlign w:val="center"/>
          </w:tcPr>
          <w:p w14:paraId="0A93408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66C442A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65E9484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26D888F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0314F66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4B73F169">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147928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772F041A">
            <w:pPr>
              <w:spacing w:line="0" w:lineRule="atLeast"/>
              <w:jc w:val="center"/>
              <w:rPr>
                <w:rFonts w:hint="default" w:ascii="Times New Roman" w:hAnsi="Times New Roman" w:eastAsia="仿宋_GB2312" w:cs="Times New Roman"/>
                <w:color w:val="000000"/>
                <w:kern w:val="0"/>
                <w:sz w:val="18"/>
                <w:szCs w:val="18"/>
              </w:rPr>
            </w:pPr>
          </w:p>
          <w:p w14:paraId="143EDB6D">
            <w:pPr>
              <w:spacing w:line="0" w:lineRule="atLeast"/>
              <w:jc w:val="center"/>
              <w:rPr>
                <w:rFonts w:hint="default" w:ascii="Times New Roman" w:hAnsi="Times New Roman" w:eastAsia="仿宋_GB2312" w:cs="Times New Roman"/>
                <w:color w:val="000000"/>
                <w:kern w:val="0"/>
                <w:sz w:val="18"/>
                <w:szCs w:val="18"/>
              </w:rPr>
            </w:pPr>
          </w:p>
          <w:p w14:paraId="66CF8E52">
            <w:pPr>
              <w:spacing w:line="0" w:lineRule="atLeast"/>
              <w:jc w:val="center"/>
              <w:rPr>
                <w:rFonts w:hint="default" w:ascii="Times New Roman" w:hAnsi="Times New Roman" w:eastAsia="仿宋_GB2312" w:cs="Times New Roman"/>
                <w:color w:val="000000"/>
                <w:kern w:val="0"/>
                <w:sz w:val="18"/>
                <w:szCs w:val="18"/>
              </w:rPr>
            </w:pPr>
          </w:p>
          <w:p w14:paraId="103B1765">
            <w:pPr>
              <w:spacing w:line="0" w:lineRule="atLeast"/>
              <w:jc w:val="center"/>
              <w:rPr>
                <w:rFonts w:hint="default" w:ascii="Times New Roman" w:hAnsi="Times New Roman" w:eastAsia="仿宋_GB2312" w:cs="Times New Roman"/>
                <w:color w:val="000000"/>
                <w:kern w:val="0"/>
                <w:sz w:val="18"/>
                <w:szCs w:val="18"/>
              </w:rPr>
            </w:pPr>
          </w:p>
          <w:p w14:paraId="2486C454">
            <w:pPr>
              <w:spacing w:line="0" w:lineRule="atLeast"/>
              <w:jc w:val="center"/>
              <w:rPr>
                <w:rFonts w:hint="default" w:ascii="Times New Roman" w:hAnsi="Times New Roman" w:eastAsia="仿宋_GB2312" w:cs="Times New Roman"/>
                <w:color w:val="000000"/>
                <w:kern w:val="0"/>
                <w:sz w:val="18"/>
                <w:szCs w:val="18"/>
              </w:rPr>
            </w:pPr>
          </w:p>
          <w:p w14:paraId="52F5D780">
            <w:pPr>
              <w:spacing w:line="0" w:lineRule="atLeast"/>
              <w:jc w:val="center"/>
              <w:rPr>
                <w:rFonts w:hint="default" w:ascii="Times New Roman" w:hAnsi="Times New Roman" w:eastAsia="仿宋_GB2312" w:cs="Times New Roman"/>
                <w:color w:val="000000"/>
                <w:kern w:val="0"/>
                <w:sz w:val="18"/>
                <w:szCs w:val="18"/>
              </w:rPr>
            </w:pPr>
          </w:p>
          <w:p w14:paraId="549E624E">
            <w:pPr>
              <w:spacing w:line="0" w:lineRule="atLeast"/>
              <w:jc w:val="center"/>
              <w:rPr>
                <w:rFonts w:hint="default" w:ascii="Times New Roman" w:hAnsi="Times New Roman" w:eastAsia="仿宋_GB2312" w:cs="Times New Roman"/>
                <w:color w:val="000000"/>
                <w:kern w:val="0"/>
                <w:sz w:val="18"/>
                <w:szCs w:val="18"/>
              </w:rPr>
            </w:pPr>
          </w:p>
          <w:p w14:paraId="48FF4DDA">
            <w:pPr>
              <w:spacing w:line="0" w:lineRule="atLeast"/>
              <w:jc w:val="center"/>
              <w:rPr>
                <w:rFonts w:hint="default" w:ascii="Times New Roman" w:hAnsi="Times New Roman" w:eastAsia="仿宋_GB2312" w:cs="Times New Roman"/>
                <w:color w:val="000000"/>
                <w:kern w:val="0"/>
                <w:sz w:val="18"/>
                <w:szCs w:val="18"/>
              </w:rPr>
            </w:pPr>
          </w:p>
          <w:p w14:paraId="7A950059">
            <w:pPr>
              <w:spacing w:line="0" w:lineRule="atLeast"/>
              <w:jc w:val="center"/>
              <w:rPr>
                <w:rFonts w:hint="default" w:ascii="Times New Roman" w:hAnsi="Times New Roman" w:eastAsia="仿宋_GB2312" w:cs="Times New Roman"/>
                <w:color w:val="000000"/>
                <w:kern w:val="0"/>
                <w:sz w:val="18"/>
                <w:szCs w:val="18"/>
              </w:rPr>
            </w:pPr>
          </w:p>
          <w:p w14:paraId="2F1881D3">
            <w:pPr>
              <w:spacing w:line="0" w:lineRule="atLeast"/>
              <w:jc w:val="center"/>
              <w:rPr>
                <w:rFonts w:hint="default" w:ascii="Times New Roman" w:hAnsi="Times New Roman" w:eastAsia="仿宋_GB2312" w:cs="Times New Roman"/>
                <w:color w:val="000000"/>
                <w:kern w:val="0"/>
                <w:sz w:val="18"/>
                <w:szCs w:val="18"/>
              </w:rPr>
            </w:pPr>
          </w:p>
          <w:p w14:paraId="246610B5">
            <w:pPr>
              <w:spacing w:line="0" w:lineRule="atLeast"/>
              <w:jc w:val="center"/>
              <w:rPr>
                <w:rFonts w:hint="default" w:ascii="Times New Roman" w:hAnsi="Times New Roman" w:eastAsia="仿宋_GB2312" w:cs="Times New Roman"/>
                <w:color w:val="000000"/>
                <w:kern w:val="0"/>
                <w:sz w:val="18"/>
                <w:szCs w:val="18"/>
              </w:rPr>
            </w:pPr>
          </w:p>
          <w:p w14:paraId="6AAB2335">
            <w:pPr>
              <w:spacing w:line="0" w:lineRule="atLeast"/>
              <w:jc w:val="center"/>
              <w:rPr>
                <w:rFonts w:hint="default" w:ascii="Times New Roman" w:hAnsi="Times New Roman" w:eastAsia="仿宋_GB2312" w:cs="Times New Roman"/>
                <w:color w:val="000000"/>
                <w:kern w:val="0"/>
                <w:sz w:val="18"/>
                <w:szCs w:val="18"/>
              </w:rPr>
            </w:pPr>
          </w:p>
          <w:p w14:paraId="1EBBC729">
            <w:pPr>
              <w:spacing w:line="0" w:lineRule="atLeast"/>
              <w:jc w:val="center"/>
              <w:rPr>
                <w:rFonts w:hint="default" w:ascii="Times New Roman" w:hAnsi="Times New Roman" w:eastAsia="仿宋_GB2312" w:cs="Times New Roman"/>
                <w:color w:val="000000"/>
                <w:kern w:val="0"/>
                <w:sz w:val="18"/>
                <w:szCs w:val="18"/>
              </w:rPr>
            </w:pPr>
          </w:p>
          <w:p w14:paraId="75C3CD36">
            <w:pPr>
              <w:spacing w:line="0" w:lineRule="atLeast"/>
              <w:jc w:val="center"/>
              <w:rPr>
                <w:rFonts w:hint="default" w:ascii="Times New Roman" w:hAnsi="Times New Roman" w:eastAsia="仿宋_GB2312" w:cs="Times New Roman"/>
                <w:color w:val="000000"/>
                <w:kern w:val="0"/>
                <w:sz w:val="18"/>
                <w:szCs w:val="18"/>
              </w:rPr>
            </w:pPr>
          </w:p>
          <w:p w14:paraId="6B193081">
            <w:pPr>
              <w:spacing w:line="0" w:lineRule="atLeast"/>
              <w:jc w:val="center"/>
              <w:rPr>
                <w:rFonts w:hint="default" w:ascii="Times New Roman" w:hAnsi="Times New Roman" w:eastAsia="仿宋_GB2312" w:cs="Times New Roman"/>
                <w:color w:val="000000"/>
                <w:kern w:val="0"/>
                <w:sz w:val="18"/>
                <w:szCs w:val="18"/>
              </w:rPr>
            </w:pPr>
          </w:p>
          <w:p w14:paraId="5D51E63C">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2AC671B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138" w:type="dxa"/>
            <w:vMerge w:val="restart"/>
            <w:shd w:val="clear" w:color="auto" w:fill="FFFFFF"/>
            <w:vAlign w:val="center"/>
          </w:tcPr>
          <w:p w14:paraId="0E6D386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933" w:type="dxa"/>
            <w:shd w:val="clear" w:color="auto" w:fill="FFFFFF"/>
            <w:vAlign w:val="center"/>
          </w:tcPr>
          <w:p w14:paraId="162611C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4BFB8A0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14D0979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120C50C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49CE37D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124797E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55481515">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1C8B2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4260C26A">
            <w:pPr>
              <w:spacing w:line="0" w:lineRule="atLeast"/>
              <w:jc w:val="center"/>
              <w:rPr>
                <w:rFonts w:hint="default" w:ascii="Times New Roman" w:hAnsi="Times New Roman" w:eastAsia="仿宋_GB2312" w:cs="Times New Roman"/>
                <w:color w:val="000000"/>
                <w:kern w:val="0"/>
                <w:sz w:val="18"/>
                <w:szCs w:val="18"/>
              </w:rPr>
            </w:pPr>
          </w:p>
        </w:tc>
        <w:tc>
          <w:tcPr>
            <w:tcW w:w="1138" w:type="dxa"/>
            <w:vMerge w:val="continue"/>
            <w:shd w:val="clear" w:color="auto" w:fill="FFFFFF"/>
            <w:vAlign w:val="center"/>
          </w:tcPr>
          <w:p w14:paraId="11B15117">
            <w:pPr>
              <w:spacing w:line="0" w:lineRule="atLeast"/>
              <w:jc w:val="center"/>
              <w:rPr>
                <w:rFonts w:hint="default" w:ascii="Times New Roman" w:hAnsi="Times New Roman" w:eastAsia="仿宋_GB2312" w:cs="Times New Roman"/>
                <w:color w:val="000000"/>
                <w:kern w:val="0"/>
                <w:sz w:val="18"/>
                <w:szCs w:val="18"/>
              </w:rPr>
            </w:pPr>
          </w:p>
        </w:tc>
        <w:tc>
          <w:tcPr>
            <w:tcW w:w="933" w:type="dxa"/>
            <w:shd w:val="clear" w:color="auto" w:fill="FFFFFF"/>
            <w:vAlign w:val="center"/>
          </w:tcPr>
          <w:p w14:paraId="162ECC3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31E104F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4F12461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5310B82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784E3D21">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5615E3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115029CA">
            <w:pPr>
              <w:spacing w:line="0" w:lineRule="atLeast"/>
              <w:jc w:val="center"/>
              <w:rPr>
                <w:rFonts w:hint="default" w:ascii="Times New Roman" w:hAnsi="Times New Roman" w:eastAsia="仿宋_GB2312" w:cs="Times New Roman"/>
                <w:color w:val="000000"/>
                <w:kern w:val="0"/>
                <w:sz w:val="18"/>
                <w:szCs w:val="18"/>
              </w:rPr>
            </w:pPr>
          </w:p>
        </w:tc>
        <w:tc>
          <w:tcPr>
            <w:tcW w:w="1138" w:type="dxa"/>
            <w:shd w:val="clear" w:color="auto" w:fill="FFFFFF"/>
            <w:vAlign w:val="center"/>
          </w:tcPr>
          <w:p w14:paraId="3A3ECE8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933" w:type="dxa"/>
            <w:shd w:val="clear" w:color="auto" w:fill="FFFFFF"/>
            <w:vAlign w:val="center"/>
          </w:tcPr>
          <w:p w14:paraId="62276DA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4373A91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776B823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77C5797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384FB83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42C29803">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1263A3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523492FF">
            <w:pPr>
              <w:spacing w:line="0" w:lineRule="atLeast"/>
              <w:jc w:val="center"/>
              <w:rPr>
                <w:rFonts w:hint="default" w:ascii="Times New Roman" w:hAnsi="Times New Roman" w:eastAsia="仿宋_GB2312" w:cs="Times New Roman"/>
                <w:color w:val="000000"/>
                <w:kern w:val="0"/>
                <w:sz w:val="18"/>
                <w:szCs w:val="18"/>
              </w:rPr>
            </w:pPr>
          </w:p>
        </w:tc>
        <w:tc>
          <w:tcPr>
            <w:tcW w:w="1138" w:type="dxa"/>
            <w:vMerge w:val="restart"/>
            <w:shd w:val="clear" w:color="auto" w:fill="FFFFFF"/>
            <w:vAlign w:val="center"/>
          </w:tcPr>
          <w:p w14:paraId="37E7A6E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7B808008">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933" w:type="dxa"/>
            <w:shd w:val="clear" w:color="auto" w:fill="FFFFFF"/>
            <w:vAlign w:val="center"/>
          </w:tcPr>
          <w:p w14:paraId="6A17F26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69BAC6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50AEA97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60CEFC1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76E4F27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46EA563F">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3C6DB0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2DFDEA2C">
            <w:pPr>
              <w:widowControl/>
              <w:spacing w:line="0" w:lineRule="atLeast"/>
              <w:jc w:val="center"/>
              <w:rPr>
                <w:rFonts w:hint="default" w:ascii="Times New Roman" w:hAnsi="Times New Roman" w:eastAsia="仿宋_GB2312" w:cs="Times New Roman"/>
                <w:color w:val="000000"/>
                <w:kern w:val="0"/>
                <w:sz w:val="18"/>
                <w:szCs w:val="18"/>
              </w:rPr>
            </w:pPr>
          </w:p>
        </w:tc>
        <w:tc>
          <w:tcPr>
            <w:tcW w:w="1138" w:type="dxa"/>
            <w:vMerge w:val="continue"/>
            <w:shd w:val="clear" w:color="auto" w:fill="FFFFFF"/>
            <w:vAlign w:val="center"/>
          </w:tcPr>
          <w:p w14:paraId="57779DA7">
            <w:pPr>
              <w:widowControl/>
              <w:spacing w:line="0" w:lineRule="atLeast"/>
              <w:jc w:val="center"/>
              <w:rPr>
                <w:rFonts w:hint="default" w:ascii="Times New Roman" w:hAnsi="Times New Roman" w:eastAsia="仿宋_GB2312" w:cs="Times New Roman"/>
                <w:color w:val="000000"/>
                <w:kern w:val="0"/>
                <w:sz w:val="18"/>
                <w:szCs w:val="18"/>
              </w:rPr>
            </w:pPr>
          </w:p>
        </w:tc>
        <w:tc>
          <w:tcPr>
            <w:tcW w:w="933" w:type="dxa"/>
            <w:shd w:val="clear" w:color="auto" w:fill="FFFFFF"/>
            <w:vAlign w:val="center"/>
          </w:tcPr>
          <w:p w14:paraId="49D9C0C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3A79045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684452C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57566D8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5D6AC6B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49B5A91D">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17C05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360259B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138" w:type="dxa"/>
            <w:shd w:val="clear" w:color="auto" w:fill="FFFFFF"/>
            <w:vAlign w:val="center"/>
          </w:tcPr>
          <w:p w14:paraId="685053F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933" w:type="dxa"/>
            <w:shd w:val="clear" w:color="auto" w:fill="FFFFFF"/>
            <w:vAlign w:val="center"/>
          </w:tcPr>
          <w:p w14:paraId="2A50565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4B48513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488DFA0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5797E50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632CDFD9">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7BC2DA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799DCE2C">
            <w:pPr>
              <w:widowControl/>
              <w:spacing w:line="0" w:lineRule="atLeast"/>
              <w:jc w:val="center"/>
              <w:rPr>
                <w:rFonts w:hint="default" w:ascii="Times New Roman" w:hAnsi="Times New Roman" w:eastAsia="仿宋_GB2312" w:cs="Times New Roman"/>
                <w:color w:val="000000"/>
                <w:kern w:val="0"/>
                <w:sz w:val="18"/>
                <w:szCs w:val="18"/>
              </w:rPr>
            </w:pPr>
          </w:p>
        </w:tc>
        <w:tc>
          <w:tcPr>
            <w:tcW w:w="1138" w:type="dxa"/>
            <w:shd w:val="clear" w:color="auto" w:fill="FFFFFF"/>
            <w:vAlign w:val="center"/>
          </w:tcPr>
          <w:p w14:paraId="19DC7E0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933" w:type="dxa"/>
            <w:shd w:val="clear" w:color="auto" w:fill="FFFFFF"/>
            <w:vAlign w:val="center"/>
          </w:tcPr>
          <w:p w14:paraId="7D90EEC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6CA5F7D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289B218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5D32892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5B8A3BC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5C3881ED">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61396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0C3640CD">
            <w:pPr>
              <w:spacing w:line="0" w:lineRule="atLeast"/>
              <w:jc w:val="center"/>
              <w:rPr>
                <w:rFonts w:hint="default" w:ascii="Times New Roman" w:hAnsi="Times New Roman" w:eastAsia="仿宋_GB2312" w:cs="Times New Roman"/>
                <w:color w:val="000000"/>
                <w:kern w:val="0"/>
                <w:sz w:val="18"/>
                <w:szCs w:val="18"/>
              </w:rPr>
            </w:pPr>
          </w:p>
        </w:tc>
        <w:tc>
          <w:tcPr>
            <w:tcW w:w="1138" w:type="dxa"/>
            <w:shd w:val="clear" w:color="auto" w:fill="FFFFFF"/>
            <w:vAlign w:val="center"/>
          </w:tcPr>
          <w:p w14:paraId="56EB64BA">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933" w:type="dxa"/>
            <w:shd w:val="clear" w:color="auto" w:fill="FFFFFF"/>
            <w:vAlign w:val="center"/>
          </w:tcPr>
          <w:p w14:paraId="6BBF639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4C4D73F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1E0EF6D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16A6ABE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7A9BA239">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3BD26C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775C0D3A">
            <w:pPr>
              <w:widowControl/>
              <w:spacing w:line="0" w:lineRule="atLeast"/>
              <w:jc w:val="center"/>
              <w:rPr>
                <w:rFonts w:hint="default" w:ascii="Times New Roman" w:hAnsi="Times New Roman" w:eastAsia="仿宋_GB2312" w:cs="Times New Roman"/>
                <w:color w:val="000000"/>
                <w:kern w:val="0"/>
                <w:sz w:val="18"/>
                <w:szCs w:val="18"/>
              </w:rPr>
            </w:pPr>
          </w:p>
        </w:tc>
        <w:tc>
          <w:tcPr>
            <w:tcW w:w="1138" w:type="dxa"/>
            <w:shd w:val="clear" w:color="auto" w:fill="FFFFFF"/>
            <w:vAlign w:val="center"/>
          </w:tcPr>
          <w:p w14:paraId="770A95B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产出成本</w:t>
            </w:r>
          </w:p>
        </w:tc>
        <w:tc>
          <w:tcPr>
            <w:tcW w:w="933" w:type="dxa"/>
            <w:shd w:val="clear" w:color="auto" w:fill="FFFFFF"/>
            <w:vAlign w:val="center"/>
          </w:tcPr>
          <w:p w14:paraId="119DA5E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5" w:type="dxa"/>
            <w:shd w:val="clear" w:color="000000" w:fill="FFFFFF"/>
            <w:vAlign w:val="center"/>
          </w:tcPr>
          <w:p w14:paraId="3D49F6E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4F97A0B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5AC820E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7058527D">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10CFD3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154AF59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138" w:type="dxa"/>
            <w:vMerge w:val="restart"/>
            <w:shd w:val="clear" w:color="auto" w:fill="FFFFFF"/>
            <w:vAlign w:val="center"/>
          </w:tcPr>
          <w:p w14:paraId="5951E56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933" w:type="dxa"/>
            <w:shd w:val="clear" w:color="auto" w:fill="FFFFFF"/>
            <w:vAlign w:val="center"/>
          </w:tcPr>
          <w:p w14:paraId="0B7C117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0BA146DE">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5914E9A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3DC45AE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14:paraId="54B88804">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52CFE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13F11E2B">
            <w:pPr>
              <w:widowControl/>
              <w:spacing w:line="0" w:lineRule="atLeast"/>
              <w:jc w:val="center"/>
              <w:rPr>
                <w:rFonts w:hint="default" w:ascii="Times New Roman" w:hAnsi="Times New Roman" w:eastAsia="仿宋_GB2312" w:cs="Times New Roman"/>
                <w:color w:val="000000"/>
                <w:kern w:val="0"/>
                <w:sz w:val="18"/>
                <w:szCs w:val="18"/>
              </w:rPr>
            </w:pPr>
          </w:p>
        </w:tc>
        <w:tc>
          <w:tcPr>
            <w:tcW w:w="1138" w:type="dxa"/>
            <w:vMerge w:val="continue"/>
            <w:shd w:val="clear" w:color="auto" w:fill="FFFFFF"/>
            <w:vAlign w:val="center"/>
          </w:tcPr>
          <w:p w14:paraId="18159CAF">
            <w:pPr>
              <w:widowControl/>
              <w:spacing w:line="0" w:lineRule="atLeast"/>
              <w:jc w:val="center"/>
              <w:rPr>
                <w:rFonts w:hint="default" w:ascii="Times New Roman" w:hAnsi="Times New Roman" w:eastAsia="仿宋_GB2312" w:cs="Times New Roman"/>
                <w:color w:val="000000"/>
                <w:kern w:val="0"/>
                <w:sz w:val="18"/>
                <w:szCs w:val="18"/>
              </w:rPr>
            </w:pPr>
          </w:p>
        </w:tc>
        <w:tc>
          <w:tcPr>
            <w:tcW w:w="933" w:type="dxa"/>
            <w:shd w:val="clear" w:color="auto" w:fill="FFFFFF"/>
            <w:vAlign w:val="center"/>
          </w:tcPr>
          <w:p w14:paraId="1D43EB8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4A6668F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14:paraId="7D1C9A5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226E743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45424923">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769809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3718E668">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5A8D882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65" w:type="dxa"/>
            <w:shd w:val="clear" w:color="000000" w:fill="FFFFFF"/>
            <w:vAlign w:val="center"/>
          </w:tcPr>
          <w:p w14:paraId="0D2F6EBC">
            <w:pPr>
              <w:widowControl/>
              <w:spacing w:line="0" w:lineRule="atLeast"/>
              <w:jc w:val="center"/>
              <w:rPr>
                <w:rFonts w:hint="default" w:ascii="Times New Roman" w:hAnsi="Times New Roman" w:eastAsia="仿宋_GB2312" w:cs="Times New Roman"/>
                <w:b/>
                <w:bCs/>
                <w:color w:val="000000"/>
                <w:kern w:val="0"/>
                <w:sz w:val="18"/>
                <w:szCs w:val="18"/>
                <w:highlight w:val="yellow"/>
                <w:lang w:val="en-US" w:eastAsia="zh-CN"/>
              </w:rPr>
            </w:pPr>
            <w:r>
              <w:rPr>
                <w:rFonts w:hint="eastAsia" w:eastAsia="仿宋_GB2312" w:cs="Times New Roman"/>
                <w:b/>
                <w:bCs/>
                <w:color w:val="000000"/>
                <w:kern w:val="0"/>
                <w:sz w:val="18"/>
                <w:szCs w:val="18"/>
                <w:highlight w:val="none"/>
                <w:lang w:val="en-US" w:eastAsia="zh-CN"/>
              </w:rPr>
              <w:t>100</w:t>
            </w:r>
          </w:p>
        </w:tc>
      </w:tr>
    </w:tbl>
    <w:p w14:paraId="75684C7A">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2A95BDD9">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05"/>
        <w:gridCol w:w="630"/>
        <w:gridCol w:w="1500"/>
        <w:gridCol w:w="1335"/>
        <w:gridCol w:w="870"/>
        <w:gridCol w:w="780"/>
        <w:gridCol w:w="885"/>
        <w:gridCol w:w="615"/>
        <w:gridCol w:w="705"/>
        <w:gridCol w:w="1080"/>
      </w:tblGrid>
      <w:tr w14:paraId="0ECCF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14:paraId="6B019D4B">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0233D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14:paraId="321391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40F9D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2B99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CB75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昌州财教（2021）73号关于提前下达2022年支出学前教育资金发展预算的通知</w:t>
            </w:r>
          </w:p>
        </w:tc>
      </w:tr>
      <w:tr w14:paraId="7BA47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5B01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E97B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奇台县古城乡中心幼儿园</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831A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A137F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奇台县古城乡中心幼儿园</w:t>
            </w:r>
          </w:p>
        </w:tc>
      </w:tr>
      <w:tr w14:paraId="32218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047C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6BCE5">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45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AE76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387F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2CD6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44E1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B62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328C2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9C5E7">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64E8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0E3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B46E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D77D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0B8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0EAA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0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14:paraId="06B4C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C08F0">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C73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D3B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3708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913F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905E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7105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93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01F46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0F78C">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3032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0A22">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9A8B3D">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EC863A">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FC04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880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11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0568C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16451">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B34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529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6415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4FE95C">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F743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258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424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2534F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6C20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31D8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6E360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565A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21FD1">
            <w:pPr>
              <w:jc w:val="center"/>
              <w:rPr>
                <w:rFonts w:hint="eastAsia" w:ascii="宋体" w:hAnsi="宋体" w:eastAsia="宋体" w:cs="宋体"/>
                <w:i w:val="0"/>
                <w:iCs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5BD0753A">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项目根据《昌州财教[2021]73号2022年支持学前教育发展资金使用计划的通知，拟投入投入120万元，用于保障幼儿园保教工作正常运行，更好地提升幼儿园整体办园水平，为孩子们提供更好的服务，让他们在幼儿园阶段得到全面发展。</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5DED458C">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此项目共扩建保教楼1374.09㎡，项目验收合格率100%，2022年9月1日计划开工，2024年6月30日完工。工程款实际支付73.8万元，劳务费实际支付46.2万元，有效提升教学质量，幼儿满意度≥95%。</w:t>
            </w:r>
          </w:p>
        </w:tc>
      </w:tr>
      <w:tr w14:paraId="41FB6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FEAB2F">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0277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2E24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EDC1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9BBB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C28F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D304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82A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86B9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72E14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9BE2E">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F750E">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03387">
            <w:pPr>
              <w:jc w:val="center"/>
              <w:rPr>
                <w:rFonts w:hint="eastAsia" w:ascii="宋体" w:hAnsi="宋体" w:eastAsia="宋体" w:cs="宋体"/>
                <w:i w:val="0"/>
                <w:iCs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123A6">
            <w:pPr>
              <w:jc w:val="center"/>
              <w:rPr>
                <w:rFonts w:hint="eastAsia" w:ascii="宋体" w:hAnsi="宋体" w:eastAsia="宋体" w:cs="宋体"/>
                <w:i w:val="0"/>
                <w:iCs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51B01">
            <w:pPr>
              <w:jc w:val="center"/>
              <w:rPr>
                <w:rFonts w:hint="eastAsia" w:ascii="宋体" w:hAnsi="宋体" w:eastAsia="宋体" w:cs="宋体"/>
                <w:i w:val="0"/>
                <w:iCs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250FB">
            <w:pPr>
              <w:jc w:val="center"/>
              <w:rPr>
                <w:rFonts w:hint="eastAsia" w:ascii="宋体" w:hAnsi="宋体" w:eastAsia="宋体" w:cs="宋体"/>
                <w:i w:val="0"/>
                <w:iCs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72021">
            <w:pPr>
              <w:jc w:val="center"/>
              <w:rPr>
                <w:rFonts w:hint="eastAsia" w:ascii="宋体" w:hAnsi="宋体" w:eastAsia="宋体" w:cs="宋体"/>
                <w:i w:val="0"/>
                <w:iCs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4FBD4">
            <w:pPr>
              <w:jc w:val="center"/>
              <w:rPr>
                <w:rFonts w:hint="eastAsia" w:ascii="宋体" w:hAnsi="宋体" w:eastAsia="宋体" w:cs="宋体"/>
                <w:i w:val="0"/>
                <w:iCs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670F3">
            <w:pPr>
              <w:jc w:val="center"/>
              <w:rPr>
                <w:rFonts w:hint="eastAsia" w:ascii="宋体" w:hAnsi="宋体" w:eastAsia="宋体" w:cs="宋体"/>
                <w:i w:val="0"/>
                <w:iCs w:val="0"/>
                <w:color w:val="000000"/>
                <w:sz w:val="20"/>
                <w:szCs w:val="20"/>
                <w:u w:val="none"/>
              </w:rPr>
            </w:pPr>
          </w:p>
        </w:tc>
      </w:tr>
      <w:tr w14:paraId="009F8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5DE7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311C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44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391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保教楼建筑面积</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715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&gt;=1374.09㎡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A8D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=1374.09㎡</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D340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7B0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7CF84F">
            <w:pPr>
              <w:jc w:val="center"/>
              <w:rPr>
                <w:rFonts w:hint="eastAsia" w:ascii="宋体" w:hAnsi="宋体" w:eastAsia="宋体" w:cs="宋体"/>
                <w:i w:val="0"/>
                <w:iCs w:val="0"/>
                <w:color w:val="000000"/>
                <w:sz w:val="20"/>
                <w:szCs w:val="20"/>
                <w:u w:val="none"/>
              </w:rPr>
            </w:pPr>
          </w:p>
        </w:tc>
      </w:tr>
      <w:tr w14:paraId="38331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5C107">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3A47B">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B64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1D4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项目验收合格率（%）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D86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29B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983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677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78A54">
            <w:pPr>
              <w:jc w:val="center"/>
              <w:rPr>
                <w:rFonts w:hint="eastAsia" w:ascii="宋体" w:hAnsi="宋体" w:eastAsia="宋体" w:cs="宋体"/>
                <w:i w:val="0"/>
                <w:iCs w:val="0"/>
                <w:color w:val="000000"/>
                <w:sz w:val="20"/>
                <w:szCs w:val="20"/>
                <w:u w:val="none"/>
              </w:rPr>
            </w:pPr>
          </w:p>
        </w:tc>
      </w:tr>
      <w:tr w14:paraId="0700A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01D76">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B6E6F">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EC2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697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项目按计划开工时间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16E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&gt;=2022年9月1日</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188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=2022年9月1日</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66A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733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BD1AB2">
            <w:pPr>
              <w:jc w:val="center"/>
              <w:rPr>
                <w:rFonts w:hint="eastAsia" w:ascii="宋体" w:hAnsi="宋体" w:eastAsia="宋体" w:cs="宋体"/>
                <w:i w:val="0"/>
                <w:iCs w:val="0"/>
                <w:color w:val="000000"/>
                <w:sz w:val="20"/>
                <w:szCs w:val="20"/>
                <w:u w:val="none"/>
              </w:rPr>
            </w:pPr>
          </w:p>
        </w:tc>
      </w:tr>
      <w:tr w14:paraId="27DAC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1AA8B">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A03BC">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B7C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16A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项目按计划完工时间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F51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&gt;=20</w:t>
            </w:r>
            <w:r>
              <w:rPr>
                <w:rFonts w:hint="eastAsia" w:ascii="宋体" w:hAnsi="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4年6月30日</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883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=2024年6月30日</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7F88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41C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7D014C">
            <w:pPr>
              <w:jc w:val="center"/>
              <w:rPr>
                <w:rFonts w:hint="eastAsia" w:ascii="宋体" w:hAnsi="宋体" w:eastAsia="宋体" w:cs="宋体"/>
                <w:i w:val="0"/>
                <w:iCs w:val="0"/>
                <w:color w:val="000000"/>
                <w:sz w:val="20"/>
                <w:szCs w:val="20"/>
                <w:u w:val="none"/>
              </w:rPr>
            </w:pPr>
          </w:p>
        </w:tc>
      </w:tr>
      <w:tr w14:paraId="63A14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269F3">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0FE2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BFD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0BA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工程款</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97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=73.8万元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46D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r>
              <w:rPr>
                <w:rFonts w:hint="eastAsia" w:ascii="宋体" w:hAnsi="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.8万元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1B1E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67D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104B7">
            <w:pPr>
              <w:jc w:val="center"/>
              <w:rPr>
                <w:rFonts w:hint="eastAsia" w:ascii="宋体" w:hAnsi="宋体" w:eastAsia="宋体" w:cs="宋体"/>
                <w:i w:val="0"/>
                <w:iCs w:val="0"/>
                <w:color w:val="000000"/>
                <w:sz w:val="20"/>
                <w:szCs w:val="20"/>
                <w:u w:val="none"/>
              </w:rPr>
            </w:pPr>
          </w:p>
        </w:tc>
      </w:tr>
      <w:tr w14:paraId="70809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E1D16">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4F925">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193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BFC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劳务费</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892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CC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=46.2万元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84DA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EC3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25D1DE">
            <w:pPr>
              <w:jc w:val="center"/>
              <w:rPr>
                <w:rFonts w:hint="eastAsia" w:ascii="宋体" w:hAnsi="宋体" w:eastAsia="宋体" w:cs="宋体"/>
                <w:i w:val="0"/>
                <w:iCs w:val="0"/>
                <w:color w:val="000000"/>
                <w:sz w:val="20"/>
                <w:szCs w:val="20"/>
                <w:u w:val="none"/>
              </w:rPr>
            </w:pPr>
          </w:p>
        </w:tc>
      </w:tr>
      <w:tr w14:paraId="348CA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95DD3">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F7244">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C98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415B4">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C6E89">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51226">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D369CB">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4884C6">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BD0889">
            <w:pPr>
              <w:jc w:val="center"/>
              <w:rPr>
                <w:rFonts w:hint="eastAsia" w:ascii="宋体" w:hAnsi="宋体" w:eastAsia="宋体" w:cs="宋体"/>
                <w:i w:val="0"/>
                <w:iCs w:val="0"/>
                <w:color w:val="000000"/>
                <w:sz w:val="20"/>
                <w:szCs w:val="20"/>
                <w:u w:val="none"/>
              </w:rPr>
            </w:pPr>
          </w:p>
        </w:tc>
      </w:tr>
      <w:tr w14:paraId="4A17B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6A2E2">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52B38">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C90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1B0F9">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74BCB">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236E4">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061E23">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49FA72">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E2EEAF">
            <w:pPr>
              <w:jc w:val="center"/>
              <w:rPr>
                <w:rFonts w:hint="eastAsia" w:ascii="宋体" w:hAnsi="宋体" w:eastAsia="宋体" w:cs="宋体"/>
                <w:i w:val="0"/>
                <w:iCs w:val="0"/>
                <w:color w:val="000000"/>
                <w:sz w:val="20"/>
                <w:szCs w:val="20"/>
                <w:u w:val="none"/>
              </w:rPr>
            </w:pPr>
          </w:p>
        </w:tc>
      </w:tr>
      <w:tr w14:paraId="2FEDE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8A7FF">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8B07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2F0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E5DF8">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033DB">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7EDC5">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2CB51D">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92BD6D">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831573">
            <w:pPr>
              <w:jc w:val="center"/>
              <w:rPr>
                <w:rFonts w:hint="eastAsia" w:ascii="宋体" w:hAnsi="宋体" w:eastAsia="宋体" w:cs="宋体"/>
                <w:i w:val="0"/>
                <w:iCs w:val="0"/>
                <w:color w:val="000000"/>
                <w:sz w:val="20"/>
                <w:szCs w:val="20"/>
                <w:u w:val="none"/>
              </w:rPr>
            </w:pPr>
          </w:p>
        </w:tc>
      </w:tr>
      <w:tr w14:paraId="1302F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867A3">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3E2CE">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44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DA2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提升教育教学质量</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A2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49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3B8F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172A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31C493">
            <w:pPr>
              <w:jc w:val="center"/>
              <w:rPr>
                <w:rFonts w:hint="eastAsia" w:ascii="宋体" w:hAnsi="宋体" w:eastAsia="宋体" w:cs="宋体"/>
                <w:i w:val="0"/>
                <w:iCs w:val="0"/>
                <w:color w:val="000000"/>
                <w:sz w:val="20"/>
                <w:szCs w:val="20"/>
                <w:u w:val="none"/>
              </w:rPr>
            </w:pPr>
          </w:p>
        </w:tc>
      </w:tr>
      <w:tr w14:paraId="1F789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40FD2">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5DA4D">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C8D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686B5">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14452">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02EA5">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3CB282">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6132A">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1A42D6">
            <w:pPr>
              <w:jc w:val="center"/>
              <w:rPr>
                <w:rFonts w:hint="eastAsia" w:ascii="宋体" w:hAnsi="宋体" w:eastAsia="宋体" w:cs="宋体"/>
                <w:i w:val="0"/>
                <w:iCs w:val="0"/>
                <w:color w:val="000000"/>
                <w:sz w:val="20"/>
                <w:szCs w:val="20"/>
                <w:u w:val="none"/>
              </w:rPr>
            </w:pPr>
          </w:p>
        </w:tc>
      </w:tr>
      <w:tr w14:paraId="08099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C2E7D">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029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E87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14E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309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A8F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CDC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DAD6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A07E8F">
            <w:pPr>
              <w:jc w:val="center"/>
              <w:rPr>
                <w:rFonts w:hint="eastAsia" w:ascii="宋体" w:hAnsi="宋体" w:eastAsia="宋体" w:cs="宋体"/>
                <w:i w:val="0"/>
                <w:iCs w:val="0"/>
                <w:color w:val="000000"/>
                <w:sz w:val="20"/>
                <w:szCs w:val="20"/>
                <w:u w:val="none"/>
              </w:rPr>
            </w:pPr>
          </w:p>
        </w:tc>
      </w:tr>
      <w:tr w14:paraId="604B0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7316C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F01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2517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B7D3BB">
            <w:pPr>
              <w:jc w:val="center"/>
              <w:rPr>
                <w:rFonts w:hint="eastAsia" w:ascii="宋体" w:hAnsi="宋体" w:eastAsia="宋体" w:cs="宋体"/>
                <w:i w:val="0"/>
                <w:iCs w:val="0"/>
                <w:color w:val="000000"/>
                <w:sz w:val="20"/>
                <w:szCs w:val="20"/>
                <w:u w:val="none"/>
              </w:rPr>
            </w:pPr>
          </w:p>
        </w:tc>
      </w:tr>
    </w:tbl>
    <w:p w14:paraId="348A1172">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18030">
    <w:altName w:val="仿宋"/>
    <w:panose1 w:val="02000000000000000000"/>
    <w:charset w:val="86"/>
    <w:family w:val="auto"/>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方正楷体_GB2312">
    <w:altName w:val="宋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2547480">
        <w:pPr>
          <w:pStyle w:val="8"/>
          <w:jc w:val="center"/>
        </w:pPr>
        <w:r>
          <w:fldChar w:fldCharType="begin"/>
        </w:r>
        <w:r>
          <w:instrText xml:space="preserve">PAGE   \* MERGEFORMAT</w:instrText>
        </w:r>
        <w:r>
          <w:fldChar w:fldCharType="separate"/>
        </w:r>
        <w:r>
          <w:rPr>
            <w:lang w:val="zh-CN"/>
          </w:rPr>
          <w:t>13</w:t>
        </w:r>
        <w:r>
          <w:fldChar w:fldCharType="end"/>
        </w:r>
      </w:p>
    </w:sdtContent>
  </w:sdt>
  <w:p w14:paraId="19D2C2D6">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32FEB"/>
    <w:multiLevelType w:val="singleLevel"/>
    <w:tmpl w:val="8ED32FEB"/>
    <w:lvl w:ilvl="0" w:tentative="0">
      <w:start w:val="1"/>
      <w:numFmt w:val="decimal"/>
      <w:lvlText w:val="%1."/>
      <w:lvlJc w:val="left"/>
      <w:pPr>
        <w:tabs>
          <w:tab w:val="left" w:pos="312"/>
        </w:tabs>
        <w:ind w:left="-10"/>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42032A09"/>
    <w:multiLevelType w:val="singleLevel"/>
    <w:tmpl w:val="42032A09"/>
    <w:lvl w:ilvl="0" w:tentative="0">
      <w:start w:val="2"/>
      <w:numFmt w:val="decimal"/>
      <w:lvlText w:val="%1."/>
      <w:lvlJc w:val="left"/>
      <w:pPr>
        <w:tabs>
          <w:tab w:val="left" w:pos="312"/>
        </w:tabs>
      </w:pPr>
    </w:lvl>
  </w:abstractNum>
  <w:abstractNum w:abstractNumId="6">
    <w:nsid w:val="6FAA0AB1"/>
    <w:multiLevelType w:val="singleLevel"/>
    <w:tmpl w:val="6FAA0AB1"/>
    <w:lvl w:ilvl="0" w:tentative="0">
      <w:start w:val="2"/>
      <w:numFmt w:val="chineseCounting"/>
      <w:suff w:val="nothing"/>
      <w:lvlText w:val="（%1）"/>
      <w:lvlJc w:val="left"/>
      <w:pPr>
        <w:ind w:left="197"/>
      </w:pPr>
      <w:rPr>
        <w:rFonts w:hint="eastAsia"/>
      </w:rPr>
    </w:lvl>
  </w:abstractNum>
  <w:num w:numId="1">
    <w:abstractNumId w:val="5"/>
  </w:num>
  <w:num w:numId="2">
    <w:abstractNumId w:val="1"/>
  </w:num>
  <w:num w:numId="3">
    <w:abstractNumId w:val="4"/>
  </w:num>
  <w:num w:numId="4">
    <w:abstractNumId w:val="3"/>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1A5591"/>
    <w:rsid w:val="07397B77"/>
    <w:rsid w:val="0AD007F3"/>
    <w:rsid w:val="0D082A6E"/>
    <w:rsid w:val="0DA46E74"/>
    <w:rsid w:val="0E3C619F"/>
    <w:rsid w:val="0F6273CA"/>
    <w:rsid w:val="100F38EC"/>
    <w:rsid w:val="11170296"/>
    <w:rsid w:val="12C66037"/>
    <w:rsid w:val="12CD1ABC"/>
    <w:rsid w:val="13471461"/>
    <w:rsid w:val="13B90F01"/>
    <w:rsid w:val="14A5213F"/>
    <w:rsid w:val="155E4C4D"/>
    <w:rsid w:val="172117C4"/>
    <w:rsid w:val="181066D2"/>
    <w:rsid w:val="18616F2E"/>
    <w:rsid w:val="1C671E73"/>
    <w:rsid w:val="1D322C47"/>
    <w:rsid w:val="22290DFD"/>
    <w:rsid w:val="22BB4ED3"/>
    <w:rsid w:val="22C407E5"/>
    <w:rsid w:val="23616034"/>
    <w:rsid w:val="23696C97"/>
    <w:rsid w:val="236E064F"/>
    <w:rsid w:val="24480FA2"/>
    <w:rsid w:val="25227A45"/>
    <w:rsid w:val="26AC3A6A"/>
    <w:rsid w:val="2B9D7E25"/>
    <w:rsid w:val="2C7C7A3B"/>
    <w:rsid w:val="2CA90A4C"/>
    <w:rsid w:val="2DDE0008"/>
    <w:rsid w:val="2F364819"/>
    <w:rsid w:val="2FD63906"/>
    <w:rsid w:val="35860E7E"/>
    <w:rsid w:val="37215DAE"/>
    <w:rsid w:val="38CA40DD"/>
    <w:rsid w:val="395F2B56"/>
    <w:rsid w:val="3B1136F4"/>
    <w:rsid w:val="3B482032"/>
    <w:rsid w:val="3BBA0580"/>
    <w:rsid w:val="3BECE841"/>
    <w:rsid w:val="3CDE204C"/>
    <w:rsid w:val="3D363C36"/>
    <w:rsid w:val="3E9C3F6D"/>
    <w:rsid w:val="3FF7797D"/>
    <w:rsid w:val="42F16CBA"/>
    <w:rsid w:val="46690BD8"/>
    <w:rsid w:val="473E02B7"/>
    <w:rsid w:val="49F70BF1"/>
    <w:rsid w:val="4B4340EE"/>
    <w:rsid w:val="4C9244B8"/>
    <w:rsid w:val="503D507A"/>
    <w:rsid w:val="51FA74D0"/>
    <w:rsid w:val="52AA4A52"/>
    <w:rsid w:val="539D3AD1"/>
    <w:rsid w:val="59943D66"/>
    <w:rsid w:val="59E051FD"/>
    <w:rsid w:val="59E6355E"/>
    <w:rsid w:val="5B821531"/>
    <w:rsid w:val="5BB22BCA"/>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9B7365C"/>
    <w:rsid w:val="6AAB035B"/>
    <w:rsid w:val="6B3158B9"/>
    <w:rsid w:val="6BA02A3F"/>
    <w:rsid w:val="6C105349"/>
    <w:rsid w:val="6C1E5A53"/>
    <w:rsid w:val="6F5C41AC"/>
    <w:rsid w:val="6FAF6C78"/>
    <w:rsid w:val="70484B6E"/>
    <w:rsid w:val="716167CC"/>
    <w:rsid w:val="718A7AD1"/>
    <w:rsid w:val="728B3C36"/>
    <w:rsid w:val="72A44BC2"/>
    <w:rsid w:val="7317C656"/>
    <w:rsid w:val="734ED73F"/>
    <w:rsid w:val="73983F6E"/>
    <w:rsid w:val="73C82B32"/>
    <w:rsid w:val="73F94DAE"/>
    <w:rsid w:val="74220495"/>
    <w:rsid w:val="747D1B6F"/>
    <w:rsid w:val="749E5641"/>
    <w:rsid w:val="75BC76DE"/>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160</Words>
  <Characters>182</Characters>
  <Lines>58</Lines>
  <Paragraphs>16</Paragraphs>
  <TotalTime>10</TotalTime>
  <ScaleCrop>false</ScaleCrop>
  <LinksUpToDate>false</LinksUpToDate>
  <CharactersWithSpaces>182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cp:lastPrinted>2025-05-08T02:25:00Z</cp:lastPrinted>
  <dcterms:modified xsi:type="dcterms:W3CDTF">2025-05-12T09:32:27Z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3782A24A2AF54D1283CBD954FD95276F_13</vt:lpwstr>
  </property>
  <property fmtid="{D5CDD505-2E9C-101B-9397-08002B2CF9AE}" pid="4" name="KSOTemplateDocerSaveRecord">
    <vt:lpwstr>eyJoZGlkIjoiZGU2OWVkNjVhNTc2NTNjNjZhOGJlZWQ2NTc3Njc5NGQiLCJ1c2VySWQiOiIzODQzMzMyOTcifQ==</vt:lpwstr>
  </property>
</Properties>
</file>