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F472B" w14:textId="77777777" w:rsidR="007A173C" w:rsidRDefault="007A173C">
      <w:pPr>
        <w:spacing w:after="0" w:line="240" w:lineRule="auto"/>
        <w:rPr>
          <w:rFonts w:ascii="宋体" w:eastAsia="宋体"/>
          <w:sz w:val="32"/>
          <w:szCs w:val="32"/>
        </w:rPr>
      </w:pPr>
    </w:p>
    <w:p w14:paraId="0179FCFD" w14:textId="77777777" w:rsidR="007A173C" w:rsidRDefault="007A173C">
      <w:pPr>
        <w:spacing w:after="0" w:line="240" w:lineRule="auto"/>
        <w:rPr>
          <w:rFonts w:ascii="宋体" w:eastAsia="宋体"/>
          <w:sz w:val="44"/>
          <w:szCs w:val="44"/>
        </w:rPr>
      </w:pPr>
    </w:p>
    <w:p w14:paraId="3FEB2A83" w14:textId="77777777" w:rsidR="007A173C" w:rsidRDefault="007A173C">
      <w:pPr>
        <w:spacing w:after="0" w:line="240" w:lineRule="auto"/>
        <w:rPr>
          <w:rFonts w:ascii="宋体" w:eastAsia="宋体"/>
          <w:sz w:val="44"/>
          <w:szCs w:val="44"/>
        </w:rPr>
      </w:pPr>
    </w:p>
    <w:p w14:paraId="3BCAAAB3" w14:textId="77777777" w:rsidR="007A173C" w:rsidRDefault="007A173C">
      <w:pPr>
        <w:spacing w:after="0" w:line="240" w:lineRule="auto"/>
        <w:rPr>
          <w:rFonts w:ascii="宋体" w:eastAsia="宋体"/>
          <w:sz w:val="44"/>
          <w:szCs w:val="44"/>
        </w:rPr>
      </w:pPr>
    </w:p>
    <w:p w14:paraId="6903626D" w14:textId="77777777" w:rsidR="007A173C"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奇台县卫生计生综合监督执法局</w:t>
      </w:r>
    </w:p>
    <w:p w14:paraId="41E3E1CA" w14:textId="77777777" w:rsidR="007A173C"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E59D554" w14:textId="77777777" w:rsidR="007A173C" w:rsidRDefault="00000000">
      <w:pPr>
        <w:rPr>
          <w:lang w:eastAsia="zh-CN"/>
        </w:rPr>
      </w:pPr>
      <w:r>
        <w:rPr>
          <w:sz w:val="0"/>
          <w:szCs w:val="0"/>
          <w:lang w:eastAsia="zh-CN"/>
        </w:rPr>
        <w:br w:type="page"/>
      </w:r>
    </w:p>
    <w:p w14:paraId="3759D447" w14:textId="77777777" w:rsidR="007A173C"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C317CB1" w14:textId="77777777" w:rsidR="007A173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1893E0F"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91EA248"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5744A661" w14:textId="77777777" w:rsidR="007A173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FAFCB99"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622B029"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BCCC6DF"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9F638C6"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5ECBCA6"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60E1967"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5F149E1"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4ABFED4"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55BC670"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CD86BBC"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5A9FC37"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53D998F"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738B2AE"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452B8BBC"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29C92ED"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BBD4997"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7BD083C"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9F1D297"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D28E12B" w14:textId="77777777" w:rsidR="007A173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4530132" w14:textId="77777777" w:rsidR="007A173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F619515"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DA13020"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BC0323C"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7541650"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FE8F831"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78656D3"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7BDD390"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286A1F45"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A3E5962" w14:textId="77777777" w:rsidR="007A173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4F7CABD" w14:textId="77777777" w:rsidR="007A173C" w:rsidRDefault="00000000">
      <w:pPr>
        <w:rPr>
          <w:lang w:eastAsia="zh-CN"/>
        </w:rPr>
      </w:pPr>
      <w:r>
        <w:rPr>
          <w:sz w:val="0"/>
          <w:szCs w:val="0"/>
          <w:lang w:eastAsia="zh-CN"/>
        </w:rPr>
        <w:br w:type="page"/>
      </w:r>
    </w:p>
    <w:p w14:paraId="012968BD" w14:textId="77777777" w:rsidR="007A173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2CA3D75B"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2489767C"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1.负责监督检查卫生健康法律法规的落实情况，承担行政区域内的卫生健康专项整治和日常监督检查。</w:t>
      </w:r>
    </w:p>
    <w:p w14:paraId="48932968"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2.开展公共场所卫生、生活饮用水卫生、学校卫生及餐饮具消毒配送中心的监督检查，查处违法行为。</w:t>
      </w:r>
    </w:p>
    <w:p w14:paraId="50A85F5F"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3.负责医疗机构、采供血机构及其从业人员的执业活动、疾病预防控制机构的预防接种的监督检查，整顿和规范医疗服务秩序，打击非法行医，负责传染病疫情报告、</w:t>
      </w:r>
      <w:r>
        <w:rPr>
          <w:rFonts w:ascii="仿宋_GB2312" w:eastAsia="仿宋_GB2312" w:hint="eastAsia"/>
          <w:sz w:val="32"/>
          <w:szCs w:val="32"/>
          <w:lang w:eastAsia="zh-CN"/>
        </w:rPr>
        <w:t>疾病</w:t>
      </w:r>
      <w:r>
        <w:rPr>
          <w:rFonts w:ascii="仿宋_GB2312" w:eastAsia="仿宋_GB2312"/>
          <w:sz w:val="32"/>
          <w:szCs w:val="32"/>
          <w:lang w:eastAsia="zh-CN"/>
        </w:rPr>
        <w:t>控制措施、消毒隔离制度执行情况、病原微生物实验室生物安全等监督检查。</w:t>
      </w:r>
    </w:p>
    <w:p w14:paraId="665FA6E9"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4.开展职业卫生监督检查，并对职业健康检查工作、医疗机构的放射诊疗工作进行监督检查，查处违法行为。</w:t>
      </w:r>
    </w:p>
    <w:p w14:paraId="7E932BF5"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5．开展母婴保健机构服务内容和从业行为规范的监督检查，依法打击</w:t>
      </w:r>
      <w:r>
        <w:rPr>
          <w:rFonts w:ascii="仿宋_GB2312" w:eastAsia="仿宋_GB2312"/>
          <w:sz w:val="32"/>
          <w:szCs w:val="32"/>
          <w:lang w:eastAsia="zh-CN"/>
        </w:rPr>
        <w:t>“</w:t>
      </w:r>
      <w:r>
        <w:rPr>
          <w:rFonts w:ascii="仿宋_GB2312" w:eastAsia="仿宋_GB2312"/>
          <w:sz w:val="32"/>
          <w:szCs w:val="32"/>
          <w:lang w:eastAsia="zh-CN"/>
        </w:rPr>
        <w:t>两非</w:t>
      </w:r>
      <w:r>
        <w:rPr>
          <w:rFonts w:ascii="仿宋_GB2312" w:eastAsia="仿宋_GB2312"/>
          <w:sz w:val="32"/>
          <w:szCs w:val="32"/>
          <w:lang w:eastAsia="zh-CN"/>
        </w:rPr>
        <w:t>”</w:t>
      </w:r>
      <w:r>
        <w:rPr>
          <w:rFonts w:ascii="仿宋_GB2312" w:eastAsia="仿宋_GB2312"/>
          <w:sz w:val="32"/>
          <w:szCs w:val="32"/>
          <w:lang w:eastAsia="zh-CN"/>
        </w:rPr>
        <w:t>行为。</w:t>
      </w:r>
    </w:p>
    <w:p w14:paraId="6F0A44BF"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6.负责各乡镇卫生监督协管员的培训和业务指导。</w:t>
      </w:r>
    </w:p>
    <w:p w14:paraId="77FC3F35"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7.承担辖区内卫生</w:t>
      </w:r>
      <w:proofErr w:type="gramStart"/>
      <w:r>
        <w:rPr>
          <w:rFonts w:ascii="仿宋_GB2312" w:eastAsia="仿宋_GB2312"/>
          <w:sz w:val="32"/>
          <w:szCs w:val="32"/>
          <w:lang w:eastAsia="zh-CN"/>
        </w:rPr>
        <w:t>健康监督</w:t>
      </w:r>
      <w:proofErr w:type="gramEnd"/>
      <w:r>
        <w:rPr>
          <w:rFonts w:ascii="仿宋_GB2312" w:eastAsia="仿宋_GB2312"/>
          <w:sz w:val="32"/>
          <w:szCs w:val="32"/>
          <w:lang w:eastAsia="zh-CN"/>
        </w:rPr>
        <w:t>信息的收集、核实和上报，受理卫生健康违法行为的投诉、举报并进行调查处理。</w:t>
      </w:r>
    </w:p>
    <w:p w14:paraId="2311BCC8"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8.完成奇台县卫生健康委员会交办的其他任务。</w:t>
      </w:r>
    </w:p>
    <w:p w14:paraId="7A84071D"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611E829" w14:textId="101DD0B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奇台县卫生计生综合监督执法局2024年度，实有人数14人，其中：在职人员7人，减少2人；离休人员0人，较上年无变化；退休人员7人，较上年无变化</w:t>
      </w:r>
      <w:r w:rsidR="00333D25">
        <w:rPr>
          <w:rFonts w:ascii="仿宋_GB2312" w:eastAsia="仿宋_GB2312" w:hint="eastAsia"/>
          <w:sz w:val="32"/>
          <w:szCs w:val="32"/>
          <w:lang w:eastAsia="zh-CN"/>
        </w:rPr>
        <w:t>。</w:t>
      </w:r>
    </w:p>
    <w:p w14:paraId="680433D9" w14:textId="78F0D41A"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奇台县卫生计生综合监督</w:t>
      </w:r>
      <w:proofErr w:type="gramStart"/>
      <w:r>
        <w:rPr>
          <w:rFonts w:ascii="仿宋_GB2312" w:eastAsia="仿宋_GB2312"/>
          <w:sz w:val="32"/>
          <w:szCs w:val="32"/>
          <w:lang w:eastAsia="zh-CN"/>
        </w:rPr>
        <w:t>执法局无下属</w:t>
      </w:r>
      <w:proofErr w:type="gramEnd"/>
      <w:r>
        <w:rPr>
          <w:rFonts w:ascii="仿宋_GB2312" w:eastAsia="仿宋_GB2312"/>
          <w:sz w:val="32"/>
          <w:szCs w:val="32"/>
          <w:lang w:eastAsia="zh-CN"/>
        </w:rPr>
        <w:t>预算单位，下设2个</w:t>
      </w:r>
      <w:r w:rsidR="00333D25">
        <w:rPr>
          <w:rFonts w:ascii="仿宋_GB2312" w:eastAsia="仿宋_GB2312" w:hint="eastAsia"/>
          <w:sz w:val="32"/>
          <w:szCs w:val="32"/>
          <w:lang w:eastAsia="zh-CN"/>
        </w:rPr>
        <w:t>科室</w:t>
      </w:r>
      <w:r>
        <w:rPr>
          <w:rFonts w:ascii="仿宋_GB2312" w:eastAsia="仿宋_GB2312"/>
          <w:sz w:val="32"/>
          <w:szCs w:val="32"/>
          <w:lang w:eastAsia="zh-CN"/>
        </w:rPr>
        <w:t>，分别是：执法室、监督室。</w:t>
      </w:r>
    </w:p>
    <w:p w14:paraId="04460C90" w14:textId="77777777" w:rsidR="007A173C" w:rsidRDefault="00000000">
      <w:pPr>
        <w:rPr>
          <w:lang w:eastAsia="zh-CN"/>
        </w:rPr>
      </w:pPr>
      <w:r>
        <w:rPr>
          <w:sz w:val="0"/>
          <w:szCs w:val="0"/>
          <w:lang w:eastAsia="zh-CN"/>
        </w:rPr>
        <w:br w:type="page"/>
      </w:r>
    </w:p>
    <w:p w14:paraId="0E5CA60A" w14:textId="77777777" w:rsidR="007A173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35A8A2E"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373B133"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2024年度收入总计150.81万元，其中：本年收入合计149.47万元，使用非财政拨款结余（含专用结余）0.00万元，年初结转和结余1.33万元。</w:t>
      </w:r>
    </w:p>
    <w:p w14:paraId="5861A4A1"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2024年度支出总计150.81万元，其中：本年支出合计149.67万元，结余分配0.00万元，年末结转和结余1.14万元。</w:t>
      </w:r>
    </w:p>
    <w:p w14:paraId="34F589AF" w14:textId="4A05D2B8"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收入支出总体与上年相比，增加26.18万元，增长21.01%，主要原因是：人员工资</w:t>
      </w:r>
      <w:r>
        <w:rPr>
          <w:rFonts w:ascii="仿宋_GB2312" w:eastAsia="仿宋_GB2312" w:hint="eastAsia"/>
          <w:sz w:val="32"/>
          <w:szCs w:val="32"/>
          <w:lang w:eastAsia="zh-CN"/>
        </w:rPr>
        <w:t>调增，</w:t>
      </w:r>
      <w:r w:rsidR="00400C9D">
        <w:rPr>
          <w:rFonts w:ascii="仿宋_GB2312" w:eastAsia="仿宋_GB2312" w:hint="eastAsia"/>
          <w:sz w:val="32"/>
          <w:szCs w:val="32"/>
          <w:lang w:eastAsia="zh-CN"/>
        </w:rPr>
        <w:t>工资、津补贴等</w:t>
      </w:r>
      <w:r>
        <w:rPr>
          <w:rFonts w:ascii="仿宋_GB2312" w:eastAsia="仿宋_GB2312" w:hint="eastAsia"/>
          <w:sz w:val="32"/>
          <w:szCs w:val="32"/>
          <w:lang w:eastAsia="zh-CN"/>
        </w:rPr>
        <w:t>人员经费较上年增加</w:t>
      </w:r>
      <w:r>
        <w:rPr>
          <w:rFonts w:ascii="仿宋_GB2312" w:eastAsia="仿宋_GB2312"/>
          <w:sz w:val="32"/>
          <w:szCs w:val="32"/>
          <w:lang w:eastAsia="zh-CN"/>
        </w:rPr>
        <w:t>。</w:t>
      </w:r>
    </w:p>
    <w:p w14:paraId="4AAFC635"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453AB9B"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本年收入149.47万元，其中：财政拨款收入149.47万元,占100.00%；上级补助收入0.00万元,占0.00%；事业收入0.00万元，占0.00%；经营收入0.00万元,占0.00%；附属单位上缴收入0.00万元，占0.00%；其他收入0.01万元，占0.01%。</w:t>
      </w:r>
    </w:p>
    <w:p w14:paraId="28EB36AC"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629D2465"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本年支出149.67万元，其中：基本支出148.27万元，占99.06%；项目支出1.40万元，占0.94%；上缴上级支出0.00万元，占0.00%；经营支出0.00万元，占0.00%；对附属单位补助支出0.00万元，占0.00%。</w:t>
      </w:r>
    </w:p>
    <w:p w14:paraId="418A3492"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E0FA4DF"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2024年度财政拨款收入总计149.64万元，其中：年初财政拨款结转和结余0.18万元，本年财政拨款收入149.47万元。财政拨款支出总计149.64万元，其中：年末财政拨款结转和结余0.00万元，本年财政拨款支出149.64万元。</w:t>
      </w:r>
    </w:p>
    <w:p w14:paraId="6934E510" w14:textId="12AADB8A"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财政拨款收入支出总体与上年相比，增加25.02万元，增长20.08%，主要原因是：人员工资</w:t>
      </w:r>
      <w:r>
        <w:rPr>
          <w:rFonts w:ascii="仿宋_GB2312" w:eastAsia="仿宋_GB2312" w:hint="eastAsia"/>
          <w:sz w:val="32"/>
          <w:szCs w:val="32"/>
          <w:lang w:eastAsia="zh-CN"/>
        </w:rPr>
        <w:t>调增，人员经费较上年增加</w:t>
      </w:r>
      <w:r>
        <w:rPr>
          <w:rFonts w:ascii="仿宋_GB2312" w:eastAsia="仿宋_GB2312"/>
          <w:sz w:val="32"/>
          <w:szCs w:val="32"/>
          <w:lang w:eastAsia="zh-CN"/>
        </w:rPr>
        <w:t>。与年初预算相比，年初预算数163.37万元，决算数</w:t>
      </w:r>
      <w:r>
        <w:rPr>
          <w:rFonts w:ascii="仿宋_GB2312" w:eastAsia="仿宋_GB2312"/>
          <w:sz w:val="32"/>
          <w:szCs w:val="32"/>
          <w:lang w:eastAsia="zh-CN"/>
        </w:rPr>
        <w:lastRenderedPageBreak/>
        <w:t>149.64万元，预决算差异率-8.40%，主要原因是：</w:t>
      </w:r>
      <w:r>
        <w:rPr>
          <w:rFonts w:ascii="仿宋_GB2312" w:eastAsia="仿宋_GB2312" w:hint="eastAsia"/>
          <w:sz w:val="32"/>
          <w:szCs w:val="32"/>
          <w:lang w:eastAsia="zh-CN"/>
        </w:rPr>
        <w:t>本年年中调整</w:t>
      </w:r>
      <w:r>
        <w:rPr>
          <w:rFonts w:ascii="仿宋_GB2312" w:eastAsia="仿宋_GB2312"/>
          <w:sz w:val="32"/>
          <w:szCs w:val="32"/>
          <w:lang w:eastAsia="zh-CN"/>
        </w:rPr>
        <w:t>卫生计生执法经费</w:t>
      </w:r>
      <w:r>
        <w:rPr>
          <w:rFonts w:ascii="仿宋_GB2312" w:eastAsia="仿宋_GB2312" w:hint="eastAsia"/>
          <w:sz w:val="32"/>
          <w:szCs w:val="32"/>
          <w:lang w:eastAsia="zh-CN"/>
        </w:rPr>
        <w:t>，卫生计生执法经费</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w:t>
      </w:r>
      <w:r>
        <w:rPr>
          <w:rFonts w:ascii="仿宋_GB2312" w:eastAsia="仿宋_GB2312"/>
          <w:sz w:val="32"/>
          <w:szCs w:val="32"/>
          <w:lang w:eastAsia="zh-CN"/>
        </w:rPr>
        <w:t>。</w:t>
      </w:r>
    </w:p>
    <w:p w14:paraId="2D447FF0"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7ECEDF5" w14:textId="77777777" w:rsidR="007A173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1771ACB1" w14:textId="1EF4BA84"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2024年度一般公共预算财政拨款支出149.64万元，占本年支出合计的99.98%。与上年相比，增加25.20万元，增长20.25%，主要原因是：人员工资</w:t>
      </w:r>
      <w:r>
        <w:rPr>
          <w:rFonts w:ascii="仿宋_GB2312" w:eastAsia="仿宋_GB2312" w:hint="eastAsia"/>
          <w:sz w:val="32"/>
          <w:szCs w:val="32"/>
          <w:lang w:eastAsia="zh-CN"/>
        </w:rPr>
        <w:t>调增，</w:t>
      </w:r>
      <w:r w:rsidR="00B66565">
        <w:rPr>
          <w:rFonts w:ascii="仿宋_GB2312" w:eastAsia="仿宋_GB2312" w:hint="eastAsia"/>
          <w:sz w:val="32"/>
          <w:szCs w:val="32"/>
          <w:lang w:eastAsia="zh-CN"/>
        </w:rPr>
        <w:t>工资、津补贴等人员经费较上年增加</w:t>
      </w:r>
      <w:r>
        <w:rPr>
          <w:rFonts w:ascii="仿宋_GB2312" w:eastAsia="仿宋_GB2312" w:hint="eastAsia"/>
          <w:sz w:val="32"/>
          <w:szCs w:val="32"/>
          <w:lang w:eastAsia="zh-CN"/>
        </w:rPr>
        <w:t>。</w:t>
      </w:r>
      <w:r>
        <w:rPr>
          <w:rFonts w:ascii="仿宋_GB2312" w:eastAsia="仿宋_GB2312"/>
          <w:sz w:val="32"/>
          <w:szCs w:val="32"/>
          <w:lang w:eastAsia="zh-CN"/>
        </w:rPr>
        <w:t>与年初预算相比，年初预算数163.37万元，决算数149.64万元，预决算差异率-8.40%，主要原因是：</w:t>
      </w:r>
      <w:r>
        <w:rPr>
          <w:rFonts w:ascii="仿宋_GB2312" w:eastAsia="仿宋_GB2312" w:hint="eastAsia"/>
          <w:sz w:val="32"/>
          <w:szCs w:val="32"/>
          <w:lang w:eastAsia="zh-CN"/>
        </w:rPr>
        <w:t>本年年中调整</w:t>
      </w:r>
      <w:r>
        <w:rPr>
          <w:rFonts w:ascii="仿宋_GB2312" w:eastAsia="仿宋_GB2312"/>
          <w:sz w:val="32"/>
          <w:szCs w:val="32"/>
          <w:lang w:eastAsia="zh-CN"/>
        </w:rPr>
        <w:t>卫生计生执法经费</w:t>
      </w:r>
      <w:r>
        <w:rPr>
          <w:rFonts w:ascii="仿宋_GB2312" w:eastAsia="仿宋_GB2312" w:hint="eastAsia"/>
          <w:sz w:val="32"/>
          <w:szCs w:val="32"/>
          <w:lang w:eastAsia="zh-CN"/>
        </w:rPr>
        <w:t>，卫生计生执法经费</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w:t>
      </w:r>
      <w:r>
        <w:rPr>
          <w:rFonts w:ascii="仿宋_GB2312" w:eastAsia="仿宋_GB2312"/>
          <w:sz w:val="32"/>
          <w:szCs w:val="32"/>
          <w:lang w:eastAsia="zh-CN"/>
        </w:rPr>
        <w:t>。</w:t>
      </w:r>
    </w:p>
    <w:p w14:paraId="7EFAD039" w14:textId="77777777" w:rsidR="007A173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713174F"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社会保障和就业支出（类）28.17万元，占18.83%。</w:t>
      </w:r>
    </w:p>
    <w:p w14:paraId="3272349A"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卫生健康支出（类）111.24万元，占74.34%。</w:t>
      </w:r>
    </w:p>
    <w:p w14:paraId="6258B802"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住房保障支出（类）10.23万元，占6.84%。</w:t>
      </w:r>
    </w:p>
    <w:p w14:paraId="00980A2F" w14:textId="77777777" w:rsidR="007A173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63CB5E4D" w14:textId="6A23E090"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1、社会保障和就业支出（类）行政事业单位养老支出（款）行政单位离退休（项）：支出决算数为4.97万元，比上年决算增加0.96万元，增长23.94%，主要原因是：</w:t>
      </w:r>
      <w:r>
        <w:rPr>
          <w:rFonts w:ascii="仿宋_GB2312" w:eastAsia="仿宋_GB2312" w:hint="eastAsia"/>
          <w:sz w:val="32"/>
          <w:szCs w:val="32"/>
          <w:lang w:eastAsia="zh-CN"/>
        </w:rPr>
        <w:t>本年我单位</w:t>
      </w:r>
      <w:r>
        <w:rPr>
          <w:rFonts w:ascii="仿宋_GB2312" w:eastAsia="仿宋_GB2312"/>
          <w:sz w:val="32"/>
          <w:szCs w:val="32"/>
          <w:lang w:eastAsia="zh-CN"/>
        </w:rPr>
        <w:t>退休人员的绩效</w:t>
      </w:r>
      <w:r w:rsidR="00333D25">
        <w:rPr>
          <w:rFonts w:ascii="仿宋_GB2312" w:eastAsia="仿宋_GB2312" w:hint="eastAsia"/>
          <w:sz w:val="32"/>
          <w:szCs w:val="32"/>
          <w:lang w:eastAsia="zh-CN"/>
        </w:rPr>
        <w:t>奖金</w:t>
      </w:r>
      <w:r>
        <w:rPr>
          <w:rFonts w:ascii="仿宋_GB2312" w:eastAsia="仿宋_GB2312"/>
          <w:sz w:val="32"/>
          <w:szCs w:val="32"/>
          <w:lang w:eastAsia="zh-CN"/>
        </w:rPr>
        <w:t>增加</w:t>
      </w:r>
      <w:r>
        <w:rPr>
          <w:rFonts w:ascii="仿宋_GB2312" w:eastAsia="仿宋_GB2312" w:hint="eastAsia"/>
          <w:sz w:val="32"/>
          <w:szCs w:val="32"/>
          <w:lang w:eastAsia="zh-CN"/>
        </w:rPr>
        <w:t>，退休费较上年增加。</w:t>
      </w:r>
    </w:p>
    <w:p w14:paraId="0BED96C7"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2、社会保障和就业支出（类）行政事业单位养老支出（款）机关事业单位基本养老保险缴费支出（项）：支出决算数为12.73万元，比上年决算增加1.53万元，增长13.66%，主要原因是：</w:t>
      </w:r>
      <w:r>
        <w:rPr>
          <w:rFonts w:ascii="仿宋_GB2312" w:eastAsia="仿宋_GB2312" w:hint="eastAsia"/>
          <w:sz w:val="32"/>
          <w:szCs w:val="32"/>
          <w:lang w:eastAsia="zh-CN"/>
        </w:rPr>
        <w:t>社保基数调增，单位基本养老保险缴费</w:t>
      </w:r>
      <w:r>
        <w:rPr>
          <w:rFonts w:ascii="仿宋_GB2312" w:eastAsia="仿宋_GB2312"/>
          <w:sz w:val="32"/>
          <w:szCs w:val="32"/>
          <w:lang w:eastAsia="zh-CN"/>
        </w:rPr>
        <w:t>增加</w:t>
      </w:r>
      <w:r>
        <w:rPr>
          <w:rFonts w:ascii="仿宋_GB2312" w:eastAsia="仿宋_GB2312" w:hint="eastAsia"/>
          <w:sz w:val="32"/>
          <w:szCs w:val="32"/>
          <w:lang w:eastAsia="zh-CN"/>
        </w:rPr>
        <w:t>。</w:t>
      </w:r>
    </w:p>
    <w:p w14:paraId="34BE1753"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3、社会保障和就业支出（类）行政事业单位养老支出（款）机关事业单位职业年金缴费支出（项）：支出决算数为10.48万元，比上年决算增加10.48万元，增长100.00%，主要原因是：</w:t>
      </w:r>
      <w:r>
        <w:rPr>
          <w:rFonts w:ascii="仿宋_GB2312" w:eastAsia="仿宋_GB2312" w:hint="eastAsia"/>
          <w:sz w:val="32"/>
          <w:szCs w:val="32"/>
          <w:lang w:eastAsia="zh-CN"/>
        </w:rPr>
        <w:t>2023年职业年金单位部分未做实缴纳，2024年列入预算并缴纳一次性职业年金，导致此经费增加。</w:t>
      </w:r>
    </w:p>
    <w:p w14:paraId="7B91AC7B"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4、卫生健康支出（类）公共卫生（款）卫生监督机构（项）：支出决算数为101.03万元，比上年决算增加8.86万</w:t>
      </w:r>
      <w:r>
        <w:rPr>
          <w:rFonts w:ascii="仿宋_GB2312" w:eastAsia="仿宋_GB2312"/>
          <w:sz w:val="32"/>
          <w:szCs w:val="32"/>
          <w:lang w:eastAsia="zh-CN"/>
        </w:rPr>
        <w:lastRenderedPageBreak/>
        <w:t>元，增长9.61%，主要原因是：</w:t>
      </w:r>
      <w:r>
        <w:rPr>
          <w:rFonts w:ascii="仿宋_GB2312" w:eastAsia="仿宋_GB2312" w:hint="eastAsia"/>
          <w:sz w:val="32"/>
          <w:szCs w:val="32"/>
          <w:lang w:eastAsia="zh-CN"/>
        </w:rPr>
        <w:t>人员工资上调，</w:t>
      </w:r>
      <w:r w:rsidR="00924678">
        <w:rPr>
          <w:rFonts w:ascii="仿宋_GB2312" w:eastAsia="仿宋_GB2312" w:hint="eastAsia"/>
          <w:sz w:val="32"/>
          <w:szCs w:val="32"/>
          <w:lang w:eastAsia="zh-CN"/>
        </w:rPr>
        <w:t>工资、津补贴等人员经费较上年增加</w:t>
      </w:r>
      <w:r>
        <w:rPr>
          <w:rFonts w:ascii="仿宋_GB2312" w:eastAsia="仿宋_GB2312" w:hint="eastAsia"/>
          <w:sz w:val="32"/>
          <w:szCs w:val="32"/>
          <w:lang w:eastAsia="zh-CN"/>
        </w:rPr>
        <w:t>。</w:t>
      </w:r>
    </w:p>
    <w:p w14:paraId="1E92E904"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5、卫生健康支出（类）公共卫生（款）基本公共卫生服务（项）：支出决算数为0.40万元，比上年决算减少0.90万元，下降69.23%，主要原因是：</w:t>
      </w:r>
      <w:r>
        <w:rPr>
          <w:rFonts w:ascii="仿宋_GB2312" w:eastAsia="仿宋_GB2312" w:hint="eastAsia"/>
          <w:sz w:val="32"/>
          <w:szCs w:val="32"/>
          <w:lang w:eastAsia="zh-CN"/>
        </w:rPr>
        <w:t>本年公共场所国家随机抽查项目资金较上年减少。</w:t>
      </w:r>
    </w:p>
    <w:p w14:paraId="0501FB86"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6、卫生健康支出（类）公共卫生（款）其他公共卫生支出（项）：支出决算数为1.00万元，比上年决算增加1.00万元，增长100.00%，主要原因是：</w:t>
      </w:r>
      <w:r>
        <w:rPr>
          <w:rFonts w:ascii="仿宋_GB2312" w:eastAsia="仿宋_GB2312" w:hint="eastAsia"/>
          <w:sz w:val="32"/>
          <w:szCs w:val="32"/>
          <w:lang w:eastAsia="zh-CN"/>
        </w:rPr>
        <w:t>本年</w:t>
      </w:r>
      <w:proofErr w:type="gramStart"/>
      <w:r>
        <w:rPr>
          <w:rFonts w:ascii="仿宋_GB2312" w:eastAsia="仿宋_GB2312"/>
          <w:sz w:val="32"/>
          <w:szCs w:val="32"/>
          <w:lang w:eastAsia="zh-CN"/>
        </w:rPr>
        <w:t>国家双</w:t>
      </w:r>
      <w:proofErr w:type="gramEnd"/>
      <w:r>
        <w:rPr>
          <w:rFonts w:ascii="仿宋_GB2312" w:eastAsia="仿宋_GB2312"/>
          <w:sz w:val="32"/>
          <w:szCs w:val="32"/>
          <w:lang w:eastAsia="zh-CN"/>
        </w:rPr>
        <w:t>随机抽检</w:t>
      </w:r>
      <w:proofErr w:type="gramStart"/>
      <w:r>
        <w:rPr>
          <w:rFonts w:ascii="仿宋_GB2312" w:eastAsia="仿宋_GB2312"/>
          <w:sz w:val="32"/>
          <w:szCs w:val="32"/>
          <w:lang w:eastAsia="zh-CN"/>
        </w:rPr>
        <w:t>测项目</w:t>
      </w:r>
      <w:proofErr w:type="gramEnd"/>
      <w:r>
        <w:rPr>
          <w:rFonts w:ascii="仿宋_GB2312" w:eastAsia="仿宋_GB2312"/>
          <w:sz w:val="32"/>
          <w:szCs w:val="32"/>
          <w:lang w:eastAsia="zh-CN"/>
        </w:rPr>
        <w:t>经费调整到该科目中</w:t>
      </w:r>
      <w:r>
        <w:rPr>
          <w:rFonts w:ascii="仿宋_GB2312" w:eastAsia="仿宋_GB2312" w:hint="eastAsia"/>
          <w:sz w:val="32"/>
          <w:szCs w:val="32"/>
          <w:lang w:eastAsia="zh-CN"/>
        </w:rPr>
        <w:t>列支。</w:t>
      </w:r>
    </w:p>
    <w:p w14:paraId="381AF894"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7、卫生健康支出（类）行政事业单位医疗（款）行政单位医疗（项）：支出决算数为7.15万元，比上年决算增加1.46万元，增长25.66%，主要原因是：</w:t>
      </w:r>
      <w:r>
        <w:rPr>
          <w:rFonts w:ascii="仿宋_GB2312" w:eastAsia="仿宋_GB2312" w:hint="eastAsia"/>
          <w:sz w:val="32"/>
          <w:szCs w:val="32"/>
          <w:lang w:eastAsia="zh-CN"/>
        </w:rPr>
        <w:t>社保基数调增，基本医疗保险缴费</w:t>
      </w:r>
      <w:r>
        <w:rPr>
          <w:rFonts w:ascii="仿宋_GB2312" w:eastAsia="仿宋_GB2312"/>
          <w:sz w:val="32"/>
          <w:szCs w:val="32"/>
          <w:lang w:eastAsia="zh-CN"/>
        </w:rPr>
        <w:t>增加</w:t>
      </w:r>
      <w:r>
        <w:rPr>
          <w:rFonts w:ascii="仿宋_GB2312" w:eastAsia="仿宋_GB2312" w:hint="eastAsia"/>
          <w:sz w:val="32"/>
          <w:szCs w:val="32"/>
          <w:lang w:eastAsia="zh-CN"/>
        </w:rPr>
        <w:t>。</w:t>
      </w:r>
    </w:p>
    <w:p w14:paraId="7DBF28BE"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8、卫生健康支出（类）行政事业单位医疗（款）公务员医疗补助（项）：支出决算数为1.61万元，比上年决算增加0.28万元，增长21.05%，主要原因是：</w:t>
      </w:r>
      <w:r>
        <w:rPr>
          <w:rFonts w:ascii="仿宋_GB2312" w:eastAsia="仿宋_GB2312" w:hint="eastAsia"/>
          <w:sz w:val="32"/>
          <w:szCs w:val="32"/>
          <w:lang w:eastAsia="zh-CN"/>
        </w:rPr>
        <w:t>社保基数调增，公务员医疗补助缴费</w:t>
      </w:r>
      <w:r>
        <w:rPr>
          <w:rFonts w:ascii="仿宋_GB2312" w:eastAsia="仿宋_GB2312"/>
          <w:sz w:val="32"/>
          <w:szCs w:val="32"/>
          <w:lang w:eastAsia="zh-CN"/>
        </w:rPr>
        <w:t>增加</w:t>
      </w:r>
      <w:r>
        <w:rPr>
          <w:rFonts w:ascii="仿宋_GB2312" w:eastAsia="仿宋_GB2312" w:hint="eastAsia"/>
          <w:sz w:val="32"/>
          <w:szCs w:val="32"/>
          <w:lang w:eastAsia="zh-CN"/>
        </w:rPr>
        <w:t>。</w:t>
      </w:r>
    </w:p>
    <w:p w14:paraId="298AFF34" w14:textId="6AC7FDA4"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9、卫生健康支出（类）行政事业单位医疗（款）其他行政事业单位医疗支出（项）：支出决算数为0.05万元，比上年决算减少0.03万元，下降37.50%，主要原因是：</w:t>
      </w:r>
      <w:r>
        <w:rPr>
          <w:rFonts w:ascii="仿宋_GB2312" w:eastAsia="仿宋_GB2312" w:hint="eastAsia"/>
          <w:sz w:val="32"/>
          <w:szCs w:val="32"/>
          <w:lang w:eastAsia="zh-CN"/>
        </w:rPr>
        <w:t>单位本年在职人员减少</w:t>
      </w:r>
      <w:r w:rsidR="00333D25">
        <w:rPr>
          <w:rFonts w:ascii="仿宋_GB2312" w:eastAsia="仿宋_GB2312" w:hint="eastAsia"/>
          <w:sz w:val="32"/>
          <w:szCs w:val="32"/>
          <w:lang w:eastAsia="zh-CN"/>
        </w:rPr>
        <w:t>，</w:t>
      </w:r>
      <w:r>
        <w:rPr>
          <w:rFonts w:ascii="仿宋_GB2312" w:eastAsia="仿宋_GB2312" w:hint="eastAsia"/>
          <w:sz w:val="32"/>
          <w:szCs w:val="32"/>
          <w:lang w:eastAsia="zh-CN"/>
        </w:rPr>
        <w:t>其他社会保障缴费较上年减少。</w:t>
      </w:r>
    </w:p>
    <w:p w14:paraId="546D433C"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10、住房保障支出（类）住房改革支出（款）住房公积金（项）：支出决算数为10.23万元，比上年决算增加1.57万元，增长18.13%，主要原因是：</w:t>
      </w:r>
      <w:r>
        <w:rPr>
          <w:rFonts w:ascii="仿宋_GB2312" w:eastAsia="仿宋_GB2312" w:hint="eastAsia"/>
          <w:sz w:val="32"/>
          <w:szCs w:val="32"/>
          <w:lang w:eastAsia="zh-CN"/>
        </w:rPr>
        <w:t>住房公积金基数调增，住房公积金较上年</w:t>
      </w:r>
      <w:r>
        <w:rPr>
          <w:rFonts w:ascii="仿宋_GB2312" w:eastAsia="仿宋_GB2312"/>
          <w:sz w:val="32"/>
          <w:szCs w:val="32"/>
          <w:lang w:eastAsia="zh-CN"/>
        </w:rPr>
        <w:t>增加</w:t>
      </w:r>
      <w:r>
        <w:rPr>
          <w:rFonts w:ascii="仿宋_GB2312" w:eastAsia="仿宋_GB2312" w:hint="eastAsia"/>
          <w:sz w:val="32"/>
          <w:szCs w:val="32"/>
          <w:lang w:eastAsia="zh-CN"/>
        </w:rPr>
        <w:t>。</w:t>
      </w:r>
    </w:p>
    <w:p w14:paraId="7EB92A5D"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09B1C43"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2024年度一般公共预算财政拨款基本支出148.24万元，其中：人员经费139.15万元，包括：基本工资、津贴补贴、奖金、机关事业单位基本养老保险缴费、职业年金缴费、职工</w:t>
      </w:r>
      <w:r>
        <w:rPr>
          <w:rFonts w:ascii="仿宋_GB2312" w:eastAsia="仿宋_GB2312"/>
          <w:sz w:val="32"/>
          <w:szCs w:val="32"/>
          <w:lang w:eastAsia="zh-CN"/>
        </w:rPr>
        <w:lastRenderedPageBreak/>
        <w:t>基本医疗保险缴费、公务员医疗补助缴费、其他社会保障缴费、住房公积金、退休费和奖励金。</w:t>
      </w:r>
    </w:p>
    <w:p w14:paraId="7997EE29"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公用经费9.10万元，包括：办公费、邮电费、取暖费、差旅费、维修（护）费、劳务费、委托业务费、工会经费和公务用车运行维护费。</w:t>
      </w:r>
    </w:p>
    <w:p w14:paraId="54988119"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99D6CA0"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75D4072"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F7E14E1"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2F3CFCE"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E780A65"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经费支出1.40万元，比上年减少0.02万元，下降1.41%，主要原因是：</w:t>
      </w:r>
      <w:r>
        <w:rPr>
          <w:rFonts w:ascii="仿宋_GB2312" w:eastAsia="仿宋_GB2312" w:hint="eastAsia"/>
          <w:sz w:val="32"/>
          <w:szCs w:val="32"/>
          <w:lang w:eastAsia="zh-CN"/>
        </w:rPr>
        <w:t>本年车辆出行次数减少，车辆</w:t>
      </w:r>
      <w:proofErr w:type="gramStart"/>
      <w:r>
        <w:rPr>
          <w:rFonts w:ascii="仿宋_GB2312" w:eastAsia="仿宋_GB2312" w:hint="eastAsia"/>
          <w:sz w:val="32"/>
          <w:szCs w:val="32"/>
          <w:lang w:eastAsia="zh-CN"/>
        </w:rPr>
        <w:t>燃油费较上年</w:t>
      </w:r>
      <w:proofErr w:type="gramEnd"/>
      <w:r>
        <w:rPr>
          <w:rFonts w:ascii="仿宋_GB2312" w:eastAsia="仿宋_GB2312" w:hint="eastAsia"/>
          <w:sz w:val="32"/>
          <w:szCs w:val="32"/>
          <w:lang w:eastAsia="zh-CN"/>
        </w:rPr>
        <w:t>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；公务用车购置及运行维护费支出1.40万元，占100.00%，比上年减少0.02万元，下降1.41%，主要原因是：</w:t>
      </w:r>
      <w:r>
        <w:rPr>
          <w:rFonts w:ascii="仿宋_GB2312" w:eastAsia="仿宋_GB2312" w:hint="eastAsia"/>
          <w:sz w:val="32"/>
          <w:szCs w:val="32"/>
          <w:lang w:eastAsia="zh-CN"/>
        </w:rPr>
        <w:t>本年车辆出行次数减少，车辆</w:t>
      </w:r>
      <w:proofErr w:type="gramStart"/>
      <w:r>
        <w:rPr>
          <w:rFonts w:ascii="仿宋_GB2312" w:eastAsia="仿宋_GB2312" w:hint="eastAsia"/>
          <w:sz w:val="32"/>
          <w:szCs w:val="32"/>
          <w:lang w:eastAsia="zh-CN"/>
        </w:rPr>
        <w:t>燃油费较上年</w:t>
      </w:r>
      <w:proofErr w:type="gramEnd"/>
      <w:r>
        <w:rPr>
          <w:rFonts w:ascii="仿宋_GB2312" w:eastAsia="仿宋_GB2312" w:hint="eastAsia"/>
          <w:sz w:val="32"/>
          <w:szCs w:val="32"/>
          <w:lang w:eastAsia="zh-CN"/>
        </w:rPr>
        <w:t>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E33A880" w14:textId="77777777" w:rsidR="007A173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3ED3E7E1"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w:t>
      </w:r>
      <w:r>
        <w:rPr>
          <w:rFonts w:ascii="仿宋_GB2312" w:eastAsia="仿宋_GB2312"/>
          <w:sz w:val="32"/>
          <w:szCs w:val="32"/>
          <w:lang w:eastAsia="zh-CN"/>
        </w:rPr>
        <w:t>单位</w:t>
      </w:r>
      <w:r>
        <w:rPr>
          <w:rFonts w:ascii="仿宋_GB2312" w:eastAsia="仿宋_GB2312" w:hint="eastAsia"/>
          <w:sz w:val="32"/>
          <w:szCs w:val="32"/>
          <w:lang w:eastAsia="zh-CN"/>
        </w:rPr>
        <w:t>本年</w:t>
      </w:r>
      <w:r>
        <w:rPr>
          <w:rFonts w:ascii="仿宋_GB2312" w:eastAsia="仿宋_GB2312"/>
          <w:sz w:val="32"/>
          <w:szCs w:val="32"/>
          <w:lang w:eastAsia="zh-CN"/>
        </w:rPr>
        <w:t>无此项支出。单位全年安排的因公出国（境）团组0个，因公出国（境）0人次。</w:t>
      </w:r>
    </w:p>
    <w:p w14:paraId="6273711D" w14:textId="77777777" w:rsidR="007A173C" w:rsidRDefault="00000000">
      <w:pPr>
        <w:widowControl w:val="0"/>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公务用车购置及运行维护费1.40万元，其中：公务用车购置费0.00万元，公务用车运行维护费1.40万元。公务用车运行维护费开支内容包括公务用车维修维护费、燃油费、保险费、过路费等。公务用车购置数0辆，公务用车保有量2辆。国有资产占用情况中固定资产车辆2辆，与公务用车保有量差</w:t>
      </w:r>
      <w:r>
        <w:rPr>
          <w:rFonts w:ascii="仿宋_GB2312" w:eastAsia="仿宋_GB2312"/>
          <w:sz w:val="32"/>
          <w:szCs w:val="32"/>
          <w:lang w:eastAsia="zh-CN"/>
        </w:rPr>
        <w:lastRenderedPageBreak/>
        <w:t>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01C73F3A"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w:t>
      </w:r>
      <w:r>
        <w:rPr>
          <w:rFonts w:ascii="仿宋_GB2312" w:eastAsia="仿宋_GB2312"/>
          <w:sz w:val="32"/>
          <w:szCs w:val="32"/>
          <w:lang w:eastAsia="zh-CN"/>
        </w:rPr>
        <w:t>单位</w:t>
      </w:r>
      <w:r>
        <w:rPr>
          <w:rFonts w:ascii="仿宋_GB2312" w:eastAsia="仿宋_GB2312" w:hint="eastAsia"/>
          <w:sz w:val="32"/>
          <w:szCs w:val="32"/>
          <w:lang w:eastAsia="zh-CN"/>
        </w:rPr>
        <w:t>本年</w:t>
      </w:r>
      <w:r>
        <w:rPr>
          <w:rFonts w:ascii="仿宋_GB2312" w:eastAsia="仿宋_GB2312"/>
          <w:sz w:val="32"/>
          <w:szCs w:val="32"/>
          <w:lang w:eastAsia="zh-CN"/>
        </w:rPr>
        <w:t>无此项支出。单位全年安排的国内公务接待0批次，0人次。</w:t>
      </w:r>
    </w:p>
    <w:p w14:paraId="53D157CE"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经费支出全年预算数1.40万元，决算数1.40万元，预决算差异率0.00%，主要原因是：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；公务用车运行维护费全年预算数1.40万元，决算数1.40万元，预决算差异率0.00%，主要原因是：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1225B79"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E1BEF13" w14:textId="77777777" w:rsidR="007A173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50AF75A2" w14:textId="65E300C2"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2024年度奇台县卫生计生综合监督执法局单位（行政单位和参照公务员法管理事业单位）机关运行经费支出9.10万元，比上年增加6.70万元，增长279.17%，主要原因是：</w:t>
      </w:r>
      <w:r>
        <w:rPr>
          <w:rFonts w:ascii="仿宋_GB2312" w:eastAsia="仿宋_GB2312" w:hint="eastAsia"/>
          <w:sz w:val="32"/>
          <w:szCs w:val="32"/>
          <w:lang w:eastAsia="zh-CN"/>
        </w:rPr>
        <w:t>本年</w:t>
      </w:r>
      <w:r w:rsidR="0032697D">
        <w:rPr>
          <w:rFonts w:ascii="仿宋_GB2312" w:eastAsia="仿宋_GB2312" w:hint="eastAsia"/>
          <w:sz w:val="32"/>
          <w:szCs w:val="32"/>
          <w:lang w:eastAsia="zh-CN"/>
        </w:rPr>
        <w:t>办公费、取暖费、</w:t>
      </w:r>
      <w:r>
        <w:rPr>
          <w:rFonts w:ascii="仿宋_GB2312" w:eastAsia="仿宋_GB2312" w:hint="eastAsia"/>
          <w:sz w:val="32"/>
          <w:szCs w:val="32"/>
          <w:lang w:eastAsia="zh-CN"/>
        </w:rPr>
        <w:t>劳务费、委托业务费、工会经费较上年增加。</w:t>
      </w:r>
    </w:p>
    <w:p w14:paraId="7640977F" w14:textId="77777777" w:rsidR="007A173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700E690"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2024年度政府采购支出总额0.79万元，其中：政府采购货物支出0.03万元、政府采购工程支出0.00万元、政府采购服务支出0.76万元。</w:t>
      </w:r>
    </w:p>
    <w:p w14:paraId="6899ECDD"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授予中小企业合同金额0.76万元，占政府采购支出总额的96.20%，其中：授予小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合同金额0.30万元，占政府采购支出总额的37.97%。</w:t>
      </w:r>
    </w:p>
    <w:p w14:paraId="7420D038" w14:textId="77777777" w:rsidR="007A173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29E0F0CD"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lastRenderedPageBreak/>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2辆，价值33.57万元，其中：副部（省）级及以上领导用车0辆、主要负责人用车0辆、机要通信用车0辆、应急保障用车0辆、执法执勤用车0辆、特种专业技术用车0辆、离退休干部服务用车0辆、其他用车2辆，其他用车主要是：</w:t>
      </w:r>
      <w:proofErr w:type="gramStart"/>
      <w:r>
        <w:rPr>
          <w:rFonts w:ascii="仿宋_GB2312" w:eastAsia="仿宋_GB2312"/>
          <w:sz w:val="32"/>
          <w:szCs w:val="32"/>
          <w:lang w:eastAsia="zh-CN"/>
        </w:rPr>
        <w:t>执法监督业务工作用车;单价</w:t>
      </w:r>
      <w:proofErr w:type="gramEnd"/>
      <w:r>
        <w:rPr>
          <w:rFonts w:ascii="仿宋_GB2312" w:eastAsia="仿宋_GB2312"/>
          <w:sz w:val="32"/>
          <w:szCs w:val="32"/>
          <w:lang w:eastAsia="zh-CN"/>
        </w:rPr>
        <w:t>100万元（含）以上设备（不含车辆）0台（套）。</w:t>
      </w:r>
    </w:p>
    <w:p w14:paraId="3582B713"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72B61C21" w14:textId="47B1C199" w:rsidR="007A173C" w:rsidRDefault="00000000" w:rsidP="004B4449">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149.47万元，实际执行总额149.47万元；预算绩效评价项目1个，全年预算数1.40万元，全年执行数1.40万元。预算绩效管理取得的成效：一是严格执行预算指标，控制运行成本，并按要求加强了预算和项目资金绩效管理，提高了资金使用效率，促进了单位的良性发展，医疗卫生服务体系能力明显提升，充分发挥专项资金使用效益；二是通过开展项目预算绩效的经验，我们能够更好地提高项目执行质量和效率，为医疗卫生服务工作提供有力支持。发现的问题及原因：</w:t>
      </w:r>
      <w:r>
        <w:rPr>
          <w:rFonts w:ascii="仿宋_GB2312" w:eastAsia="仿宋_GB2312" w:hint="eastAsia"/>
          <w:sz w:val="32"/>
          <w:szCs w:val="32"/>
          <w:lang w:eastAsia="zh-CN"/>
        </w:rPr>
        <w:t>一是</w:t>
      </w:r>
      <w:r>
        <w:rPr>
          <w:rFonts w:ascii="仿宋_GB2312" w:eastAsia="仿宋_GB2312"/>
          <w:sz w:val="32"/>
          <w:szCs w:val="32"/>
          <w:lang w:eastAsia="zh-CN"/>
        </w:rPr>
        <w:t>业务人员绩效管理意识有待增强，绩效管理经验不足，预算绩效管理工作有待进一步落实。</w:t>
      </w:r>
      <w:r>
        <w:rPr>
          <w:rFonts w:ascii="仿宋_GB2312" w:eastAsia="仿宋_GB2312" w:hint="eastAsia"/>
          <w:sz w:val="32"/>
          <w:szCs w:val="32"/>
          <w:lang w:eastAsia="zh-CN"/>
        </w:rPr>
        <w:t>二是</w:t>
      </w:r>
      <w:r>
        <w:rPr>
          <w:rFonts w:ascii="仿宋_GB2312" w:eastAsia="仿宋_GB2312"/>
          <w:sz w:val="32"/>
          <w:szCs w:val="32"/>
          <w:lang w:eastAsia="zh-CN"/>
        </w:rPr>
        <w:t>绩效指标的明确性、可衡量性、相关性还需进一步提升。下一步改进措施：</w:t>
      </w:r>
      <w:r>
        <w:rPr>
          <w:rFonts w:ascii="仿宋_GB2312" w:eastAsia="仿宋_GB2312" w:hint="eastAsia"/>
          <w:sz w:val="32"/>
          <w:szCs w:val="32"/>
          <w:lang w:eastAsia="zh-CN"/>
        </w:rPr>
        <w:t>一是</w:t>
      </w:r>
      <w:r>
        <w:rPr>
          <w:rFonts w:ascii="仿宋_GB2312" w:eastAsia="仿宋_GB2312"/>
          <w:sz w:val="32"/>
          <w:szCs w:val="32"/>
          <w:lang w:eastAsia="zh-CN"/>
        </w:rPr>
        <w:t>继续完善绩效指标，提高整体绩效目标质量。提升预算精细化管理水平。</w:t>
      </w:r>
      <w:r>
        <w:rPr>
          <w:rFonts w:ascii="仿宋_GB2312" w:eastAsia="仿宋_GB2312" w:hint="eastAsia"/>
          <w:sz w:val="32"/>
          <w:szCs w:val="32"/>
          <w:lang w:eastAsia="zh-CN"/>
        </w:rPr>
        <w:t>二是</w:t>
      </w:r>
      <w:r>
        <w:rPr>
          <w:rFonts w:ascii="仿宋_GB2312" w:eastAsia="仿宋_GB2312"/>
          <w:sz w:val="32"/>
          <w:szCs w:val="32"/>
          <w:lang w:eastAsia="zh-CN"/>
        </w:rPr>
        <w:t>继续完善预算绩效管理相关工作制度，建立全过程预算绩效管理链条，有效贯彻落实全面实施绩效管理的精神。建议加强预算绩效目标管理工作。明确预算项目绩效目标编制要求，分类别建立科学合理、细化量化、可比可测预算绩效指标体系，突出结果导向，重点考核实绩。加强绩效业务学习及培训，提高业务人员绩效管理意识，进一步加强预算绩效管理工作，优化项目支出绩效指标体系，完善预算绩效管理制度，有效推动我单位下一年度预算绩效管理工作常态化、规范化。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r>
        <w:rPr>
          <w:rFonts w:ascii="仿宋_GB2312" w:eastAsia="仿宋_GB2312"/>
          <w:sz w:val="32"/>
          <w:szCs w:val="32"/>
          <w:lang w:eastAsia="zh-CN"/>
        </w:rPr>
        <w:br w:type="page"/>
      </w:r>
    </w:p>
    <w:p w14:paraId="4F622216" w14:textId="77777777" w:rsidR="007A173C"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02C288D4" w14:textId="77777777" w:rsidR="007A173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8949" w:type="dxa"/>
        <w:tblLayout w:type="fixed"/>
        <w:tblLook w:val="04A0" w:firstRow="1" w:lastRow="0" w:firstColumn="1" w:lastColumn="0" w:noHBand="0" w:noVBand="1"/>
      </w:tblPr>
      <w:tblGrid>
        <w:gridCol w:w="993"/>
        <w:gridCol w:w="1417"/>
        <w:gridCol w:w="1418"/>
        <w:gridCol w:w="1242"/>
        <w:gridCol w:w="1417"/>
        <w:gridCol w:w="1134"/>
        <w:gridCol w:w="605"/>
        <w:gridCol w:w="723"/>
      </w:tblGrid>
      <w:tr w:rsidR="007A173C" w14:paraId="3C2CD219"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C07D087"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7956" w:type="dxa"/>
            <w:gridSpan w:val="7"/>
            <w:tcBorders>
              <w:top w:val="single" w:sz="4" w:space="0" w:color="auto"/>
              <w:left w:val="nil"/>
              <w:bottom w:val="single" w:sz="4" w:space="0" w:color="auto"/>
              <w:right w:val="single" w:sz="4" w:space="0" w:color="auto"/>
            </w:tcBorders>
            <w:noWrap/>
            <w:vAlign w:val="center"/>
          </w:tcPr>
          <w:p w14:paraId="52D7CEFE" w14:textId="77777777" w:rsidR="007A173C"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奇台县卫生健康综合监督执法局</w:t>
            </w:r>
          </w:p>
        </w:tc>
      </w:tr>
      <w:tr w:rsidR="007A173C" w14:paraId="0C180CF0"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E84CB2C"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67731267"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4495D4D5"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312B9EF"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4073D566"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36CE8026"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605" w:type="dxa"/>
            <w:tcBorders>
              <w:top w:val="nil"/>
              <w:left w:val="nil"/>
              <w:bottom w:val="single" w:sz="4" w:space="0" w:color="auto"/>
              <w:right w:val="single" w:sz="4" w:space="0" w:color="auto"/>
            </w:tcBorders>
            <w:vAlign w:val="center"/>
          </w:tcPr>
          <w:p w14:paraId="2B170055"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3" w:type="dxa"/>
            <w:tcBorders>
              <w:top w:val="nil"/>
              <w:left w:val="nil"/>
              <w:bottom w:val="single" w:sz="4" w:space="0" w:color="auto"/>
              <w:right w:val="single" w:sz="4" w:space="0" w:color="auto"/>
            </w:tcBorders>
            <w:vAlign w:val="center"/>
          </w:tcPr>
          <w:p w14:paraId="2C747E25"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7A173C" w14:paraId="0EFBBA4B"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1B50F35" w14:textId="77777777" w:rsidR="007A173C" w:rsidRDefault="007A173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A152AAF"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491371E3"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1.40</w:t>
            </w:r>
          </w:p>
        </w:tc>
        <w:tc>
          <w:tcPr>
            <w:tcW w:w="1242" w:type="dxa"/>
            <w:tcBorders>
              <w:top w:val="nil"/>
              <w:left w:val="nil"/>
              <w:bottom w:val="single" w:sz="4" w:space="0" w:color="auto"/>
              <w:right w:val="single" w:sz="4" w:space="0" w:color="auto"/>
            </w:tcBorders>
            <w:vAlign w:val="center"/>
          </w:tcPr>
          <w:p w14:paraId="0A04E40A"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1.40</w:t>
            </w:r>
          </w:p>
        </w:tc>
        <w:tc>
          <w:tcPr>
            <w:tcW w:w="1417" w:type="dxa"/>
            <w:tcBorders>
              <w:top w:val="nil"/>
              <w:left w:val="nil"/>
              <w:bottom w:val="single" w:sz="4" w:space="0" w:color="auto"/>
              <w:right w:val="single" w:sz="4" w:space="0" w:color="auto"/>
            </w:tcBorders>
            <w:vAlign w:val="center"/>
          </w:tcPr>
          <w:p w14:paraId="78AD0D8D"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1.40</w:t>
            </w:r>
          </w:p>
        </w:tc>
        <w:tc>
          <w:tcPr>
            <w:tcW w:w="1134" w:type="dxa"/>
            <w:tcBorders>
              <w:top w:val="nil"/>
              <w:left w:val="nil"/>
              <w:bottom w:val="single" w:sz="4" w:space="0" w:color="auto"/>
              <w:right w:val="single" w:sz="4" w:space="0" w:color="auto"/>
            </w:tcBorders>
            <w:vAlign w:val="center"/>
          </w:tcPr>
          <w:p w14:paraId="21EDC3B9"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605" w:type="dxa"/>
            <w:tcBorders>
              <w:top w:val="nil"/>
              <w:left w:val="nil"/>
              <w:bottom w:val="single" w:sz="4" w:space="0" w:color="auto"/>
              <w:right w:val="single" w:sz="4" w:space="0" w:color="auto"/>
            </w:tcBorders>
            <w:vAlign w:val="center"/>
          </w:tcPr>
          <w:p w14:paraId="397A6075"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3" w:type="dxa"/>
            <w:tcBorders>
              <w:top w:val="nil"/>
              <w:left w:val="nil"/>
              <w:bottom w:val="single" w:sz="4" w:space="0" w:color="auto"/>
              <w:right w:val="single" w:sz="4" w:space="0" w:color="auto"/>
            </w:tcBorders>
            <w:vAlign w:val="center"/>
          </w:tcPr>
          <w:p w14:paraId="26D33096"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7A173C" w14:paraId="52F9ADF0"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A2693E1" w14:textId="77777777" w:rsidR="007A173C" w:rsidRDefault="007A173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5040743"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6977E16"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161.97</w:t>
            </w:r>
          </w:p>
        </w:tc>
        <w:tc>
          <w:tcPr>
            <w:tcW w:w="1242" w:type="dxa"/>
            <w:tcBorders>
              <w:top w:val="nil"/>
              <w:left w:val="nil"/>
              <w:bottom w:val="single" w:sz="4" w:space="0" w:color="auto"/>
              <w:right w:val="single" w:sz="4" w:space="0" w:color="auto"/>
            </w:tcBorders>
            <w:vAlign w:val="center"/>
          </w:tcPr>
          <w:p w14:paraId="5CCD0FA5"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148.07</w:t>
            </w:r>
          </w:p>
        </w:tc>
        <w:tc>
          <w:tcPr>
            <w:tcW w:w="1417" w:type="dxa"/>
            <w:tcBorders>
              <w:top w:val="nil"/>
              <w:left w:val="nil"/>
              <w:bottom w:val="single" w:sz="4" w:space="0" w:color="auto"/>
              <w:right w:val="single" w:sz="4" w:space="0" w:color="auto"/>
            </w:tcBorders>
            <w:vAlign w:val="center"/>
          </w:tcPr>
          <w:p w14:paraId="41DE1E3C"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148.07</w:t>
            </w:r>
          </w:p>
        </w:tc>
        <w:tc>
          <w:tcPr>
            <w:tcW w:w="1134" w:type="dxa"/>
            <w:tcBorders>
              <w:top w:val="nil"/>
              <w:left w:val="nil"/>
              <w:bottom w:val="single" w:sz="4" w:space="0" w:color="auto"/>
              <w:right w:val="single" w:sz="4" w:space="0" w:color="auto"/>
            </w:tcBorders>
            <w:vAlign w:val="center"/>
          </w:tcPr>
          <w:p w14:paraId="013AAFDA" w14:textId="77777777" w:rsidR="007A173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605" w:type="dxa"/>
            <w:tcBorders>
              <w:top w:val="nil"/>
              <w:left w:val="nil"/>
              <w:bottom w:val="single" w:sz="4" w:space="0" w:color="auto"/>
              <w:right w:val="single" w:sz="4" w:space="0" w:color="auto"/>
            </w:tcBorders>
            <w:vAlign w:val="center"/>
          </w:tcPr>
          <w:p w14:paraId="4378FFAF" w14:textId="77777777" w:rsidR="007A173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3" w:type="dxa"/>
            <w:tcBorders>
              <w:top w:val="nil"/>
              <w:left w:val="nil"/>
              <w:bottom w:val="single" w:sz="4" w:space="0" w:color="auto"/>
              <w:right w:val="single" w:sz="4" w:space="0" w:color="auto"/>
            </w:tcBorders>
            <w:vAlign w:val="center"/>
          </w:tcPr>
          <w:p w14:paraId="13F5ACFA" w14:textId="77777777" w:rsidR="007A173C"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7A173C" w14:paraId="0739F7A6"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F92B617" w14:textId="77777777" w:rsidR="007A173C" w:rsidRDefault="007A173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A606B65"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7004CFC4"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5.00</w:t>
            </w:r>
          </w:p>
        </w:tc>
        <w:tc>
          <w:tcPr>
            <w:tcW w:w="1242" w:type="dxa"/>
            <w:tcBorders>
              <w:top w:val="nil"/>
              <w:left w:val="nil"/>
              <w:bottom w:val="single" w:sz="4" w:space="0" w:color="auto"/>
              <w:right w:val="single" w:sz="4" w:space="0" w:color="auto"/>
            </w:tcBorders>
            <w:vAlign w:val="center"/>
          </w:tcPr>
          <w:p w14:paraId="03A37663"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10161E6"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D15754C" w14:textId="77777777" w:rsidR="007A173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605" w:type="dxa"/>
            <w:tcBorders>
              <w:top w:val="nil"/>
              <w:left w:val="nil"/>
              <w:bottom w:val="single" w:sz="4" w:space="0" w:color="auto"/>
              <w:right w:val="single" w:sz="4" w:space="0" w:color="auto"/>
            </w:tcBorders>
            <w:vAlign w:val="center"/>
          </w:tcPr>
          <w:p w14:paraId="5B4195B0" w14:textId="77777777" w:rsidR="007A173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3" w:type="dxa"/>
            <w:tcBorders>
              <w:top w:val="nil"/>
              <w:left w:val="nil"/>
              <w:bottom w:val="single" w:sz="4" w:space="0" w:color="auto"/>
              <w:right w:val="single" w:sz="4" w:space="0" w:color="auto"/>
            </w:tcBorders>
            <w:vAlign w:val="center"/>
          </w:tcPr>
          <w:p w14:paraId="7E1859CD" w14:textId="77777777" w:rsidR="007A173C"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7A173C" w14:paraId="74B7AC0B"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5DE5D9D" w14:textId="77777777" w:rsidR="007A173C" w:rsidRDefault="007A173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EBA46B9"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5B37F641"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168.37</w:t>
            </w:r>
          </w:p>
        </w:tc>
        <w:tc>
          <w:tcPr>
            <w:tcW w:w="1242" w:type="dxa"/>
            <w:tcBorders>
              <w:top w:val="nil"/>
              <w:left w:val="nil"/>
              <w:bottom w:val="single" w:sz="4" w:space="0" w:color="auto"/>
              <w:right w:val="single" w:sz="4" w:space="0" w:color="auto"/>
            </w:tcBorders>
            <w:vAlign w:val="center"/>
          </w:tcPr>
          <w:p w14:paraId="0CEF0DA8"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149.47</w:t>
            </w:r>
          </w:p>
        </w:tc>
        <w:tc>
          <w:tcPr>
            <w:tcW w:w="1417" w:type="dxa"/>
            <w:tcBorders>
              <w:top w:val="nil"/>
              <w:left w:val="nil"/>
              <w:bottom w:val="single" w:sz="4" w:space="0" w:color="auto"/>
              <w:right w:val="single" w:sz="4" w:space="0" w:color="auto"/>
            </w:tcBorders>
            <w:vAlign w:val="center"/>
          </w:tcPr>
          <w:p w14:paraId="49EBAB0A"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149.47</w:t>
            </w:r>
          </w:p>
        </w:tc>
        <w:tc>
          <w:tcPr>
            <w:tcW w:w="1134" w:type="dxa"/>
            <w:tcBorders>
              <w:top w:val="nil"/>
              <w:left w:val="nil"/>
              <w:bottom w:val="single" w:sz="4" w:space="0" w:color="auto"/>
              <w:right w:val="single" w:sz="4" w:space="0" w:color="auto"/>
            </w:tcBorders>
            <w:vAlign w:val="center"/>
          </w:tcPr>
          <w:p w14:paraId="710D83A2"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605" w:type="dxa"/>
            <w:tcBorders>
              <w:top w:val="nil"/>
              <w:left w:val="nil"/>
              <w:bottom w:val="single" w:sz="4" w:space="0" w:color="auto"/>
              <w:right w:val="single" w:sz="4" w:space="0" w:color="auto"/>
            </w:tcBorders>
            <w:vAlign w:val="center"/>
          </w:tcPr>
          <w:p w14:paraId="2E7FD85C"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3" w:type="dxa"/>
            <w:tcBorders>
              <w:top w:val="nil"/>
              <w:left w:val="nil"/>
              <w:bottom w:val="single" w:sz="4" w:space="0" w:color="auto"/>
              <w:right w:val="single" w:sz="4" w:space="0" w:color="auto"/>
            </w:tcBorders>
            <w:vAlign w:val="center"/>
          </w:tcPr>
          <w:p w14:paraId="799C1AA9"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7A173C" w14:paraId="531D5913"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5501C81"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2D625A1B"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3879" w:type="dxa"/>
            <w:gridSpan w:val="4"/>
            <w:tcBorders>
              <w:top w:val="single" w:sz="4" w:space="0" w:color="auto"/>
              <w:left w:val="nil"/>
              <w:bottom w:val="single" w:sz="4" w:space="0" w:color="auto"/>
              <w:right w:val="single" w:sz="4" w:space="0" w:color="auto"/>
            </w:tcBorders>
            <w:noWrap/>
            <w:vAlign w:val="center"/>
          </w:tcPr>
          <w:p w14:paraId="31277E19"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7A173C" w14:paraId="3AFE2297"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7EF1F7F" w14:textId="77777777" w:rsidR="007A173C" w:rsidRDefault="007A173C">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B980CB4" w14:textId="77777777" w:rsidR="007A173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奇台县卫生健康综合监督执法局将紧紧围绕年度重点工作任务，继续完善卫生监督服务体系，进一步推进依法行政工作，强化内部制约机制，规范卫生监督执法行为，加强卫生监督队伍建设。继续严厉打击非法行医行为、加强各类医疗机构医务人员执业资格、执业范围和执业行为的监督检查、开展医疗废物集中处置和传染病防治专项整治、依法对公共场所卫生、生活饮用水、学校卫生、餐饮</w:t>
            </w:r>
            <w:proofErr w:type="gramStart"/>
            <w:r>
              <w:rPr>
                <w:rFonts w:ascii="宋体" w:eastAsia="宋体" w:hAnsi="宋体" w:cs="宋体" w:hint="eastAsia"/>
                <w:sz w:val="18"/>
                <w:szCs w:val="18"/>
                <w:lang w:eastAsia="zh-CN"/>
              </w:rPr>
              <w:t>具集中</w:t>
            </w:r>
            <w:proofErr w:type="gramEnd"/>
            <w:r>
              <w:rPr>
                <w:rFonts w:ascii="宋体" w:eastAsia="宋体" w:hAnsi="宋体" w:cs="宋体" w:hint="eastAsia"/>
                <w:sz w:val="18"/>
                <w:szCs w:val="18"/>
                <w:lang w:eastAsia="zh-CN"/>
              </w:rPr>
              <w:t>消毒单位等行业进行卫生监督、积极按时完成做好国家卫生监督双随机监督检测工作和跨</w:t>
            </w:r>
            <w:proofErr w:type="gramStart"/>
            <w:r>
              <w:rPr>
                <w:rFonts w:ascii="宋体" w:eastAsia="宋体" w:hAnsi="宋体" w:cs="宋体" w:hint="eastAsia"/>
                <w:sz w:val="18"/>
                <w:szCs w:val="18"/>
                <w:lang w:eastAsia="zh-CN"/>
              </w:rPr>
              <w:t>部门双</w:t>
            </w:r>
            <w:proofErr w:type="gramEnd"/>
            <w:r>
              <w:rPr>
                <w:rFonts w:ascii="宋体" w:eastAsia="宋体" w:hAnsi="宋体" w:cs="宋体" w:hint="eastAsia"/>
                <w:sz w:val="18"/>
                <w:szCs w:val="18"/>
                <w:lang w:eastAsia="zh-CN"/>
              </w:rPr>
              <w:t>随机监督工作。</w:t>
            </w:r>
          </w:p>
        </w:tc>
        <w:tc>
          <w:tcPr>
            <w:tcW w:w="3879" w:type="dxa"/>
            <w:gridSpan w:val="4"/>
            <w:tcBorders>
              <w:top w:val="single" w:sz="4" w:space="0" w:color="auto"/>
              <w:left w:val="nil"/>
              <w:bottom w:val="single" w:sz="4" w:space="0" w:color="auto"/>
              <w:right w:val="single" w:sz="4" w:space="0" w:color="auto"/>
            </w:tcBorders>
          </w:tcPr>
          <w:p w14:paraId="332C0665" w14:textId="77777777" w:rsidR="007A173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我单位全年预算数149.47，全年执行数149.47，执行率100%，2024年国家随机监督抽查项目检测24家，食品安全标准制定及跟踪评价4次，食品安全宣传4次，国家随机监督抽查项目检测率达100%，食品安全标准制定及跟踪评价完成率达95%，食品安全宣传率达95%，群众健康常识知晓率达90%。提高居民健康意识，改变不良生活方式，逐步树立起自我健康管理的理念；减少主要健康危险因素，预防和控制传染病及慢性病的发生和流行；建立起维护居民健康的第一道屏障，提高居民健康素质。</w:t>
            </w:r>
          </w:p>
        </w:tc>
      </w:tr>
      <w:tr w:rsidR="007A173C" w14:paraId="0E54EE6F"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281C2C9"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071A8140"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1EDD1AC4"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2358929E"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17FD80D5"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3441F27"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605" w:type="dxa"/>
            <w:tcBorders>
              <w:top w:val="nil"/>
              <w:left w:val="nil"/>
              <w:bottom w:val="single" w:sz="4" w:space="0" w:color="auto"/>
              <w:right w:val="single" w:sz="4" w:space="0" w:color="auto"/>
            </w:tcBorders>
            <w:vAlign w:val="center"/>
          </w:tcPr>
          <w:p w14:paraId="176C08B7"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3" w:type="dxa"/>
            <w:tcBorders>
              <w:top w:val="nil"/>
              <w:left w:val="nil"/>
              <w:bottom w:val="single" w:sz="4" w:space="0" w:color="auto"/>
              <w:right w:val="single" w:sz="4" w:space="0" w:color="auto"/>
            </w:tcBorders>
            <w:vAlign w:val="center"/>
          </w:tcPr>
          <w:p w14:paraId="26971D8A" w14:textId="77777777" w:rsidR="007A173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7A173C" w14:paraId="035F3F3F"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B4BCDBF" w14:textId="77777777" w:rsidR="007A173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562105C8" w14:textId="77777777" w:rsidR="007A173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4BE7AAFD" w14:textId="77777777" w:rsidR="007A173C"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食品安全标准制定和跟踪评价次数</w:t>
            </w:r>
          </w:p>
        </w:tc>
        <w:tc>
          <w:tcPr>
            <w:tcW w:w="1242" w:type="dxa"/>
            <w:tcBorders>
              <w:top w:val="nil"/>
              <w:left w:val="nil"/>
              <w:bottom w:val="single" w:sz="4" w:space="0" w:color="auto"/>
              <w:right w:val="single" w:sz="4" w:space="0" w:color="auto"/>
            </w:tcBorders>
            <w:noWrap/>
            <w:vAlign w:val="center"/>
          </w:tcPr>
          <w:p w14:paraId="119783E1"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7CAB0BA7" w14:textId="77777777" w:rsidR="007A173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食品安全标准制定和跟踪评价方案</w:t>
            </w:r>
          </w:p>
        </w:tc>
        <w:tc>
          <w:tcPr>
            <w:tcW w:w="1134" w:type="dxa"/>
            <w:tcBorders>
              <w:top w:val="nil"/>
              <w:left w:val="nil"/>
              <w:bottom w:val="single" w:sz="4" w:space="0" w:color="auto"/>
              <w:right w:val="single" w:sz="4" w:space="0" w:color="auto"/>
            </w:tcBorders>
            <w:noWrap/>
            <w:vAlign w:val="center"/>
          </w:tcPr>
          <w:p w14:paraId="48EAF95B"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605" w:type="dxa"/>
            <w:tcBorders>
              <w:top w:val="nil"/>
              <w:left w:val="nil"/>
              <w:bottom w:val="single" w:sz="4" w:space="0" w:color="auto"/>
              <w:right w:val="single" w:sz="4" w:space="0" w:color="auto"/>
            </w:tcBorders>
            <w:noWrap/>
            <w:vAlign w:val="center"/>
          </w:tcPr>
          <w:p w14:paraId="796D0347"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3" w:type="dxa"/>
            <w:tcBorders>
              <w:top w:val="nil"/>
              <w:left w:val="nil"/>
              <w:bottom w:val="single" w:sz="4" w:space="0" w:color="auto"/>
              <w:right w:val="single" w:sz="4" w:space="0" w:color="auto"/>
            </w:tcBorders>
            <w:noWrap/>
            <w:vAlign w:val="center"/>
          </w:tcPr>
          <w:p w14:paraId="6623B839"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7A173C" w14:paraId="1493864F" w14:textId="77777777">
        <w:trPr>
          <w:cantSplit/>
          <w:trHeight w:val="740"/>
        </w:trPr>
        <w:tc>
          <w:tcPr>
            <w:tcW w:w="993" w:type="dxa"/>
            <w:vMerge/>
            <w:tcBorders>
              <w:left w:val="single" w:sz="4" w:space="0" w:color="auto"/>
              <w:right w:val="single" w:sz="4" w:space="0" w:color="auto"/>
            </w:tcBorders>
            <w:noWrap/>
            <w:vAlign w:val="center"/>
          </w:tcPr>
          <w:p w14:paraId="780A13DF" w14:textId="77777777" w:rsidR="007A173C" w:rsidRDefault="007A173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5A956DC" w14:textId="77777777" w:rsidR="007A173C" w:rsidRDefault="007A173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C7611B6" w14:textId="77777777" w:rsidR="007A173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食品安全宣传次数</w:t>
            </w:r>
            <w:proofErr w:type="spellEnd"/>
          </w:p>
        </w:tc>
        <w:tc>
          <w:tcPr>
            <w:tcW w:w="1242" w:type="dxa"/>
            <w:tcBorders>
              <w:top w:val="nil"/>
              <w:left w:val="nil"/>
              <w:bottom w:val="single" w:sz="4" w:space="0" w:color="auto"/>
              <w:right w:val="single" w:sz="4" w:space="0" w:color="auto"/>
            </w:tcBorders>
            <w:noWrap/>
            <w:vAlign w:val="center"/>
          </w:tcPr>
          <w:p w14:paraId="18923A27"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3CCDA523" w14:textId="77777777" w:rsidR="007A173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食品安全标准制定和跟踪评价方案</w:t>
            </w:r>
          </w:p>
        </w:tc>
        <w:tc>
          <w:tcPr>
            <w:tcW w:w="1134" w:type="dxa"/>
            <w:tcBorders>
              <w:top w:val="nil"/>
              <w:left w:val="nil"/>
              <w:bottom w:val="single" w:sz="4" w:space="0" w:color="auto"/>
              <w:right w:val="single" w:sz="4" w:space="0" w:color="auto"/>
            </w:tcBorders>
            <w:noWrap/>
            <w:vAlign w:val="center"/>
          </w:tcPr>
          <w:p w14:paraId="384507AE"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605" w:type="dxa"/>
            <w:tcBorders>
              <w:top w:val="nil"/>
              <w:left w:val="nil"/>
              <w:bottom w:val="single" w:sz="4" w:space="0" w:color="auto"/>
              <w:right w:val="single" w:sz="4" w:space="0" w:color="auto"/>
            </w:tcBorders>
            <w:noWrap/>
            <w:vAlign w:val="center"/>
          </w:tcPr>
          <w:p w14:paraId="4B44817E"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3" w:type="dxa"/>
            <w:tcBorders>
              <w:top w:val="nil"/>
              <w:left w:val="nil"/>
              <w:bottom w:val="single" w:sz="4" w:space="0" w:color="auto"/>
              <w:right w:val="single" w:sz="4" w:space="0" w:color="auto"/>
            </w:tcBorders>
            <w:noWrap/>
            <w:vAlign w:val="center"/>
          </w:tcPr>
          <w:p w14:paraId="1E288C1A"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7A173C" w14:paraId="0840EA9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A943566" w14:textId="77777777" w:rsidR="007A173C" w:rsidRDefault="007A173C">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2D18CCF" w14:textId="77777777" w:rsidR="007A173C" w:rsidRDefault="007A173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C139353" w14:textId="77777777" w:rsidR="007A173C"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随国家随机监督抽查项目检测家数</w:t>
            </w:r>
          </w:p>
        </w:tc>
        <w:tc>
          <w:tcPr>
            <w:tcW w:w="1242" w:type="dxa"/>
            <w:tcBorders>
              <w:top w:val="nil"/>
              <w:left w:val="nil"/>
              <w:bottom w:val="single" w:sz="4" w:space="0" w:color="auto"/>
              <w:right w:val="single" w:sz="4" w:space="0" w:color="auto"/>
            </w:tcBorders>
            <w:noWrap/>
            <w:vAlign w:val="center"/>
          </w:tcPr>
          <w:p w14:paraId="7607C4D8"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&gt;=18家</w:t>
            </w:r>
          </w:p>
        </w:tc>
        <w:tc>
          <w:tcPr>
            <w:tcW w:w="1417" w:type="dxa"/>
            <w:tcBorders>
              <w:top w:val="nil"/>
              <w:left w:val="nil"/>
              <w:bottom w:val="single" w:sz="4" w:space="0" w:color="auto"/>
              <w:right w:val="single" w:sz="4" w:space="0" w:color="auto"/>
            </w:tcBorders>
            <w:noWrap/>
            <w:vAlign w:val="center"/>
          </w:tcPr>
          <w:p w14:paraId="23178FAD" w14:textId="77777777" w:rsidR="007A173C" w:rsidRDefault="00000000">
            <w:pPr>
              <w:rPr>
                <w:rFonts w:ascii="宋体" w:eastAsia="宋体" w:hAnsi="宋体" w:cs="宋体" w:hint="eastAsia"/>
                <w:sz w:val="18"/>
                <w:szCs w:val="18"/>
                <w:lang w:eastAsia="zh-CN"/>
              </w:rPr>
            </w:pPr>
            <w:proofErr w:type="gramStart"/>
            <w:r>
              <w:rPr>
                <w:rFonts w:ascii="宋体" w:eastAsia="宋体" w:hAnsi="宋体" w:cs="宋体" w:hint="eastAsia"/>
                <w:sz w:val="18"/>
                <w:szCs w:val="18"/>
                <w:lang w:eastAsia="zh-CN"/>
              </w:rPr>
              <w:t>国家双</w:t>
            </w:r>
            <w:proofErr w:type="gramEnd"/>
            <w:r>
              <w:rPr>
                <w:rFonts w:ascii="宋体" w:eastAsia="宋体" w:hAnsi="宋体" w:cs="宋体" w:hint="eastAsia"/>
                <w:sz w:val="18"/>
                <w:szCs w:val="18"/>
                <w:lang w:eastAsia="zh-CN"/>
              </w:rPr>
              <w:t>随机抽检任务检测实施方案</w:t>
            </w:r>
          </w:p>
        </w:tc>
        <w:tc>
          <w:tcPr>
            <w:tcW w:w="1134" w:type="dxa"/>
            <w:tcBorders>
              <w:top w:val="nil"/>
              <w:left w:val="nil"/>
              <w:bottom w:val="single" w:sz="4" w:space="0" w:color="auto"/>
              <w:right w:val="single" w:sz="4" w:space="0" w:color="auto"/>
            </w:tcBorders>
            <w:noWrap/>
            <w:vAlign w:val="center"/>
          </w:tcPr>
          <w:p w14:paraId="59EFA767"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50</w:t>
            </w:r>
          </w:p>
        </w:tc>
        <w:tc>
          <w:tcPr>
            <w:tcW w:w="605" w:type="dxa"/>
            <w:tcBorders>
              <w:top w:val="nil"/>
              <w:left w:val="nil"/>
              <w:bottom w:val="single" w:sz="4" w:space="0" w:color="auto"/>
              <w:right w:val="single" w:sz="4" w:space="0" w:color="auto"/>
            </w:tcBorders>
            <w:noWrap/>
            <w:vAlign w:val="center"/>
          </w:tcPr>
          <w:p w14:paraId="59F6062A"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=24家</w:t>
            </w:r>
          </w:p>
        </w:tc>
        <w:tc>
          <w:tcPr>
            <w:tcW w:w="723" w:type="dxa"/>
            <w:tcBorders>
              <w:top w:val="nil"/>
              <w:left w:val="nil"/>
              <w:bottom w:val="single" w:sz="4" w:space="0" w:color="auto"/>
              <w:right w:val="single" w:sz="4" w:space="0" w:color="auto"/>
            </w:tcBorders>
            <w:noWrap/>
            <w:vAlign w:val="center"/>
          </w:tcPr>
          <w:p w14:paraId="4E575ABD" w14:textId="77777777" w:rsidR="007A173C" w:rsidRDefault="00000000">
            <w:pPr>
              <w:jc w:val="center"/>
              <w:rPr>
                <w:rFonts w:ascii="宋体" w:eastAsia="宋体" w:hAnsi="宋体" w:cs="宋体" w:hint="eastAsia"/>
                <w:sz w:val="18"/>
                <w:szCs w:val="18"/>
              </w:rPr>
            </w:pPr>
            <w:r>
              <w:rPr>
                <w:rFonts w:ascii="宋体" w:eastAsia="宋体" w:hAnsi="宋体" w:cs="宋体" w:hint="eastAsia"/>
                <w:sz w:val="18"/>
                <w:szCs w:val="18"/>
              </w:rPr>
              <w:t>50</w:t>
            </w:r>
          </w:p>
        </w:tc>
      </w:tr>
    </w:tbl>
    <w:p w14:paraId="3D73715A" w14:textId="77777777" w:rsidR="007A173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0D057C6" w14:textId="77777777" w:rsidR="007A173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7A173C" w14:paraId="6820057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3C404BF" w14:textId="77777777" w:rsidR="007A173C"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31F6E79B" w14:textId="77777777" w:rsidR="007A173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7A173C" w14:paraId="15BD12D4"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F7D9B9D"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00C7AE88" w14:textId="77777777" w:rsidR="007A173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奇台县卫生健康综合监督执法局</w:t>
            </w:r>
          </w:p>
        </w:tc>
        <w:tc>
          <w:tcPr>
            <w:tcW w:w="708" w:type="pct"/>
            <w:gridSpan w:val="2"/>
            <w:tcBorders>
              <w:top w:val="single" w:sz="4" w:space="0" w:color="auto"/>
              <w:left w:val="nil"/>
              <w:bottom w:val="single" w:sz="4" w:space="0" w:color="auto"/>
              <w:right w:val="single" w:sz="4" w:space="0" w:color="auto"/>
            </w:tcBorders>
            <w:vAlign w:val="center"/>
          </w:tcPr>
          <w:p w14:paraId="077F3861"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36A291B8" w14:textId="77777777" w:rsidR="007A173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奇台县卫生健康综合监督执法局</w:t>
            </w:r>
          </w:p>
        </w:tc>
      </w:tr>
      <w:tr w:rsidR="007A173C" w14:paraId="4A3ABEB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1881C0C"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2DA8A159" w14:textId="77777777" w:rsidR="007A173C" w:rsidRDefault="007A173C">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9429485"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4A488D34"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C5DEA64"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19F5EAC1"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0A3B9B39"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BBE9A86"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A173C" w14:paraId="24D6B5E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AB3BA50" w14:textId="77777777" w:rsidR="007A173C" w:rsidRDefault="007A173C">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BFF799C"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2E93AC0"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w:t>
            </w:r>
          </w:p>
        </w:tc>
        <w:tc>
          <w:tcPr>
            <w:tcW w:w="982" w:type="pct"/>
            <w:gridSpan w:val="3"/>
            <w:tcBorders>
              <w:top w:val="single" w:sz="4" w:space="0" w:color="auto"/>
              <w:left w:val="nil"/>
              <w:bottom w:val="single" w:sz="4" w:space="0" w:color="auto"/>
              <w:right w:val="single" w:sz="4" w:space="0" w:color="auto"/>
            </w:tcBorders>
            <w:vAlign w:val="center"/>
          </w:tcPr>
          <w:p w14:paraId="087FB2F1"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708" w:type="pct"/>
            <w:gridSpan w:val="2"/>
            <w:tcBorders>
              <w:top w:val="single" w:sz="4" w:space="0" w:color="auto"/>
              <w:left w:val="nil"/>
              <w:bottom w:val="single" w:sz="4" w:space="0" w:color="auto"/>
              <w:right w:val="single" w:sz="4" w:space="0" w:color="auto"/>
            </w:tcBorders>
            <w:vAlign w:val="center"/>
          </w:tcPr>
          <w:p w14:paraId="26007D34"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671" w:type="pct"/>
            <w:gridSpan w:val="2"/>
            <w:tcBorders>
              <w:top w:val="nil"/>
              <w:left w:val="nil"/>
              <w:bottom w:val="single" w:sz="4" w:space="0" w:color="auto"/>
              <w:right w:val="single" w:sz="4" w:space="0" w:color="auto"/>
            </w:tcBorders>
            <w:vAlign w:val="center"/>
          </w:tcPr>
          <w:p w14:paraId="7BCFE976"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23C4F32"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EB730C5"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A173C" w14:paraId="23FD129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C0E466C" w14:textId="77777777" w:rsidR="007A173C" w:rsidRDefault="007A173C">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AB08AB5"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1C603B1"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w:t>
            </w:r>
          </w:p>
        </w:tc>
        <w:tc>
          <w:tcPr>
            <w:tcW w:w="982" w:type="pct"/>
            <w:gridSpan w:val="3"/>
            <w:tcBorders>
              <w:top w:val="single" w:sz="4" w:space="0" w:color="auto"/>
              <w:left w:val="nil"/>
              <w:bottom w:val="single" w:sz="4" w:space="0" w:color="auto"/>
              <w:right w:val="single" w:sz="4" w:space="0" w:color="auto"/>
            </w:tcBorders>
            <w:vAlign w:val="center"/>
          </w:tcPr>
          <w:p w14:paraId="34887126"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708" w:type="pct"/>
            <w:gridSpan w:val="2"/>
            <w:tcBorders>
              <w:top w:val="single" w:sz="4" w:space="0" w:color="auto"/>
              <w:left w:val="nil"/>
              <w:bottom w:val="single" w:sz="4" w:space="0" w:color="auto"/>
              <w:right w:val="single" w:sz="4" w:space="0" w:color="auto"/>
            </w:tcBorders>
            <w:vAlign w:val="center"/>
          </w:tcPr>
          <w:p w14:paraId="71697C18"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671" w:type="pct"/>
            <w:gridSpan w:val="2"/>
            <w:tcBorders>
              <w:top w:val="nil"/>
              <w:left w:val="nil"/>
              <w:bottom w:val="single" w:sz="4" w:space="0" w:color="auto"/>
              <w:right w:val="single" w:sz="4" w:space="0" w:color="auto"/>
            </w:tcBorders>
            <w:vAlign w:val="center"/>
          </w:tcPr>
          <w:p w14:paraId="76CA94E2"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4BE9F28"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FECA184"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A173C" w14:paraId="3091881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EBE9880" w14:textId="77777777" w:rsidR="007A173C" w:rsidRDefault="007A173C">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0ED2D15" w14:textId="77777777" w:rsidR="007A173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15E75C84"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7D4FE48"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12BF130"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DD0A0E5"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7B93EBF"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8A8D8C9"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A173C" w14:paraId="7BBEC2B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A1E9180"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61C0CFB6"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3CED6EC1"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A173C" w14:paraId="11B6A41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04005AC" w14:textId="77777777" w:rsidR="007A173C" w:rsidRDefault="007A173C">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3267D9D" w14:textId="77777777" w:rsidR="007A173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向居民免费发放食品安全宣传资料、实施食品安全标准制定及跟踪次数不少于4次、卫生监督检测不少于24家等形式，提高居民健康意识，改变不良生活方式，逐步树立起自我健康管理的理念；减少主要健康危险因素，预防和控制传染病及慢性病的发生和流行；建立起维护居民健康的第一道屏障，提高居民健康素质。</w:t>
            </w:r>
          </w:p>
        </w:tc>
        <w:tc>
          <w:tcPr>
            <w:tcW w:w="2559" w:type="pct"/>
            <w:gridSpan w:val="7"/>
            <w:tcBorders>
              <w:top w:val="single" w:sz="4" w:space="0" w:color="auto"/>
              <w:left w:val="nil"/>
              <w:bottom w:val="single" w:sz="4" w:space="0" w:color="auto"/>
              <w:right w:val="single" w:sz="4" w:space="0" w:color="auto"/>
            </w:tcBorders>
            <w:vAlign w:val="center"/>
          </w:tcPr>
          <w:p w14:paraId="46ADB99D" w14:textId="77777777" w:rsidR="007A173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国家随机监督抽查项目检测24家，食品安全标准制定及跟踪评价4次，食品安全宣传4次，国家随机监督抽查项目检测率达100%，食品安全标准制定及跟踪评价完成率达95%，食品安全宣传率达95%，群众健康常识知晓率达90%。</w:t>
            </w:r>
          </w:p>
        </w:tc>
      </w:tr>
      <w:tr w:rsidR="007A173C" w14:paraId="0984C91D" w14:textId="77777777">
        <w:trPr>
          <w:trHeight w:val="820"/>
        </w:trPr>
        <w:tc>
          <w:tcPr>
            <w:tcW w:w="328" w:type="pct"/>
            <w:tcBorders>
              <w:top w:val="nil"/>
              <w:left w:val="single" w:sz="4" w:space="0" w:color="auto"/>
              <w:bottom w:val="single" w:sz="4" w:space="0" w:color="auto"/>
              <w:right w:val="single" w:sz="4" w:space="0" w:color="auto"/>
            </w:tcBorders>
            <w:vAlign w:val="center"/>
          </w:tcPr>
          <w:p w14:paraId="26C2AB7A" w14:textId="77777777" w:rsidR="007A173C" w:rsidRDefault="007A173C">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53930FA"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4E18AF80"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2411A2AF"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39ADD9A"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77344877"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2BCCF02C"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70269409"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130A0520"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027346D0"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1B705728"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3FCC58D9"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1D7959F8"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37D5077" w14:textId="77777777" w:rsidR="007A173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A173C" w14:paraId="54779937" w14:textId="77777777">
        <w:trPr>
          <w:trHeight w:val="800"/>
        </w:trPr>
        <w:tc>
          <w:tcPr>
            <w:tcW w:w="328" w:type="pct"/>
            <w:vMerge w:val="restart"/>
            <w:tcBorders>
              <w:top w:val="nil"/>
              <w:left w:val="single" w:sz="4" w:space="0" w:color="auto"/>
              <w:right w:val="single" w:sz="4" w:space="0" w:color="auto"/>
            </w:tcBorders>
            <w:vAlign w:val="center"/>
          </w:tcPr>
          <w:p w14:paraId="462415E2" w14:textId="77777777" w:rsidR="007A173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168495A"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8D3021F"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20545FD" w14:textId="77777777" w:rsidR="007A173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食品安全宣传次数</w:t>
            </w:r>
            <w:proofErr w:type="spellEnd"/>
          </w:p>
        </w:tc>
        <w:tc>
          <w:tcPr>
            <w:tcW w:w="334" w:type="pct"/>
            <w:tcBorders>
              <w:top w:val="nil"/>
              <w:left w:val="nil"/>
              <w:bottom w:val="single" w:sz="4" w:space="0" w:color="auto"/>
              <w:right w:val="single" w:sz="4" w:space="0" w:color="auto"/>
            </w:tcBorders>
            <w:vAlign w:val="center"/>
          </w:tcPr>
          <w:p w14:paraId="7F5AD5DF"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ACBB97B"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3" w:type="pct"/>
            <w:tcBorders>
              <w:top w:val="nil"/>
              <w:left w:val="nil"/>
              <w:bottom w:val="single" w:sz="4" w:space="0" w:color="auto"/>
              <w:right w:val="single" w:sz="4" w:space="0" w:color="auto"/>
            </w:tcBorders>
            <w:vAlign w:val="center"/>
          </w:tcPr>
          <w:p w14:paraId="54978C0F"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54E4F643"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EC847DF"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47A268F"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D25E8D5"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26205A7"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57F9C14"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B937EE3" w14:textId="77777777" w:rsidR="007A173C" w:rsidRDefault="007A173C">
            <w:pPr>
              <w:jc w:val="center"/>
              <w:rPr>
                <w:rFonts w:ascii="宋体" w:eastAsia="宋体" w:hAnsi="宋体" w:cs="宋体" w:hint="eastAsia"/>
                <w:color w:val="000000"/>
                <w:sz w:val="18"/>
                <w:szCs w:val="18"/>
              </w:rPr>
            </w:pPr>
          </w:p>
        </w:tc>
      </w:tr>
      <w:tr w:rsidR="007A173C" w14:paraId="5DEC24D2" w14:textId="77777777">
        <w:trPr>
          <w:trHeight w:val="800"/>
        </w:trPr>
        <w:tc>
          <w:tcPr>
            <w:tcW w:w="328" w:type="pct"/>
            <w:vMerge/>
            <w:tcBorders>
              <w:left w:val="single" w:sz="4" w:space="0" w:color="auto"/>
              <w:right w:val="single" w:sz="4" w:space="0" w:color="auto"/>
            </w:tcBorders>
            <w:vAlign w:val="center"/>
          </w:tcPr>
          <w:p w14:paraId="0B3DA927" w14:textId="77777777" w:rsidR="007A173C" w:rsidRDefault="007A173C">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78EEC4C" w14:textId="77777777" w:rsidR="007A173C" w:rsidRDefault="007A173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10C031E"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4E051C4" w14:textId="77777777" w:rsidR="007A173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国家随机监督抽查项目检测家数</w:t>
            </w:r>
          </w:p>
        </w:tc>
        <w:tc>
          <w:tcPr>
            <w:tcW w:w="334" w:type="pct"/>
            <w:tcBorders>
              <w:top w:val="nil"/>
              <w:left w:val="nil"/>
              <w:bottom w:val="single" w:sz="4" w:space="0" w:color="auto"/>
              <w:right w:val="single" w:sz="4" w:space="0" w:color="auto"/>
            </w:tcBorders>
            <w:vAlign w:val="center"/>
          </w:tcPr>
          <w:p w14:paraId="0CADAB11"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D885D00"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&gt;=24家</w:t>
            </w:r>
          </w:p>
        </w:tc>
        <w:tc>
          <w:tcPr>
            <w:tcW w:w="333" w:type="pct"/>
            <w:tcBorders>
              <w:top w:val="nil"/>
              <w:left w:val="nil"/>
              <w:bottom w:val="single" w:sz="4" w:space="0" w:color="auto"/>
              <w:right w:val="single" w:sz="4" w:space="0" w:color="auto"/>
            </w:tcBorders>
            <w:vAlign w:val="center"/>
          </w:tcPr>
          <w:p w14:paraId="7364C12F"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=24家</w:t>
            </w:r>
          </w:p>
        </w:tc>
        <w:tc>
          <w:tcPr>
            <w:tcW w:w="328" w:type="pct"/>
            <w:tcBorders>
              <w:top w:val="nil"/>
              <w:left w:val="nil"/>
              <w:bottom w:val="single" w:sz="4" w:space="0" w:color="auto"/>
              <w:right w:val="single" w:sz="4" w:space="0" w:color="auto"/>
            </w:tcBorders>
            <w:vAlign w:val="center"/>
          </w:tcPr>
          <w:p w14:paraId="7B540F66"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2DFA879"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94F23DE"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C1FC36E"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9992D40"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469C55E"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8C58E2D" w14:textId="77777777" w:rsidR="007A173C" w:rsidRDefault="007A173C">
            <w:pPr>
              <w:jc w:val="center"/>
              <w:rPr>
                <w:rFonts w:ascii="宋体" w:eastAsia="宋体" w:hAnsi="宋体" w:cs="宋体" w:hint="eastAsia"/>
                <w:color w:val="000000"/>
                <w:sz w:val="18"/>
                <w:szCs w:val="18"/>
              </w:rPr>
            </w:pPr>
          </w:p>
        </w:tc>
      </w:tr>
      <w:tr w:rsidR="007A173C" w14:paraId="11C57D71" w14:textId="77777777">
        <w:trPr>
          <w:trHeight w:val="800"/>
        </w:trPr>
        <w:tc>
          <w:tcPr>
            <w:tcW w:w="328" w:type="pct"/>
            <w:vMerge/>
            <w:tcBorders>
              <w:left w:val="single" w:sz="4" w:space="0" w:color="auto"/>
              <w:right w:val="single" w:sz="4" w:space="0" w:color="auto"/>
            </w:tcBorders>
            <w:vAlign w:val="center"/>
          </w:tcPr>
          <w:p w14:paraId="474D6946" w14:textId="77777777" w:rsidR="007A173C" w:rsidRDefault="007A173C">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FCC8C3A" w14:textId="77777777" w:rsidR="007A173C" w:rsidRDefault="007A173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52C7931"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6322AD5" w14:textId="77777777" w:rsidR="007A173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食品安全标准制定及跟踪评价次数</w:t>
            </w:r>
          </w:p>
        </w:tc>
        <w:tc>
          <w:tcPr>
            <w:tcW w:w="334" w:type="pct"/>
            <w:tcBorders>
              <w:top w:val="nil"/>
              <w:left w:val="nil"/>
              <w:bottom w:val="single" w:sz="4" w:space="0" w:color="auto"/>
              <w:right w:val="single" w:sz="4" w:space="0" w:color="auto"/>
            </w:tcBorders>
            <w:vAlign w:val="center"/>
          </w:tcPr>
          <w:p w14:paraId="7DA22C01"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17F21AA"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3" w:type="pct"/>
            <w:tcBorders>
              <w:top w:val="nil"/>
              <w:left w:val="nil"/>
              <w:bottom w:val="single" w:sz="4" w:space="0" w:color="auto"/>
              <w:right w:val="single" w:sz="4" w:space="0" w:color="auto"/>
            </w:tcBorders>
            <w:vAlign w:val="center"/>
          </w:tcPr>
          <w:p w14:paraId="153B67FA"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2310A6E8"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0DFD7E4"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66A15DA"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ED525BD"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2157975"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CE16761"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E47C10B" w14:textId="77777777" w:rsidR="007A173C" w:rsidRDefault="007A173C">
            <w:pPr>
              <w:jc w:val="center"/>
              <w:rPr>
                <w:rFonts w:ascii="宋体" w:eastAsia="宋体" w:hAnsi="宋体" w:cs="宋体" w:hint="eastAsia"/>
                <w:color w:val="000000"/>
                <w:sz w:val="18"/>
                <w:szCs w:val="18"/>
              </w:rPr>
            </w:pPr>
          </w:p>
        </w:tc>
      </w:tr>
      <w:tr w:rsidR="007A173C" w14:paraId="3A52BBAB" w14:textId="77777777">
        <w:trPr>
          <w:trHeight w:val="800"/>
        </w:trPr>
        <w:tc>
          <w:tcPr>
            <w:tcW w:w="328" w:type="pct"/>
            <w:vMerge/>
            <w:tcBorders>
              <w:left w:val="single" w:sz="4" w:space="0" w:color="auto"/>
              <w:right w:val="single" w:sz="4" w:space="0" w:color="auto"/>
            </w:tcBorders>
            <w:vAlign w:val="center"/>
          </w:tcPr>
          <w:p w14:paraId="606A259A" w14:textId="77777777" w:rsidR="007A173C" w:rsidRDefault="007A173C">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3315EB5" w14:textId="77777777" w:rsidR="007A173C" w:rsidRDefault="007A173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80B36D1"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142F3CC" w14:textId="77777777" w:rsidR="007A173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食品安全宣传率</w:t>
            </w:r>
            <w:proofErr w:type="spellEnd"/>
          </w:p>
        </w:tc>
        <w:tc>
          <w:tcPr>
            <w:tcW w:w="334" w:type="pct"/>
            <w:tcBorders>
              <w:top w:val="nil"/>
              <w:left w:val="nil"/>
              <w:bottom w:val="single" w:sz="4" w:space="0" w:color="auto"/>
              <w:right w:val="single" w:sz="4" w:space="0" w:color="auto"/>
            </w:tcBorders>
            <w:vAlign w:val="center"/>
          </w:tcPr>
          <w:p w14:paraId="608FCD52"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7C4B86E"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20E40E2F"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800D9B8"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3AD4DFA"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A95130A"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4082859"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8009D46"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A9E5016"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67324AB" w14:textId="77777777" w:rsidR="007A173C" w:rsidRDefault="007A173C">
            <w:pPr>
              <w:jc w:val="center"/>
              <w:rPr>
                <w:rFonts w:ascii="宋体" w:eastAsia="宋体" w:hAnsi="宋体" w:cs="宋体" w:hint="eastAsia"/>
                <w:color w:val="000000"/>
                <w:sz w:val="18"/>
                <w:szCs w:val="18"/>
              </w:rPr>
            </w:pPr>
          </w:p>
        </w:tc>
      </w:tr>
      <w:tr w:rsidR="007A173C" w14:paraId="6B52331A" w14:textId="77777777">
        <w:trPr>
          <w:trHeight w:val="800"/>
        </w:trPr>
        <w:tc>
          <w:tcPr>
            <w:tcW w:w="328" w:type="pct"/>
            <w:vMerge/>
            <w:tcBorders>
              <w:left w:val="single" w:sz="4" w:space="0" w:color="auto"/>
              <w:right w:val="single" w:sz="4" w:space="0" w:color="auto"/>
            </w:tcBorders>
            <w:vAlign w:val="center"/>
          </w:tcPr>
          <w:p w14:paraId="12F6593A" w14:textId="77777777" w:rsidR="007A173C" w:rsidRDefault="007A173C">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FC9D233" w14:textId="77777777" w:rsidR="007A173C" w:rsidRDefault="007A173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C91B6FC"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D25ADD4" w14:textId="77777777" w:rsidR="007A173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国家随机监督抽查项目检测率</w:t>
            </w:r>
          </w:p>
        </w:tc>
        <w:tc>
          <w:tcPr>
            <w:tcW w:w="334" w:type="pct"/>
            <w:tcBorders>
              <w:top w:val="nil"/>
              <w:left w:val="nil"/>
              <w:bottom w:val="single" w:sz="4" w:space="0" w:color="auto"/>
              <w:right w:val="single" w:sz="4" w:space="0" w:color="auto"/>
            </w:tcBorders>
            <w:vAlign w:val="center"/>
          </w:tcPr>
          <w:p w14:paraId="798A4E0B"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9E0E665"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3F387D5"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0AED9BC"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EE3D598"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585E8F5"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D46D673"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19DAC47"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8E709F7"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2763167" w14:textId="77777777" w:rsidR="007A173C" w:rsidRDefault="007A173C">
            <w:pPr>
              <w:jc w:val="center"/>
              <w:rPr>
                <w:rFonts w:ascii="宋体" w:eastAsia="宋体" w:hAnsi="宋体" w:cs="宋体" w:hint="eastAsia"/>
                <w:color w:val="000000"/>
                <w:sz w:val="18"/>
                <w:szCs w:val="18"/>
              </w:rPr>
            </w:pPr>
          </w:p>
        </w:tc>
      </w:tr>
      <w:tr w:rsidR="007A173C" w14:paraId="0ECD9B86" w14:textId="77777777">
        <w:trPr>
          <w:trHeight w:val="800"/>
        </w:trPr>
        <w:tc>
          <w:tcPr>
            <w:tcW w:w="328" w:type="pct"/>
            <w:vMerge/>
            <w:tcBorders>
              <w:left w:val="single" w:sz="4" w:space="0" w:color="auto"/>
              <w:right w:val="single" w:sz="4" w:space="0" w:color="auto"/>
            </w:tcBorders>
            <w:vAlign w:val="center"/>
          </w:tcPr>
          <w:p w14:paraId="4B7F61DC" w14:textId="77777777" w:rsidR="007A173C" w:rsidRDefault="007A173C">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0DA00AC" w14:textId="77777777" w:rsidR="007A173C" w:rsidRDefault="007A173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658B8D2"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4B757AF" w14:textId="77777777" w:rsidR="007A173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食品安全标准制定及跟踪评价完成率</w:t>
            </w:r>
          </w:p>
        </w:tc>
        <w:tc>
          <w:tcPr>
            <w:tcW w:w="334" w:type="pct"/>
            <w:tcBorders>
              <w:top w:val="nil"/>
              <w:left w:val="nil"/>
              <w:bottom w:val="single" w:sz="4" w:space="0" w:color="auto"/>
              <w:right w:val="single" w:sz="4" w:space="0" w:color="auto"/>
            </w:tcBorders>
            <w:vAlign w:val="center"/>
          </w:tcPr>
          <w:p w14:paraId="48ABB71B"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E9C5B2D"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4F62BB6B"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9BCCB45"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ACECFE8"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B0B002C"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01292CB"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3964480"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CE924E"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DCF8FD5" w14:textId="77777777" w:rsidR="007A173C" w:rsidRDefault="007A173C">
            <w:pPr>
              <w:jc w:val="center"/>
              <w:rPr>
                <w:rFonts w:ascii="宋体" w:eastAsia="宋体" w:hAnsi="宋体" w:cs="宋体" w:hint="eastAsia"/>
                <w:color w:val="000000"/>
                <w:sz w:val="18"/>
                <w:szCs w:val="18"/>
              </w:rPr>
            </w:pPr>
          </w:p>
        </w:tc>
      </w:tr>
      <w:tr w:rsidR="007A173C" w14:paraId="2E434E11" w14:textId="77777777">
        <w:trPr>
          <w:trHeight w:val="800"/>
        </w:trPr>
        <w:tc>
          <w:tcPr>
            <w:tcW w:w="328" w:type="pct"/>
            <w:vMerge/>
            <w:tcBorders>
              <w:left w:val="single" w:sz="4" w:space="0" w:color="auto"/>
              <w:right w:val="single" w:sz="4" w:space="0" w:color="auto"/>
            </w:tcBorders>
            <w:vAlign w:val="center"/>
          </w:tcPr>
          <w:p w14:paraId="00D41F8D" w14:textId="77777777" w:rsidR="007A173C" w:rsidRDefault="007A173C">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4CB1CB7" w14:textId="77777777" w:rsidR="007A173C" w:rsidRDefault="007A173C">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F199709"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73C4118D" w14:textId="77777777" w:rsidR="007A173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资金发放及时率</w:t>
            </w:r>
            <w:proofErr w:type="spellEnd"/>
          </w:p>
        </w:tc>
        <w:tc>
          <w:tcPr>
            <w:tcW w:w="334" w:type="pct"/>
            <w:tcBorders>
              <w:top w:val="nil"/>
              <w:left w:val="nil"/>
              <w:bottom w:val="single" w:sz="4" w:space="0" w:color="auto"/>
              <w:right w:val="single" w:sz="4" w:space="0" w:color="auto"/>
            </w:tcBorders>
            <w:vAlign w:val="center"/>
          </w:tcPr>
          <w:p w14:paraId="43E253E5"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B953D4"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3" w:type="pct"/>
            <w:tcBorders>
              <w:top w:val="nil"/>
              <w:left w:val="nil"/>
              <w:bottom w:val="single" w:sz="4" w:space="0" w:color="auto"/>
              <w:right w:val="single" w:sz="4" w:space="0" w:color="auto"/>
            </w:tcBorders>
            <w:vAlign w:val="center"/>
          </w:tcPr>
          <w:p w14:paraId="4CD1CB79"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777CA88"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9A19AA0"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B5B017"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60310C2A"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54AC8EBC"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7AEC9637"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614BA69A" w14:textId="77777777" w:rsidR="007A173C" w:rsidRDefault="007A173C">
            <w:pPr>
              <w:jc w:val="center"/>
              <w:rPr>
                <w:rFonts w:ascii="宋体" w:eastAsia="宋体" w:hAnsi="宋体" w:cs="宋体" w:hint="eastAsia"/>
                <w:color w:val="000000"/>
                <w:sz w:val="18"/>
                <w:szCs w:val="18"/>
              </w:rPr>
            </w:pPr>
          </w:p>
        </w:tc>
      </w:tr>
      <w:tr w:rsidR="007A173C" w14:paraId="4EA16B73" w14:textId="77777777">
        <w:trPr>
          <w:trHeight w:val="800"/>
        </w:trPr>
        <w:tc>
          <w:tcPr>
            <w:tcW w:w="328" w:type="pct"/>
            <w:vMerge/>
            <w:tcBorders>
              <w:left w:val="single" w:sz="4" w:space="0" w:color="auto"/>
              <w:right w:val="single" w:sz="4" w:space="0" w:color="auto"/>
            </w:tcBorders>
            <w:vAlign w:val="center"/>
          </w:tcPr>
          <w:p w14:paraId="6716C022" w14:textId="77777777" w:rsidR="007A173C" w:rsidRDefault="007A173C">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ED5D002"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B99E001"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793342D4" w14:textId="77777777" w:rsidR="007A173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3E97AF42"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C2B54B6"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3" w:type="pct"/>
            <w:tcBorders>
              <w:top w:val="nil"/>
              <w:left w:val="nil"/>
              <w:bottom w:val="single" w:sz="4" w:space="0" w:color="auto"/>
              <w:right w:val="single" w:sz="4" w:space="0" w:color="auto"/>
            </w:tcBorders>
            <w:vAlign w:val="center"/>
          </w:tcPr>
          <w:p w14:paraId="055DACE0"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5BDD048"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EC623B"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0811F84"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4A2D9A1"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683C4AF"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81D6D8D"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C009D5A" w14:textId="77777777" w:rsidR="007A173C" w:rsidRDefault="007A173C">
            <w:pPr>
              <w:jc w:val="center"/>
              <w:rPr>
                <w:rFonts w:ascii="宋体" w:eastAsia="宋体" w:hAnsi="宋体" w:cs="宋体" w:hint="eastAsia"/>
                <w:color w:val="000000"/>
                <w:sz w:val="18"/>
                <w:szCs w:val="18"/>
              </w:rPr>
            </w:pPr>
          </w:p>
        </w:tc>
      </w:tr>
      <w:tr w:rsidR="007A173C" w14:paraId="0F24FC17" w14:textId="77777777">
        <w:trPr>
          <w:trHeight w:val="800"/>
        </w:trPr>
        <w:tc>
          <w:tcPr>
            <w:tcW w:w="328" w:type="pct"/>
            <w:vMerge/>
            <w:tcBorders>
              <w:left w:val="single" w:sz="4" w:space="0" w:color="auto"/>
              <w:right w:val="single" w:sz="4" w:space="0" w:color="auto"/>
            </w:tcBorders>
            <w:vAlign w:val="center"/>
          </w:tcPr>
          <w:p w14:paraId="21A3E7E1" w14:textId="77777777" w:rsidR="007A173C" w:rsidRDefault="007A173C">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03790F"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847F184"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6B093037" w14:textId="77777777" w:rsidR="007A173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提高群众健康常识知晓率</w:t>
            </w:r>
          </w:p>
        </w:tc>
        <w:tc>
          <w:tcPr>
            <w:tcW w:w="334" w:type="pct"/>
            <w:tcBorders>
              <w:top w:val="nil"/>
              <w:left w:val="nil"/>
              <w:bottom w:val="single" w:sz="4" w:space="0" w:color="auto"/>
              <w:right w:val="single" w:sz="4" w:space="0" w:color="auto"/>
            </w:tcBorders>
            <w:vAlign w:val="center"/>
          </w:tcPr>
          <w:p w14:paraId="5A8B90F6"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7450542"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DE79149"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7BD9554"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F16A270"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262843E"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8782B8C"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52B585A"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AE93AE8"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0859153" w14:textId="77777777" w:rsidR="007A173C" w:rsidRDefault="007A173C">
            <w:pPr>
              <w:jc w:val="center"/>
              <w:rPr>
                <w:rFonts w:ascii="宋体" w:eastAsia="宋体" w:hAnsi="宋体" w:cs="宋体" w:hint="eastAsia"/>
                <w:color w:val="000000"/>
                <w:sz w:val="18"/>
                <w:szCs w:val="18"/>
              </w:rPr>
            </w:pPr>
          </w:p>
        </w:tc>
      </w:tr>
      <w:tr w:rsidR="007A173C" w14:paraId="76E3B888" w14:textId="77777777">
        <w:trPr>
          <w:trHeight w:val="800"/>
        </w:trPr>
        <w:tc>
          <w:tcPr>
            <w:tcW w:w="328" w:type="pct"/>
            <w:vMerge/>
            <w:tcBorders>
              <w:left w:val="single" w:sz="4" w:space="0" w:color="auto"/>
              <w:bottom w:val="single" w:sz="4" w:space="0" w:color="auto"/>
              <w:right w:val="single" w:sz="4" w:space="0" w:color="auto"/>
            </w:tcBorders>
            <w:vAlign w:val="center"/>
          </w:tcPr>
          <w:p w14:paraId="18E7B727" w14:textId="77777777" w:rsidR="007A173C" w:rsidRDefault="007A173C">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6A20DF"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E7BCC59"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4E5B5B28" w14:textId="77777777" w:rsidR="007A173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p>
        </w:tc>
        <w:tc>
          <w:tcPr>
            <w:tcW w:w="334" w:type="pct"/>
            <w:tcBorders>
              <w:top w:val="nil"/>
              <w:left w:val="nil"/>
              <w:bottom w:val="single" w:sz="4" w:space="0" w:color="auto"/>
              <w:right w:val="single" w:sz="4" w:space="0" w:color="auto"/>
            </w:tcBorders>
            <w:vAlign w:val="center"/>
          </w:tcPr>
          <w:p w14:paraId="21C4EBCB"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96918E"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1D5AC104"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DAB746B"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9E0F06"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BB3576F"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A2E19B6"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59D3389"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ACECF22" w14:textId="77777777" w:rsidR="007A173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AED2650" w14:textId="77777777" w:rsidR="007A173C" w:rsidRDefault="007A173C">
            <w:pPr>
              <w:jc w:val="center"/>
              <w:rPr>
                <w:rFonts w:ascii="宋体" w:eastAsia="宋体" w:hAnsi="宋体" w:cs="宋体" w:hint="eastAsia"/>
                <w:color w:val="000000"/>
                <w:sz w:val="18"/>
                <w:szCs w:val="18"/>
              </w:rPr>
            </w:pPr>
          </w:p>
        </w:tc>
      </w:tr>
      <w:tr w:rsidR="007A173C" w14:paraId="6F3E13EB"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92B21C9" w14:textId="77777777" w:rsidR="007A173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6BBD08C" w14:textId="77777777" w:rsidR="007A173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E3C4B00" w14:textId="77777777" w:rsidR="007A173C" w:rsidRDefault="007A173C">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A16050F" w14:textId="77777777" w:rsidR="007A173C" w:rsidRDefault="007A173C">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9CCE3EB" w14:textId="77777777" w:rsidR="007A173C" w:rsidRDefault="007A173C">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450958C" w14:textId="77777777" w:rsidR="007A173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285FA58" w14:textId="77777777" w:rsidR="007A173C" w:rsidRDefault="007A173C">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8E1DDAE" w14:textId="77777777" w:rsidR="007A173C" w:rsidRDefault="007A173C">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C0242A4" w14:textId="77777777" w:rsidR="007A173C" w:rsidRDefault="007A173C">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DC34CAC" w14:textId="77777777" w:rsidR="007A173C" w:rsidRDefault="007A173C">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86113B6" w14:textId="77777777" w:rsidR="007A173C" w:rsidRDefault="007A173C">
            <w:pPr>
              <w:rPr>
                <w:rFonts w:ascii="宋体" w:eastAsia="宋体" w:hAnsi="宋体" w:cs="宋体" w:hint="eastAsia"/>
                <w:color w:val="000000"/>
                <w:sz w:val="18"/>
                <w:szCs w:val="18"/>
              </w:rPr>
            </w:pPr>
          </w:p>
        </w:tc>
      </w:tr>
      <w:bookmarkEnd w:id="0"/>
    </w:tbl>
    <w:p w14:paraId="3B8F004E" w14:textId="77777777" w:rsidR="007A173C" w:rsidRDefault="007A173C">
      <w:pPr>
        <w:spacing w:after="0" w:line="240" w:lineRule="auto"/>
        <w:ind w:firstLineChars="200" w:firstLine="640"/>
        <w:jc w:val="both"/>
        <w:rPr>
          <w:rFonts w:ascii="仿宋_GB2312" w:eastAsia="仿宋_GB2312"/>
          <w:sz w:val="32"/>
          <w:szCs w:val="32"/>
        </w:rPr>
      </w:pPr>
    </w:p>
    <w:p w14:paraId="780B7365" w14:textId="77777777" w:rsidR="007A173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6A56D955" w14:textId="77777777" w:rsidR="007A173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0DC8499" w14:textId="77777777" w:rsidR="007A173C" w:rsidRDefault="007A173C">
      <w:pPr>
        <w:spacing w:after="0" w:line="240" w:lineRule="auto"/>
        <w:ind w:firstLineChars="200" w:firstLine="640"/>
        <w:rPr>
          <w:rFonts w:ascii="仿宋_GB2312" w:eastAsia="仿宋_GB2312"/>
          <w:sz w:val="32"/>
          <w:szCs w:val="32"/>
          <w:lang w:eastAsia="zh-CN"/>
        </w:rPr>
      </w:pPr>
    </w:p>
    <w:p w14:paraId="46D79894" w14:textId="77777777" w:rsidR="007A173C" w:rsidRDefault="00000000">
      <w:pPr>
        <w:rPr>
          <w:lang w:eastAsia="zh-CN"/>
        </w:rPr>
      </w:pPr>
      <w:r>
        <w:rPr>
          <w:sz w:val="0"/>
          <w:szCs w:val="0"/>
          <w:lang w:eastAsia="zh-CN"/>
        </w:rPr>
        <w:br w:type="page"/>
      </w:r>
    </w:p>
    <w:p w14:paraId="58054C0B" w14:textId="77777777" w:rsidR="007A173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5E431983"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F36966C"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C359349"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E60407F"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D970E0C"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702A7E4"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BEFC53E"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86EDF8C"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82D9CD"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6EA3C14"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30FA45B"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A211B3E"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31EC762"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ED3B45F" w14:textId="77777777" w:rsidR="007A173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ABB7C14" w14:textId="77777777" w:rsidR="007A173C" w:rsidRDefault="00000000">
      <w:pPr>
        <w:rPr>
          <w:lang w:eastAsia="zh-CN"/>
        </w:rPr>
      </w:pPr>
      <w:r>
        <w:rPr>
          <w:sz w:val="0"/>
          <w:szCs w:val="0"/>
          <w:lang w:eastAsia="zh-CN"/>
        </w:rPr>
        <w:br w:type="page"/>
      </w:r>
    </w:p>
    <w:p w14:paraId="7593D465" w14:textId="77777777" w:rsidR="007A173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3480B52" w14:textId="77777777" w:rsidR="007A173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DE72088" w14:textId="77777777" w:rsidR="007A173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6D7CFC7" w14:textId="77777777" w:rsidR="007A173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004B055A" w14:textId="77777777" w:rsidR="007A173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918EB11" w14:textId="77777777" w:rsidR="007A173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BFECCCF" w14:textId="77777777" w:rsidR="007A173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903FD0F" w14:textId="77777777" w:rsidR="007A173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9101CD0" w14:textId="77777777" w:rsidR="007A173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A2E34C6" w14:textId="77777777" w:rsidR="007A173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A173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5A099" w14:textId="77777777" w:rsidR="00C05918" w:rsidRDefault="00C05918">
      <w:pPr>
        <w:spacing w:line="240" w:lineRule="auto"/>
      </w:pPr>
      <w:r>
        <w:separator/>
      </w:r>
    </w:p>
  </w:endnote>
  <w:endnote w:type="continuationSeparator" w:id="0">
    <w:p w14:paraId="75D08468" w14:textId="77777777" w:rsidR="00C05918" w:rsidRDefault="00C059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52162" w14:textId="77777777" w:rsidR="00C05918" w:rsidRDefault="00C05918">
      <w:pPr>
        <w:spacing w:after="0"/>
      </w:pPr>
      <w:r>
        <w:separator/>
      </w:r>
    </w:p>
  </w:footnote>
  <w:footnote w:type="continuationSeparator" w:id="0">
    <w:p w14:paraId="43A09C5C" w14:textId="77777777" w:rsidR="00C05918" w:rsidRDefault="00C0591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A173C"/>
    <w:rsid w:val="00082A78"/>
    <w:rsid w:val="001B7FEC"/>
    <w:rsid w:val="0032697D"/>
    <w:rsid w:val="00333D25"/>
    <w:rsid w:val="00400C9D"/>
    <w:rsid w:val="004B4449"/>
    <w:rsid w:val="00753BC3"/>
    <w:rsid w:val="007A173C"/>
    <w:rsid w:val="008D6333"/>
    <w:rsid w:val="00924678"/>
    <w:rsid w:val="00976845"/>
    <w:rsid w:val="009F1F93"/>
    <w:rsid w:val="00AA35EB"/>
    <w:rsid w:val="00B66565"/>
    <w:rsid w:val="00C05918"/>
    <w:rsid w:val="00EA6CFE"/>
    <w:rsid w:val="00FA54E8"/>
    <w:rsid w:val="0FD31E0C"/>
    <w:rsid w:val="124E2555"/>
    <w:rsid w:val="13712C5C"/>
    <w:rsid w:val="18706FC9"/>
    <w:rsid w:val="1F166CAD"/>
    <w:rsid w:val="26BF10E0"/>
    <w:rsid w:val="29667B4D"/>
    <w:rsid w:val="2CBD02DA"/>
    <w:rsid w:val="3A1B4A55"/>
    <w:rsid w:val="43714522"/>
    <w:rsid w:val="571E7405"/>
    <w:rsid w:val="5FF52F1D"/>
    <w:rsid w:val="76BF202A"/>
    <w:rsid w:val="7EC02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4A644"/>
  <w15:docId w15:val="{4E6086B2-6F59-44EC-9472-ADEC2E88C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32697D"/>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32697D"/>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17</Pages>
  <Words>1334</Words>
  <Characters>7607</Characters>
  <Application>Microsoft Office Word</Application>
  <DocSecurity>0</DocSecurity>
  <Lines>63</Lines>
  <Paragraphs>17</Paragraphs>
  <ScaleCrop>false</ScaleCrop>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cuiqi</cp:lastModifiedBy>
  <cp:revision>12</cp:revision>
  <dcterms:created xsi:type="dcterms:W3CDTF">2025-09-19T09:22:00Z</dcterms:created>
  <dcterms:modified xsi:type="dcterms:W3CDTF">2025-11-20T03:44:00Z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99F80E753C1A4BDCB34147104D884A1E_12</vt:lpwstr>
  </property>
</Properties>
</file>