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7B57E">
      <w:pPr>
        <w:spacing w:line="540" w:lineRule="exact"/>
        <w:jc w:val="center"/>
        <w:rPr>
          <w:rFonts w:hint="default" w:ascii="Times New Roman" w:hAnsi="Times New Roman" w:eastAsia="华文中宋" w:cs="Times New Roman"/>
          <w:b/>
          <w:kern w:val="0"/>
          <w:sz w:val="52"/>
          <w:szCs w:val="52"/>
        </w:rPr>
      </w:pPr>
    </w:p>
    <w:p w14:paraId="402DA23F">
      <w:pPr>
        <w:spacing w:line="540" w:lineRule="exact"/>
        <w:rPr>
          <w:rFonts w:hint="default" w:ascii="Times New Roman" w:hAnsi="Times New Roman" w:eastAsia="华文中宋" w:cs="Times New Roman"/>
          <w:b/>
          <w:kern w:val="0"/>
          <w:sz w:val="52"/>
          <w:szCs w:val="52"/>
        </w:rPr>
      </w:pPr>
    </w:p>
    <w:p w14:paraId="5D888126">
      <w:pPr>
        <w:spacing w:line="540" w:lineRule="exact"/>
        <w:jc w:val="center"/>
        <w:rPr>
          <w:rFonts w:hint="default" w:ascii="Times New Roman" w:hAnsi="Times New Roman" w:eastAsia="华文中宋" w:cs="Times New Roman"/>
          <w:b/>
          <w:kern w:val="0"/>
          <w:sz w:val="52"/>
          <w:szCs w:val="52"/>
        </w:rPr>
      </w:pPr>
    </w:p>
    <w:p w14:paraId="44D4561A">
      <w:pPr>
        <w:spacing w:line="540" w:lineRule="exact"/>
        <w:jc w:val="center"/>
        <w:rPr>
          <w:rFonts w:hint="default" w:ascii="Times New Roman" w:hAnsi="Times New Roman" w:eastAsia="华文中宋" w:cs="Times New Roman"/>
          <w:b/>
          <w:kern w:val="0"/>
          <w:sz w:val="52"/>
          <w:szCs w:val="52"/>
        </w:rPr>
      </w:pPr>
    </w:p>
    <w:p w14:paraId="5DFED129">
      <w:pPr>
        <w:spacing w:line="540" w:lineRule="exact"/>
        <w:jc w:val="center"/>
        <w:rPr>
          <w:rFonts w:hint="default" w:ascii="Times New Roman" w:hAnsi="Times New Roman" w:eastAsia="方正小标宋_GBK" w:cs="Times New Roman"/>
          <w:kern w:val="0"/>
          <w:sz w:val="48"/>
          <w:szCs w:val="48"/>
        </w:rPr>
      </w:pPr>
      <w:bookmarkStart w:id="3" w:name="_GoBack"/>
      <w:r>
        <w:rPr>
          <w:rFonts w:hint="default" w:ascii="Times New Roman" w:hAnsi="Times New Roman" w:eastAsia="方正小标宋_GBK" w:cs="Times New Roman"/>
          <w:kern w:val="0"/>
          <w:sz w:val="48"/>
          <w:szCs w:val="48"/>
        </w:rPr>
        <w:t>2024年基本公共卫生服务补助资金项目</w:t>
      </w:r>
    </w:p>
    <w:p w14:paraId="5678606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支出绩效评价</w:t>
      </w:r>
    </w:p>
    <w:p w14:paraId="7BF6FFD5">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bookmarkEnd w:id="3"/>
    <w:p w14:paraId="35D3C569">
      <w:pPr>
        <w:spacing w:line="540" w:lineRule="exact"/>
        <w:jc w:val="center"/>
        <w:rPr>
          <w:rFonts w:hint="default" w:ascii="Times New Roman" w:hAnsi="Times New Roman" w:eastAsia="华文中宋" w:cs="Times New Roman"/>
          <w:b/>
          <w:kern w:val="0"/>
          <w:sz w:val="52"/>
          <w:szCs w:val="52"/>
        </w:rPr>
      </w:pPr>
    </w:p>
    <w:p w14:paraId="261D080F">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6B74D788">
      <w:pPr>
        <w:spacing w:line="540" w:lineRule="exact"/>
        <w:jc w:val="center"/>
        <w:rPr>
          <w:rFonts w:hint="default" w:ascii="Times New Roman" w:hAnsi="Times New Roman" w:eastAsia="仿宋_GB2312" w:cs="Times New Roman"/>
          <w:kern w:val="0"/>
          <w:sz w:val="30"/>
          <w:szCs w:val="30"/>
        </w:rPr>
      </w:pPr>
    </w:p>
    <w:p w14:paraId="566D4463">
      <w:pPr>
        <w:spacing w:line="540" w:lineRule="exact"/>
        <w:jc w:val="center"/>
        <w:rPr>
          <w:rFonts w:hint="default" w:ascii="Times New Roman" w:hAnsi="Times New Roman" w:eastAsia="仿宋_GB2312" w:cs="Times New Roman"/>
          <w:kern w:val="0"/>
          <w:sz w:val="30"/>
          <w:szCs w:val="30"/>
        </w:rPr>
      </w:pPr>
    </w:p>
    <w:p w14:paraId="6D4D2E73">
      <w:pPr>
        <w:spacing w:line="540" w:lineRule="exact"/>
        <w:jc w:val="center"/>
        <w:rPr>
          <w:rFonts w:hint="default" w:ascii="Times New Roman" w:hAnsi="Times New Roman" w:eastAsia="仿宋_GB2312" w:cs="Times New Roman"/>
          <w:kern w:val="0"/>
          <w:sz w:val="30"/>
          <w:szCs w:val="30"/>
        </w:rPr>
      </w:pPr>
    </w:p>
    <w:p w14:paraId="540EEA9A">
      <w:pPr>
        <w:pStyle w:val="2"/>
        <w:rPr>
          <w:rFonts w:hint="default" w:ascii="Times New Roman" w:hAnsi="Times New Roman" w:cs="Times New Roman"/>
        </w:rPr>
      </w:pPr>
    </w:p>
    <w:p w14:paraId="7923BC94">
      <w:pPr>
        <w:spacing w:line="540" w:lineRule="exact"/>
        <w:jc w:val="center"/>
        <w:rPr>
          <w:rFonts w:hint="default" w:ascii="Times New Roman" w:hAnsi="Times New Roman" w:eastAsia="仿宋_GB2312" w:cs="Times New Roman"/>
          <w:kern w:val="0"/>
          <w:sz w:val="30"/>
          <w:szCs w:val="30"/>
        </w:rPr>
      </w:pPr>
    </w:p>
    <w:p w14:paraId="27E5AABB">
      <w:pPr>
        <w:spacing w:line="540" w:lineRule="exact"/>
        <w:rPr>
          <w:rFonts w:hint="default" w:ascii="Times New Roman" w:hAnsi="Times New Roman" w:eastAsia="仿宋_GB2312" w:cs="Times New Roman"/>
          <w:kern w:val="0"/>
          <w:sz w:val="30"/>
          <w:szCs w:val="30"/>
        </w:rPr>
      </w:pPr>
    </w:p>
    <w:p w14:paraId="2311E8BF">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项目名称：2024年基本公共卫生服务补助资金</w:t>
      </w:r>
    </w:p>
    <w:p w14:paraId="6EA238C2">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奇台县卫生健康综合监督执法局</w:t>
      </w:r>
    </w:p>
    <w:p w14:paraId="639E9384">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奇台县卫生健康综合监督执法局</w:t>
      </w:r>
    </w:p>
    <w:p w14:paraId="676FB31A">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章丽</w:t>
      </w:r>
    </w:p>
    <w:p w14:paraId="7DFD239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14:paraId="2CA85AAF">
      <w:pPr>
        <w:spacing w:line="540" w:lineRule="exact"/>
        <w:jc w:val="center"/>
        <w:rPr>
          <w:rFonts w:hint="default" w:ascii="Times New Roman" w:hAnsi="Times New Roman" w:eastAsia="仿宋_GB2312" w:cs="Times New Roman"/>
          <w:kern w:val="0"/>
          <w:sz w:val="30"/>
          <w:szCs w:val="30"/>
        </w:rPr>
      </w:pPr>
    </w:p>
    <w:p w14:paraId="5E63EEB3">
      <w:pPr>
        <w:spacing w:line="540" w:lineRule="exact"/>
        <w:ind w:firstLine="640"/>
        <w:rPr>
          <w:rStyle w:val="16"/>
          <w:rFonts w:hint="default" w:ascii="Times New Roman" w:hAnsi="Times New Roman" w:eastAsia="黑体" w:cs="Times New Roman"/>
          <w:b w:val="0"/>
          <w:spacing w:val="-4"/>
          <w:sz w:val="32"/>
          <w:szCs w:val="32"/>
        </w:rPr>
      </w:pPr>
    </w:p>
    <w:p w14:paraId="30E79851">
      <w:pPr>
        <w:spacing w:line="540" w:lineRule="exact"/>
        <w:rPr>
          <w:rStyle w:val="16"/>
          <w:rFonts w:hint="default" w:ascii="Times New Roman" w:hAnsi="Times New Roman" w:eastAsia="黑体" w:cs="Times New Roman"/>
          <w:b w:val="0"/>
          <w:spacing w:val="-4"/>
          <w:sz w:val="32"/>
          <w:szCs w:val="32"/>
        </w:rPr>
      </w:pPr>
    </w:p>
    <w:p w14:paraId="222B558D">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5B6E73B2">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7BE8B18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69193AF0">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068714D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奇台县积极贯彻落实健康中国战略，将健康融入所有政策，旨在普及健康知识，培育健康行为，改善健康环境，提高全民健康素养水平。食品安全作为关乎居民身体健康的重要方面，是落实健康中国战略的关键环节。</w:t>
      </w:r>
    </w:p>
    <w:p w14:paraId="1A5D664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新疆</w:t>
      </w:r>
      <w:r>
        <w:rPr>
          <w:rFonts w:hint="eastAsia" w:ascii="仿宋_GB2312" w:hAnsi="仿宋_GB2312" w:eastAsia="仿宋_GB2312" w:cs="仿宋_GB2312"/>
          <w:sz w:val="32"/>
          <w:szCs w:val="32"/>
        </w:rPr>
        <w:t>省卫生健康委员会关于进一步做好食品安全标准跟踪评价工作方案的通知》要求，202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奇台县</w:t>
      </w:r>
      <w:r>
        <w:rPr>
          <w:rFonts w:hint="eastAsia" w:ascii="仿宋_GB2312" w:hAnsi="仿宋_GB2312" w:eastAsia="仿宋_GB2312" w:cs="仿宋_GB2312"/>
          <w:sz w:val="32"/>
          <w:szCs w:val="32"/>
        </w:rPr>
        <w:t>承担了</w:t>
      </w:r>
      <w:r>
        <w:rPr>
          <w:rFonts w:hint="eastAsia" w:ascii="仿宋_GB2312" w:hAnsi="仿宋_GB2312" w:eastAsia="仿宋_GB2312" w:cs="仿宋_GB2312"/>
          <w:sz w:val="32"/>
          <w:szCs w:val="32"/>
          <w:lang w:eastAsia="zh-CN"/>
        </w:rPr>
        <w:t>乳及乳制品，水果、蔬菜、豆类、食用菌、藻类、坚果以及籽类，肉及肉制品</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食品安全国家</w:t>
      </w:r>
      <w:r>
        <w:rPr>
          <w:rFonts w:hint="eastAsia" w:ascii="仿宋_GB2312" w:hAnsi="仿宋_GB2312" w:eastAsia="仿宋_GB2312" w:cs="仿宋_GB2312"/>
          <w:sz w:val="32"/>
          <w:szCs w:val="32"/>
        </w:rPr>
        <w:t>标准</w:t>
      </w:r>
      <w:r>
        <w:rPr>
          <w:rFonts w:hint="eastAsia" w:ascii="仿宋_GB2312" w:hAnsi="仿宋_GB2312" w:eastAsia="仿宋_GB2312" w:cs="仿宋_GB2312"/>
          <w:sz w:val="32"/>
          <w:szCs w:val="32"/>
          <w:lang w:eastAsia="zh-CN"/>
        </w:rPr>
        <w:t>和地方标准</w:t>
      </w:r>
      <w:r>
        <w:rPr>
          <w:rFonts w:hint="eastAsia" w:ascii="仿宋_GB2312" w:hAnsi="仿宋_GB2312" w:eastAsia="仿宋_GB2312" w:cs="仿宋_GB2312"/>
          <w:sz w:val="32"/>
          <w:szCs w:val="32"/>
        </w:rPr>
        <w:t>的跟踪评价任务。</w:t>
      </w:r>
    </w:p>
    <w:p w14:paraId="3A04CDE6">
      <w:pPr>
        <w:pStyle w:val="2"/>
        <w:numPr>
          <w:ilvl w:val="0"/>
          <w:numId w:val="0"/>
        </w:numPr>
        <w:spacing w:before="0" w:after="0" w:line="560" w:lineRule="exact"/>
        <w:ind w:firstLine="600"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b w:val="0"/>
          <w:bCs w:val="0"/>
          <w:kern w:val="2"/>
          <w:sz w:val="30"/>
          <w:szCs w:val="30"/>
          <w:highlight w:val="none"/>
          <w:lang w:val="en-US" w:eastAsia="zh-CN" w:bidi="ar-SA"/>
        </w:rPr>
        <w:t xml:space="preserve"> </w:t>
      </w: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6EE380D0">
      <w:pPr>
        <w:numPr>
          <w:ilvl w:val="0"/>
          <w:numId w:val="0"/>
        </w:numPr>
        <w:adjustRightInd w:val="0"/>
        <w:snapToGrid w:val="0"/>
        <w:spacing w:before="0" w:beforeLines="0" w:after="0" w:afterLines="0" w:line="600" w:lineRule="exact"/>
        <w:ind w:left="0"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p>
    <w:p w14:paraId="4C544706">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
        </w:rPr>
        <w:t>抽查学校教学和生活环境、学习用品、饮用水卫生管理、传染病防控和学校卫生保健机构设立及人员配备情况，抽检教室采光、照明及人均面积和水质。抽查游泳、住宿、沐浴、美容美发等场所卫生管理情况，抽查顾客用品用具、水质、空气以及集中空调通风系统卫生质量。</w:t>
      </w:r>
      <w:r>
        <w:rPr>
          <w:rFonts w:hint="eastAsia" w:ascii="仿宋_GB2312" w:hAnsi="仿宋_GB2312" w:eastAsia="仿宋_GB2312" w:cs="仿宋_GB2312"/>
          <w:sz w:val="32"/>
          <w:szCs w:val="22"/>
        </w:rPr>
        <w:t>抽查集中式供水、小型集中式供水、二次供水的卫生管理情况，抽查供水水质。抽查涉水产品生产经营单位、在华责任单位</w:t>
      </w:r>
      <w:r>
        <w:rPr>
          <w:rFonts w:hint="eastAsia" w:ascii="仿宋_GB2312" w:hAnsi="仿宋_GB2312" w:eastAsia="仿宋_GB2312" w:cs="仿宋_GB2312"/>
          <w:sz w:val="32"/>
          <w:szCs w:val="22"/>
          <w:lang w:eastAsia="zh-CN"/>
        </w:rPr>
        <w:t>卫生管理</w:t>
      </w:r>
      <w:r>
        <w:rPr>
          <w:rFonts w:hint="eastAsia" w:ascii="仿宋_GB2312" w:hAnsi="仿宋_GB2312" w:eastAsia="仿宋_GB2312" w:cs="仿宋_GB2312"/>
          <w:sz w:val="32"/>
          <w:szCs w:val="22"/>
        </w:rPr>
        <w:t>合规性情况，抽查输配水设备、水处理材料、化学处理剂和水质处理器产品卫生质量。</w:t>
      </w:r>
      <w:r>
        <w:rPr>
          <w:rFonts w:hint="eastAsia" w:ascii="仿宋_GB2312" w:hAnsi="仿宋_GB2312" w:eastAsia="仿宋_GB2312" w:cs="仿宋_GB2312"/>
          <w:sz w:val="32"/>
          <w:szCs w:val="32"/>
        </w:rPr>
        <w:t>抽查餐具饮具集中消毒服务单位依法生产情况，抽查消毒餐具饮具卫生质量。</w:t>
      </w:r>
    </w:p>
    <w:p w14:paraId="05999E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Times New Roman" w:hAnsi="Times New Roman" w:eastAsia="仿宋_GB2312" w:cs="Times New Roman"/>
          <w:sz w:val="30"/>
          <w:szCs w:val="30"/>
          <w:highlight w:val="yellow"/>
          <w:lang w:val="en-US" w:eastAsia="zh-CN"/>
        </w:rPr>
      </w:pPr>
    </w:p>
    <w:p w14:paraId="46567C4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份有效问卷，问卷尽量做到涵盖</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项食品安全国家标准和食品企业、监管部门、检测部门等行业部门；其中</w:t>
      </w:r>
      <w:r>
        <w:rPr>
          <w:rFonts w:hint="eastAsia" w:ascii="仿宋_GB2312" w:hAnsi="仿宋_GB2312" w:eastAsia="仿宋_GB2312" w:cs="仿宋_GB2312"/>
          <w:sz w:val="32"/>
          <w:szCs w:val="32"/>
          <w:lang w:eastAsia="zh-CN"/>
        </w:rPr>
        <w:t>监管部门</w:t>
      </w:r>
      <w:r>
        <w:rPr>
          <w:rFonts w:hint="eastAsia" w:ascii="仿宋_GB2312" w:hAnsi="仿宋_GB2312" w:eastAsia="仿宋_GB2312" w:cs="仿宋_GB2312"/>
          <w:sz w:val="32"/>
          <w:szCs w:val="32"/>
        </w:rPr>
        <w:t>有效问卷</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份，检测部门有效问卷</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食品企业有效问卷</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份。了解调查</w:t>
      </w:r>
      <w:r>
        <w:rPr>
          <w:rFonts w:hint="eastAsia" w:ascii="仿宋_GB2312" w:hAnsi="仿宋_GB2312" w:eastAsia="仿宋_GB2312" w:cs="仿宋_GB2312"/>
          <w:sz w:val="32"/>
          <w:szCs w:val="32"/>
          <w:lang w:val="en-US" w:eastAsia="zh-CN"/>
        </w:rPr>
        <w:t>25家食品企业</w:t>
      </w:r>
      <w:r>
        <w:rPr>
          <w:rFonts w:hint="eastAsia" w:ascii="仿宋_GB2312" w:hAnsi="仿宋_GB2312" w:eastAsia="仿宋_GB2312" w:cs="仿宋_GB2312"/>
          <w:sz w:val="32"/>
          <w:szCs w:val="32"/>
        </w:rPr>
        <w:t>规模、分布、联系方式等信息，布置跟踪评价工作。</w:t>
      </w:r>
    </w:p>
    <w:p w14:paraId="20BAC2B8">
      <w:pPr>
        <w:spacing w:line="560" w:lineRule="exact"/>
        <w:ind w:firstLine="600" w:firstLineChars="200"/>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sz w:val="30"/>
          <w:szCs w:val="30"/>
          <w:highlight w:val="none"/>
          <w:lang w:val="en-US" w:eastAsia="zh-CN"/>
        </w:rPr>
        <w:t>项目实施情况：</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公共卫生国家随机监督抽查项目共计47家，有检测任务24家，无检测任务23家，任务完成率100%（其中有检测任务：生活饮用水水厂3家，学校6家，餐饮具消毒中心1家，宾馆6家，沐浴2家，理发5家，影剧院1家。无检测任务：宾馆5家，沐浴1家，理发11家，美容6家）。</w:t>
      </w:r>
    </w:p>
    <w:p w14:paraId="66847FC6">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57626C8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5196C68">
      <w:pPr>
        <w:shd w:val="clear"/>
        <w:spacing w:line="600" w:lineRule="exact"/>
        <w:ind w:firstLine="640" w:firstLineChars="200"/>
        <w:outlineLvl w:val="0"/>
        <w:rPr>
          <w:rFonts w:hint="eastAsia"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eastAsia" w:eastAsia="仿宋_GB2312" w:cs="Times New Roman"/>
          <w:sz w:val="32"/>
          <w:szCs w:val="32"/>
          <w:highlight w:val="none"/>
          <w:lang w:val="en-US" w:eastAsia="zh-CN"/>
        </w:rPr>
        <w:t>。</w:t>
      </w:r>
    </w:p>
    <w:p w14:paraId="4097065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B4D4362">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1.4</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1.4</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：2024年国家随机监督抽查项目检测，食品安全标准制定及跟踪评价，食品安全宣传</w:t>
      </w:r>
      <w:r>
        <w:rPr>
          <w:rFonts w:hint="eastAsia" w:eastAsia="仿宋_GB2312" w:cs="Times New Roman"/>
          <w:sz w:val="30"/>
          <w:szCs w:val="30"/>
          <w:highlight w:val="none"/>
          <w:lang w:val="en-US" w:eastAsia="zh-CN"/>
        </w:rPr>
        <w:t>等业务费用。</w:t>
      </w:r>
    </w:p>
    <w:p w14:paraId="556829CE">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9D3CCC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5B30092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向居民免费发放食品安全宣传资料、实施食品安全标准制定及跟踪次数不少于4次、卫生监督检测不少于24家等形式，提高居民健康意识，改变不良生活方式，逐步树立起自我健康管理的理念；减少主要健康危险因素，预防和控制传染病及慢性病的发生和流行；建立起维护居民健康的第一道屏障，提高居民健康素质。</w:t>
      </w:r>
    </w:p>
    <w:p w14:paraId="69FB1495">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5E7EB4C5">
      <w:p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eastAsia="zh-CN"/>
        </w:rPr>
        <w:t>上半年</w:t>
      </w:r>
      <w:r>
        <w:rPr>
          <w:rFonts w:hint="default" w:ascii="Times New Roman" w:hAnsi="Times New Roman" w:eastAsia="仿宋_GB2312" w:cs="Times New Roman"/>
          <w:sz w:val="32"/>
          <w:szCs w:val="32"/>
        </w:rPr>
        <w:t>通过向居民免费发放食品安全宣传资料、实施食品安全标准制定及跟踪次数不少于</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次、卫生监督检测不少于24家等形式，提高居民健康意识，改变不良生活方式，逐步树立起自我健康管理的理念。</w:t>
      </w:r>
    </w:p>
    <w:p w14:paraId="5171BFA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72D30FC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79CF709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000000" w:themeColor="text1"/>
          <w:highlight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highlight w:val="none"/>
          <w:lang w:val="en-US" w:eastAsia="zh-CN"/>
          <w14:textFill>
            <w14:solidFill>
              <w14:schemeClr w14:val="tx1"/>
            </w14:solidFill>
          </w14:textFill>
        </w:rPr>
        <w:t>1.绩效评价完整性</w:t>
      </w:r>
    </w:p>
    <w:p w14:paraId="4E1702A0">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E3E8B96">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13973C51">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6656710">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60B9EF1">
      <w:pPr>
        <w:spacing w:line="560" w:lineRule="exact"/>
        <w:ind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E6BD1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7B4DB2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（1）评估项目实施效果</w:t>
      </w:r>
    </w:p>
    <w:p w14:paraId="526DB2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通过对项目预算执行情况及各项绩效目标达成程度的系统性分析，全面、客观地评估项目在预定周期内的实施效果，包括社会效益指标，为项目后续的改进与优化提供科学依据。</w:t>
      </w:r>
    </w:p>
    <w:p w14:paraId="6DC81A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（2）提升资源利用效率</w:t>
      </w:r>
    </w:p>
    <w:p w14:paraId="557DED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5D290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（3）强化项目管理责任</w:t>
      </w:r>
    </w:p>
    <w:p w14:paraId="4D956E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03BB2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（4）为决策提供支持</w:t>
      </w:r>
    </w:p>
    <w:p w14:paraId="798FCF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A8014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（5）促进项目持续改进</w:t>
      </w:r>
    </w:p>
    <w:p w14:paraId="02C72B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DAFA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026CEC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7D8640D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本项目预算绩效评价报告的评价对象是2024年基本公共卫生服务补助资金及其预算执行情况。该项目由</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奇台县卫生健康综合监督执法局</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责实施，旨在</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通过</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向居民免费发放食品安全宣传资料、实施食品安全标准制定及跟踪、卫生监督检测，提高居民健康意识，改变不良生活方式，逐步树立起自我健康管理的理念；减少主要健康危险因素，预防和控制传染病及慢性病的发生和流行；建立起维护居民健康的第一道屏障，提高居民健康素质。</w:t>
      </w:r>
    </w:p>
    <w:p w14:paraId="325A86A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项目预算涵盖从</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2024年1月1日</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至</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2024年12月31日</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的全部资金投入与支出，涉及资金总额为</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1.4</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万元。</w:t>
      </w:r>
    </w:p>
    <w:p w14:paraId="0CD0BA6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449D26A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23BF8ECB">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60DB628E">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4EE9152A">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w:t>
      </w:r>
      <w:r>
        <w:rPr>
          <w:rFonts w:hint="eastAsia" w:ascii="Times New Roman" w:hAnsi="Times New Roman" w:eastAsia="仿宋_GB2312" w:cs="Times New Roman"/>
          <w:b w:val="0"/>
          <w:bCs w:val="0"/>
          <w:highlight w:val="none"/>
          <w:lang w:eastAsia="zh-CN"/>
        </w:rPr>
        <w:t>、成本</w:t>
      </w:r>
      <w:r>
        <w:rPr>
          <w:rFonts w:hint="default" w:ascii="Times New Roman" w:hAnsi="Times New Roman" w:eastAsia="仿宋_GB2312" w:cs="Times New Roman"/>
          <w:b w:val="0"/>
          <w:bCs w:val="0"/>
          <w:highlight w:val="none"/>
        </w:rPr>
        <w:t>和时效性是否符合预期。</w:t>
      </w:r>
    </w:p>
    <w:p w14:paraId="6667065E">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w:t>
      </w:r>
      <w:r>
        <w:rPr>
          <w:rFonts w:hint="eastAsia" w:ascii="Times New Roman" w:hAnsi="Times New Roman" w:eastAsia="仿宋_GB2312" w:cs="Times New Roman"/>
          <w:b w:val="0"/>
          <w:bCs w:val="0"/>
          <w:highlight w:val="none"/>
          <w:lang w:eastAsia="zh-CN"/>
        </w:rPr>
        <w:t>会</w:t>
      </w:r>
      <w:r>
        <w:rPr>
          <w:rFonts w:hint="default" w:ascii="Times New Roman" w:hAnsi="Times New Roman" w:eastAsia="仿宋_GB2312" w:cs="Times New Roman"/>
          <w:b w:val="0"/>
          <w:bCs w:val="0"/>
          <w:highlight w:val="none"/>
        </w:rPr>
        <w:t>影响：考察项目对社会方面的综合影响。</w:t>
      </w:r>
    </w:p>
    <w:p w14:paraId="634F4DC7">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highlight w:val="none"/>
        </w:rPr>
        <w:t>（</w:t>
      </w:r>
      <w:r>
        <w:rPr>
          <w:rFonts w:hint="default" w:ascii="Times New Roman" w:hAnsi="Times New Roman" w:eastAsia="楷体_GB2312" w:cs="Times New Roman"/>
          <w:b/>
          <w:bCs/>
          <w:sz w:val="32"/>
          <w:szCs w:val="32"/>
        </w:rPr>
        <w:t>二）绩效评价原则、评价指标体系（详情见表1）、评价方法、评价标准。</w:t>
      </w:r>
    </w:p>
    <w:p w14:paraId="0CA9A32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11D9AA6A">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43C533FB">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637A6D23">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53A108DA">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1C1F66F">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75815D4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F2D8433">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7D41A09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4F18742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8255CD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85E709A">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B7F3B6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3E7BCB7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E4C54B5">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3969053">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7F0177A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2315E2A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AD1231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75B790F">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（一）比较法。是指将实施情况与绩效目标、历史情况、不同部门和地区同类支出情况进行比较的方法。</w:t>
      </w:r>
    </w:p>
    <w:p w14:paraId="0F155998">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w:t>
      </w:r>
      <w:r>
        <w:rPr>
          <w:rFonts w:hint="eastAsia" w:ascii="Times New Roman" w:hAnsi="Times New Roman" w:eastAsia="仿宋_GB2312" w:cs="Times New Roman"/>
          <w:b w:val="0"/>
          <w:bCs w:val="0"/>
          <w:kern w:val="28"/>
          <w:sz w:val="32"/>
          <w:szCs w:val="32"/>
          <w:lang w:val="en-US" w:eastAsia="zh-CN" w:bidi="ar-SA"/>
        </w:rPr>
        <w:t>二</w:t>
      </w:r>
      <w:r>
        <w:rPr>
          <w:rFonts w:hint="default" w:ascii="Times New Roman" w:hAnsi="Times New Roman" w:eastAsia="仿宋_GB2312" w:cs="Times New Roman"/>
          <w:b w:val="0"/>
          <w:bCs w:val="0"/>
          <w:kern w:val="28"/>
          <w:sz w:val="32"/>
          <w:szCs w:val="32"/>
          <w:lang w:val="en-US" w:eastAsia="zh-CN" w:bidi="ar-SA"/>
        </w:rPr>
        <w:t>）因素分析法。是指综合分析影响绩效目标实现、实施效果的内外部因素的方法。</w:t>
      </w:r>
    </w:p>
    <w:p w14:paraId="4F38A9F4">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w:t>
      </w:r>
      <w:r>
        <w:rPr>
          <w:rFonts w:hint="eastAsia" w:ascii="Times New Roman" w:hAnsi="Times New Roman" w:eastAsia="仿宋_GB2312" w:cs="Times New Roman"/>
          <w:b w:val="0"/>
          <w:bCs w:val="0"/>
          <w:kern w:val="28"/>
          <w:sz w:val="32"/>
          <w:szCs w:val="32"/>
          <w:lang w:val="en-US" w:eastAsia="zh-CN" w:bidi="ar-SA"/>
        </w:rPr>
        <w:t>三</w:t>
      </w:r>
      <w:r>
        <w:rPr>
          <w:rFonts w:hint="default" w:ascii="Times New Roman" w:hAnsi="Times New Roman" w:eastAsia="仿宋_GB2312" w:cs="Times New Roman"/>
          <w:b w:val="0"/>
          <w:bCs w:val="0"/>
          <w:kern w:val="28"/>
          <w:sz w:val="32"/>
          <w:szCs w:val="32"/>
          <w:lang w:val="en-US" w:eastAsia="zh-CN" w:bidi="ar-SA"/>
        </w:rPr>
        <w:t>）公众评判法。是指通过专家评估、公众问卷及抽样调查等方式进行评判的方法。</w:t>
      </w:r>
    </w:p>
    <w:p w14:paraId="5E6709D8">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w:t>
      </w:r>
      <w:r>
        <w:rPr>
          <w:rFonts w:hint="eastAsia" w:eastAsia="仿宋_GB2312" w:cs="Times New Roman"/>
          <w:b w:val="0"/>
          <w:bCs w:val="0"/>
          <w:kern w:val="28"/>
          <w:sz w:val="32"/>
          <w:szCs w:val="32"/>
          <w:lang w:val="en-US" w:eastAsia="zh-CN" w:bidi="ar-SA"/>
        </w:rPr>
        <w:t>四</w:t>
      </w:r>
      <w:r>
        <w:rPr>
          <w:rFonts w:hint="default" w:ascii="Times New Roman" w:hAnsi="Times New Roman" w:eastAsia="仿宋_GB2312" w:cs="Times New Roman"/>
          <w:b w:val="0"/>
          <w:bCs w:val="0"/>
          <w:kern w:val="28"/>
          <w:sz w:val="32"/>
          <w:szCs w:val="32"/>
          <w:lang w:val="en-US" w:eastAsia="zh-CN" w:bidi="ar-SA"/>
        </w:rPr>
        <w:t>）其他评价方法。</w:t>
      </w:r>
    </w:p>
    <w:p w14:paraId="7EE6CC4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31FC96B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计划、行业和历史</w:t>
      </w:r>
      <w:r>
        <w:rPr>
          <w:rFonts w:hint="default" w:ascii="Times New Roman" w:hAnsi="Times New Roman" w:eastAsia="仿宋_GB2312" w:cs="Times New Roman"/>
          <w:b w:val="0"/>
          <w:bCs w:val="0"/>
        </w:rPr>
        <w:t>标准。</w:t>
      </w:r>
    </w:p>
    <w:p w14:paraId="721B7E3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0D10624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689EE06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40BE6AE0">
      <w:pPr>
        <w:pStyle w:val="2"/>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6390F1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（1）前期准备与规划</w:t>
      </w:r>
    </w:p>
    <w:p w14:paraId="3C42DB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在项目绩效评价工作启动之初，成立了专门的评价工作小组，小组成员由</w:t>
      </w:r>
      <w:r>
        <w:rPr>
          <w:rFonts w:hint="eastAsia" w:ascii="Times New Roman" w:hAnsi="Times New Roman" w:eastAsia="仿宋_GB2312" w:cs="Times New Roman"/>
          <w:b w:val="0"/>
          <w:bCs w:val="0"/>
          <w:kern w:val="28"/>
          <w:sz w:val="32"/>
          <w:szCs w:val="32"/>
          <w:lang w:val="en-US" w:eastAsia="zh-CN" w:bidi="ar-SA"/>
        </w:rPr>
        <w:t>单位主要领导、各科室负责人、</w:t>
      </w:r>
      <w:r>
        <w:rPr>
          <w:rFonts w:hint="default" w:ascii="Times New Roman" w:hAnsi="Times New Roman" w:eastAsia="仿宋_GB2312" w:cs="Times New Roman"/>
          <w:b w:val="0"/>
          <w:bCs w:val="0"/>
          <w:kern w:val="28"/>
          <w:sz w:val="32"/>
          <w:szCs w:val="32"/>
          <w:lang w:val="en-US" w:eastAsia="zh-CN" w:bidi="ar-SA"/>
        </w:rPr>
        <w:t>财务</w:t>
      </w:r>
      <w:r>
        <w:rPr>
          <w:rFonts w:hint="eastAsia" w:ascii="Times New Roman" w:hAnsi="Times New Roman" w:eastAsia="仿宋_GB2312" w:cs="Times New Roman"/>
          <w:b w:val="0"/>
          <w:bCs w:val="0"/>
          <w:kern w:val="28"/>
          <w:sz w:val="32"/>
          <w:szCs w:val="32"/>
          <w:lang w:val="en-US" w:eastAsia="zh-CN" w:bidi="ar-SA"/>
        </w:rPr>
        <w:t>人员</w:t>
      </w:r>
      <w:r>
        <w:rPr>
          <w:rFonts w:hint="default" w:ascii="Times New Roman" w:hAnsi="Times New Roman" w:eastAsia="仿宋_GB2312" w:cs="Times New Roman"/>
          <w:b w:val="0"/>
          <w:bCs w:val="0"/>
          <w:kern w:val="28"/>
          <w:sz w:val="32"/>
          <w:szCs w:val="32"/>
          <w:lang w:val="en-US" w:eastAsia="zh-CN" w:bidi="ar-SA"/>
        </w:rPr>
        <w:t>、项目管理专业人员</w:t>
      </w:r>
      <w:r>
        <w:rPr>
          <w:rFonts w:hint="eastAsia" w:ascii="Times New Roman" w:hAnsi="Times New Roman" w:eastAsia="仿宋_GB2312" w:cs="Times New Roman"/>
          <w:b w:val="0"/>
          <w:bCs w:val="0"/>
          <w:kern w:val="28"/>
          <w:sz w:val="32"/>
          <w:szCs w:val="32"/>
          <w:lang w:val="en-US" w:eastAsia="zh-CN" w:bidi="ar-SA"/>
        </w:rPr>
        <w:t>等</w:t>
      </w:r>
      <w:r>
        <w:rPr>
          <w:rFonts w:hint="default" w:ascii="Times New Roman" w:hAnsi="Times New Roman" w:eastAsia="仿宋_GB2312" w:cs="Times New Roman"/>
          <w:b w:val="0"/>
          <w:bCs w:val="0"/>
          <w:kern w:val="28"/>
          <w:sz w:val="32"/>
          <w:szCs w:val="32"/>
          <w:lang w:val="en-US" w:eastAsia="zh-CN" w:bidi="ar-SA"/>
        </w:rPr>
        <w:t>组成，确保从多角度、全方位对项目绩效进行评价。同时，明确了评价工作的目标、范围、重点及时间安排，制定了详细的工作计划，为评价工作的顺利开展奠定了坚实基础。</w:t>
      </w:r>
    </w:p>
    <w:p w14:paraId="0B614D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（2）指标体系构建</w:t>
      </w:r>
    </w:p>
    <w:p w14:paraId="25C6C4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48D66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（3）数据收集与整理</w:t>
      </w:r>
    </w:p>
    <w:p w14:paraId="6972EB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广泛收集与项目相关的各类数据，包括财务报表、项目文档、业务数据、</w:t>
      </w:r>
      <w:r>
        <w:rPr>
          <w:rFonts w:hint="eastAsia" w:ascii="Times New Roman" w:hAnsi="Times New Roman" w:eastAsia="仿宋_GB2312" w:cs="Times New Roman"/>
          <w:b w:val="0"/>
          <w:bCs w:val="0"/>
          <w:kern w:val="28"/>
          <w:sz w:val="32"/>
          <w:szCs w:val="32"/>
          <w:lang w:val="en-US" w:eastAsia="zh-CN" w:bidi="ar-SA"/>
        </w:rPr>
        <w:t>群众</w:t>
      </w:r>
      <w:r>
        <w:rPr>
          <w:rFonts w:hint="default" w:ascii="Times New Roman" w:hAnsi="Times New Roman" w:eastAsia="仿宋_GB2312" w:cs="Times New Roman"/>
          <w:b w:val="0"/>
          <w:bCs w:val="0"/>
          <w:kern w:val="28"/>
          <w:sz w:val="32"/>
          <w:szCs w:val="32"/>
          <w:lang w:val="en-US" w:eastAsia="zh-CN" w:bidi="ar-SA"/>
        </w:rPr>
        <w:t>反馈等。在数据收集过程中，注重数据的质量与完整性，对缺失或异常的数据进行了合理的处理和补充。随后，对收集到的数据进行了系统的整理与分类，为后续的数据分析提供了有力支持。</w:t>
      </w:r>
    </w:p>
    <w:p w14:paraId="6C8131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（4）数据分析与评估</w:t>
      </w:r>
    </w:p>
    <w:p w14:paraId="16D18E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22F40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（5）报告撰写与反馈</w:t>
      </w:r>
    </w:p>
    <w:p w14:paraId="654ABB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01866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（6）后续跟踪与改进</w:t>
      </w:r>
    </w:p>
    <w:p w14:paraId="131759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E4B788D">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0D4A7CCB">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016858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本项目的综合评价基于对项目各方面绩效的深入分析与评估。从项目目标的达成情况来看2024年基本公共卫生服务补助资金</w:t>
      </w:r>
      <w:r>
        <w:rPr>
          <w:rFonts w:hint="default" w:ascii="Times New Roman" w:hAnsi="Times New Roman" w:eastAsia="仿宋_GB2312" w:cs="Times New Roman"/>
          <w:sz w:val="32"/>
          <w:szCs w:val="32"/>
        </w:rPr>
        <w:t>通过向居民免费发放食品安全宣传资料、实施食品安全标准制定及跟踪次数4次、卫生监督检测24家等形式，提高居民健康意识，改变不良生活方式，逐步树立起自我健康管理的理念；减少主要健康危险因素，预防和控制传染病及慢性病的发生和流行；建立起维护居民健康的第一道屏障，提高居民健康素质。</w:t>
      </w:r>
    </w:p>
    <w:p w14:paraId="30ED7E6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在项目管理方面，</w:t>
      </w:r>
      <w:r>
        <w:rPr>
          <w:rFonts w:hint="eastAsia" w:eastAsia="仿宋_GB2312" w:cs="Times New Roman"/>
          <w:color w:val="000000" w:themeColor="text1"/>
          <w:sz w:val="32"/>
          <w:szCs w:val="32"/>
          <w:highlight w:val="none"/>
          <w:lang w:eastAsia="zh-CN"/>
          <w14:textFill>
            <w14:solidFill>
              <w14:schemeClr w14:val="tx1"/>
            </w14:solidFill>
          </w14:textFill>
        </w:rPr>
        <w:t>奇台县卫生健康综合监督执法局</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通过有效的规划、组织与协调，项目得以顺利实施，并在预算与时间上保持了良好的控制。</w:t>
      </w:r>
    </w:p>
    <w:p w14:paraId="2874BF4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从项目效益的角度来看，本项目不仅实现了预期的社会效益产生了积极的影响。具体而言，</w:t>
      </w:r>
      <w:r>
        <w:rPr>
          <w:rFonts w:hint="eastAsia" w:eastAsia="仿宋_GB2312" w:cs="Times New Roman"/>
          <w:color w:val="000000" w:themeColor="text1"/>
          <w:sz w:val="32"/>
          <w:szCs w:val="32"/>
          <w:highlight w:val="none"/>
          <w:lang w:eastAsia="zh-CN"/>
          <w14:textFill>
            <w14:solidFill>
              <w14:schemeClr w14:val="tx1"/>
            </w14:solidFill>
          </w14:textFill>
        </w:rPr>
        <w:t>通过</w:t>
      </w:r>
      <w:r>
        <w:rPr>
          <w:rFonts w:hint="default" w:ascii="Times New Roman" w:hAnsi="Times New Roman" w:eastAsia="仿宋_GB2312" w:cs="Times New Roman"/>
          <w:sz w:val="32"/>
          <w:szCs w:val="32"/>
        </w:rPr>
        <w:t>通过向居民免费发放食品安全宣传资料、实施食品安全标准制定及跟踪、卫生监督检测等，提高居民健康意识，改变不良生活方式，逐步树立起自我健康管理的理念</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76D9B88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综上所述，</w:t>
      </w:r>
      <w:r>
        <w:rPr>
          <w:rFonts w:hint="eastAsia" w:eastAsia="仿宋_GB2312" w:cs="Times New Roman"/>
          <w:color w:val="000000" w:themeColor="text1"/>
          <w:sz w:val="32"/>
          <w:szCs w:val="32"/>
          <w:highlight w:val="none"/>
          <w:lang w:eastAsia="zh-CN"/>
          <w14:textFill>
            <w14:solidFill>
              <w14:schemeClr w14:val="tx1"/>
            </w14:solidFill>
          </w14:textFill>
        </w:rPr>
        <w:t>2024年基本公共卫生服务补助资金在</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绩效评价中表现出色，达到了项目的预期目标，并在多个方面取得了显著的成效。</w:t>
      </w:r>
    </w:p>
    <w:p w14:paraId="55B7BEC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36E1E56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 xml:space="preserve">分，属于“优”。其中，项目决策类指标权重为20分，得分为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1D71030A">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33A7E525">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5A2AE4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D2113C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79FB91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45F4003">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0C60230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E3DBBE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649FB64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5259E8A">
            <w:pPr>
              <w:jc w:val="center"/>
              <w:rPr>
                <w:rFonts w:hint="default"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542AE90">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459A50F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B2F829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2005483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9F1548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CA4C95C">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C9C927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18B9F6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10B030F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E091AD7">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5B2B8C2">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1B99D60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85B5B7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7013B0E4">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BCA223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28A155F">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BB9AD6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7A86B3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6BE7ABBF">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32CC5EF">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4A2C9DF">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14:paraId="44768A86">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120E95EB">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30942A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个三级指标构成，权重分值为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分，实际得分</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8CCC9E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3C67CD8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170F96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7DCEA2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576BBC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w:t>
      </w:r>
      <w:r>
        <w:rPr>
          <w:rFonts w:hint="default" w:ascii="Times New Roman" w:hAnsi="Times New Roman" w:eastAsia="仿宋_GB2312" w:cs="Times New Roman"/>
          <w:sz w:val="32"/>
          <w:szCs w:val="32"/>
          <w:lang w:val="en-US" w:eastAsia="zh-Hans"/>
        </w:rPr>
        <w:t>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14:paraId="422F685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69FD9B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3358ECE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1DB973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54C2E11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59E92B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482ADA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7002F13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39B25E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7CCC59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14:paraId="2077509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25F33D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FA342E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9F4BEA0">
      <w:pPr>
        <w:pStyle w:val="2"/>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718B7B5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021EBED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1693F63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7DC6FBB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3BB05AE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0D463AF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36655BF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076A0F0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w:t>
      </w:r>
    </w:p>
    <w:p w14:paraId="633717D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149661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8D35A6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E544E9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101E8D0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62DD97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14:paraId="35BA7FD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D8F98D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5B84C2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0B57DD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7EDA2B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ED624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7C600BF2">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06372CE7">
      <w:pPr>
        <w:shd w:val="clear"/>
        <w:spacing w:line="600" w:lineRule="exact"/>
        <w:ind w:firstLine="640" w:firstLineChars="200"/>
        <w:outlineLvl w:val="0"/>
        <w:rPr>
          <w:rFonts w:hint="default"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eastAsia="仿宋_GB2312" w:cs="Times New Roman"/>
          <w:sz w:val="32"/>
          <w:szCs w:val="32"/>
          <w:lang w:val="en-US" w:eastAsia="zh-CN"/>
        </w:rPr>
        <w:t>由</w:t>
      </w:r>
      <w:r>
        <w:rPr>
          <w:rFonts w:hint="eastAsia" w:eastAsia="仿宋_GB2312" w:cs="Times New Roman"/>
          <w:sz w:val="32"/>
          <w:szCs w:val="32"/>
          <w:lang w:val="en-US" w:eastAsia="zh-CN"/>
        </w:rPr>
        <w:t>8</w:t>
      </w:r>
      <w:r>
        <w:rPr>
          <w:rFonts w:hint="default"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eastAsia="仿宋_GB2312" w:cs="Times New Roman"/>
          <w:sz w:val="32"/>
          <w:szCs w:val="32"/>
          <w:lang w:val="en-US" w:eastAsia="zh-CN"/>
        </w:rPr>
        <w:t>分，实际得分</w:t>
      </w:r>
      <w:r>
        <w:rPr>
          <w:rFonts w:hint="eastAsia" w:eastAsia="仿宋_GB2312" w:cs="Times New Roman"/>
          <w:sz w:val="32"/>
          <w:szCs w:val="32"/>
          <w:lang w:val="en-US" w:eastAsia="zh-CN"/>
        </w:rPr>
        <w:t>40</w:t>
      </w:r>
      <w:r>
        <w:rPr>
          <w:rFonts w:hint="default" w:eastAsia="仿宋_GB2312" w:cs="Times New Roman"/>
          <w:sz w:val="32"/>
          <w:szCs w:val="32"/>
          <w:lang w:val="en-US" w:eastAsia="zh-CN"/>
        </w:rPr>
        <w:t>分，得分率为</w:t>
      </w:r>
      <w:r>
        <w:rPr>
          <w:rFonts w:hint="eastAsia" w:eastAsia="仿宋_GB2312" w:cs="Times New Roman"/>
          <w:sz w:val="32"/>
          <w:szCs w:val="32"/>
          <w:lang w:val="en-US" w:eastAsia="zh-CN"/>
        </w:rPr>
        <w:t>100</w:t>
      </w:r>
      <w:r>
        <w:rPr>
          <w:rFonts w:hint="default" w:eastAsia="仿宋_GB2312" w:cs="Times New Roman"/>
          <w:sz w:val="32"/>
          <w:szCs w:val="32"/>
          <w:lang w:val="en-US" w:eastAsia="zh-CN"/>
        </w:rPr>
        <w:t>%。具体产出指标完成情况如下：</w:t>
      </w:r>
    </w:p>
    <w:p w14:paraId="7662FBA2">
      <w:pPr>
        <w:shd w:val="clear"/>
        <w:spacing w:line="600" w:lineRule="exact"/>
        <w:ind w:firstLine="640" w:firstLineChars="200"/>
        <w:outlineLvl w:val="0"/>
        <w:rPr>
          <w:rFonts w:hint="default" w:eastAsia="仿宋_GB2312" w:cs="Times New Roman"/>
          <w:sz w:val="32"/>
          <w:szCs w:val="32"/>
          <w:lang w:val="en-US" w:eastAsia="zh-CN"/>
        </w:rPr>
      </w:pPr>
      <w:r>
        <w:rPr>
          <w:rFonts w:hint="default" w:eastAsia="仿宋_GB2312" w:cs="Times New Roman"/>
          <w:sz w:val="32"/>
          <w:szCs w:val="32"/>
          <w:lang w:val="en-US" w:eastAsia="zh-CN"/>
        </w:rPr>
        <w:fldChar w:fldCharType="begin"/>
      </w:r>
      <w:r>
        <w:rPr>
          <w:rFonts w:hint="default" w:eastAsia="仿宋_GB2312" w:cs="Times New Roman"/>
          <w:sz w:val="32"/>
          <w:szCs w:val="32"/>
          <w:lang w:val="en-US" w:eastAsia="zh-CN"/>
        </w:rPr>
        <w:instrText xml:space="preserve"> = 1 \* GB3 </w:instrText>
      </w:r>
      <w:r>
        <w:rPr>
          <w:rFonts w:hint="default" w:eastAsia="仿宋_GB2312" w:cs="Times New Roman"/>
          <w:sz w:val="32"/>
          <w:szCs w:val="32"/>
          <w:lang w:val="en-US" w:eastAsia="zh-CN"/>
        </w:rPr>
        <w:fldChar w:fldCharType="separate"/>
      </w:r>
      <w:r>
        <w:rPr>
          <w:rFonts w:hint="default" w:eastAsia="仿宋_GB2312" w:cs="Times New Roman"/>
          <w:sz w:val="32"/>
          <w:szCs w:val="32"/>
          <w:lang w:val="en-US" w:eastAsia="zh-CN"/>
        </w:rPr>
        <w:t>①</w:t>
      </w:r>
      <w:r>
        <w:rPr>
          <w:rFonts w:hint="default" w:eastAsia="仿宋_GB2312" w:cs="Times New Roman"/>
          <w:sz w:val="32"/>
          <w:szCs w:val="32"/>
          <w:lang w:val="en-US" w:eastAsia="zh-CN"/>
        </w:rPr>
        <w:fldChar w:fldCharType="end"/>
      </w:r>
      <w:r>
        <w:rPr>
          <w:rFonts w:hint="default" w:eastAsia="仿宋_GB2312" w:cs="Times New Roman"/>
          <w:sz w:val="32"/>
          <w:szCs w:val="32"/>
          <w:lang w:val="en-US" w:eastAsia="zh-CN"/>
        </w:rPr>
        <w:t>数量指标：</w:t>
      </w:r>
    </w:p>
    <w:p w14:paraId="3690B21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指标1：食品安全宣传次数，指标值：&gt;=</w:t>
      </w:r>
      <w:r>
        <w:rPr>
          <w:rFonts w:hint="eastAsia" w:eastAsia="仿宋_GB2312" w:cs="Times New Roman"/>
          <w:sz w:val="32"/>
          <w:szCs w:val="32"/>
          <w:highlight w:val="none"/>
          <w:lang w:val="en-US" w:eastAsia="zh-CN"/>
        </w:rPr>
        <w:t>4次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B2203C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国家随机监督抽查项目检</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&gt;=24家</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24家</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6F4C599">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食品安全标准制定及跟踪评价次数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&gt;=4次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DF15F3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3399E1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食品安全宣传率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FD7BFC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国家随机监督抽查项目检测率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68DEBD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食品安全标准制定及跟踪评价完成率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40714D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3C9DEC75">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资金到时位及时率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CDA283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056B8C0">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项目预算控制率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4610A378">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7C3D069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w:t>
      </w:r>
      <w:r>
        <w:rPr>
          <w:rFonts w:hint="default" w:ascii="Times New Roman" w:hAnsi="Times New Roman" w:eastAsia="仿宋_GB2312" w:cs="Times New Roman"/>
          <w:sz w:val="32"/>
          <w:szCs w:val="32"/>
          <w:highlight w:val="none"/>
          <w:lang w:val="en-US" w:eastAsia="zh-CN"/>
        </w:rPr>
        <w:t>项目实施效益和满意度两方面的内容，由</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332C03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4CA87A2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797991D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提高群众健康常识知晓率</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9A44FC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63940A98">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服务对象满意度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CB5522C">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0D4A26BE">
      <w:pPr>
        <w:pStyle w:val="19"/>
        <w:spacing w:line="560" w:lineRule="exact"/>
        <w:ind w:firstLine="64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2024年基本公共卫生服务补助资金</w:t>
      </w:r>
      <w:r>
        <w:rPr>
          <w:rFonts w:hint="default" w:ascii="Times New Roman" w:hAnsi="Times New Roman" w:eastAsia="仿宋_GB2312" w:cs="Times New Roman"/>
          <w:kern w:val="2"/>
          <w:sz w:val="32"/>
          <w:szCs w:val="32"/>
          <w:lang w:val="en-US" w:eastAsia="zh-CN" w:bidi="ar-SA"/>
        </w:rPr>
        <w:t>项目年初预算</w:t>
      </w:r>
      <w:r>
        <w:rPr>
          <w:rFonts w:hint="eastAsia" w:eastAsia="仿宋_GB2312" w:cs="Times New Roman"/>
          <w:kern w:val="2"/>
          <w:sz w:val="32"/>
          <w:szCs w:val="32"/>
          <w:lang w:val="en-US" w:eastAsia="zh-CN" w:bidi="ar-SA"/>
        </w:rPr>
        <w:t>1.4</w:t>
      </w:r>
      <w:r>
        <w:rPr>
          <w:rFonts w:hint="default" w:ascii="Times New Roman" w:hAnsi="Times New Roman" w:eastAsia="仿宋_GB2312" w:cs="Times New Roman"/>
          <w:kern w:val="2"/>
          <w:sz w:val="32"/>
          <w:szCs w:val="32"/>
          <w:lang w:val="en-US" w:eastAsia="zh-CN" w:bidi="ar-SA"/>
        </w:rPr>
        <w:t>万元，全年预算</w:t>
      </w:r>
      <w:r>
        <w:rPr>
          <w:rFonts w:hint="eastAsia" w:ascii="Times New Roman" w:hAnsi="Times New Roman" w:eastAsia="仿宋_GB2312" w:cs="Times New Roman"/>
          <w:kern w:val="2"/>
          <w:sz w:val="32"/>
          <w:szCs w:val="32"/>
          <w:lang w:val="en-US" w:eastAsia="zh-CN" w:bidi="ar-SA"/>
        </w:rPr>
        <w:t>1.4</w:t>
      </w:r>
      <w:r>
        <w:rPr>
          <w:rFonts w:hint="default" w:ascii="Times New Roman" w:hAnsi="Times New Roman" w:eastAsia="仿宋_GB2312" w:cs="Times New Roman"/>
          <w:kern w:val="2"/>
          <w:sz w:val="32"/>
          <w:szCs w:val="32"/>
          <w:lang w:val="en-US" w:eastAsia="zh-CN" w:bidi="ar-SA"/>
        </w:rPr>
        <w:t>万元，实际支出</w:t>
      </w:r>
      <w:r>
        <w:rPr>
          <w:rFonts w:hint="eastAsia" w:ascii="Times New Roman" w:hAnsi="Times New Roman" w:eastAsia="仿宋_GB2312" w:cs="Times New Roman"/>
          <w:kern w:val="2"/>
          <w:sz w:val="32"/>
          <w:szCs w:val="32"/>
          <w:lang w:val="en-US" w:eastAsia="zh-CN" w:bidi="ar-SA"/>
        </w:rPr>
        <w:t>1.4</w:t>
      </w:r>
      <w:r>
        <w:rPr>
          <w:rFonts w:hint="default" w:ascii="Times New Roman" w:hAnsi="Times New Roman" w:eastAsia="仿宋_GB2312" w:cs="Times New Roman"/>
          <w:kern w:val="2"/>
          <w:sz w:val="32"/>
          <w:szCs w:val="32"/>
          <w:lang w:val="en-US" w:eastAsia="zh-CN" w:bidi="ar-SA"/>
        </w:rPr>
        <w:t>万元，预算执行率为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%，项目绩效指标总体完成率为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Hans" w:bidi="ar-SA"/>
        </w:rPr>
        <w:t>总体</w:t>
      </w:r>
      <w:r>
        <w:rPr>
          <w:rFonts w:hint="default" w:ascii="Times New Roman" w:hAnsi="Times New Roman" w:eastAsia="仿宋_GB2312" w:cs="Times New Roman"/>
          <w:kern w:val="2"/>
          <w:sz w:val="32"/>
          <w:szCs w:val="32"/>
          <w:lang w:val="en-US" w:eastAsia="zh-CN" w:bidi="ar-SA"/>
        </w:rPr>
        <w:t>偏差率为</w:t>
      </w:r>
      <w:r>
        <w:rPr>
          <w:rFonts w:hint="eastAsia" w:ascii="Times New Roman" w:hAnsi="Times New Roman" w:eastAsia="仿宋_GB2312" w:cs="Times New Roman"/>
          <w:kern w:val="2"/>
          <w:sz w:val="32"/>
          <w:szCs w:val="32"/>
          <w:lang w:val="en-US" w:eastAsia="zh-CN" w:bidi="ar-SA"/>
        </w:rPr>
        <w:t>0</w:t>
      </w:r>
      <w:r>
        <w:rPr>
          <w:rFonts w:hint="default" w:ascii="Times New Roman" w:hAnsi="Times New Roman" w:eastAsia="仿宋_GB2312" w:cs="Times New Roman"/>
          <w:kern w:val="2"/>
          <w:sz w:val="32"/>
          <w:szCs w:val="32"/>
          <w:lang w:val="en-US" w:eastAsia="zh-CN" w:bidi="ar-SA"/>
        </w:rPr>
        <w:t>%。</w:t>
      </w:r>
    </w:p>
    <w:p w14:paraId="01359A60">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2BBB8F38">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0DBCE1F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w:t>
      </w:r>
      <w:r>
        <w:rPr>
          <w:rFonts w:hint="eastAsia" w:eastAsia="仿宋_GB2312" w:cs="Times New Roman"/>
          <w:sz w:val="32"/>
          <w:szCs w:val="32"/>
          <w:lang w:eastAsia="zh-CN"/>
        </w:rPr>
        <w:t>由科室提交各项目</w:t>
      </w:r>
      <w:r>
        <w:rPr>
          <w:rFonts w:hint="default" w:ascii="Times New Roman" w:hAnsi="Times New Roman" w:eastAsia="仿宋_GB2312" w:cs="Times New Roman"/>
          <w:sz w:val="32"/>
          <w:szCs w:val="32"/>
        </w:rPr>
        <w:t>计划</w:t>
      </w:r>
      <w:r>
        <w:rPr>
          <w:rFonts w:hint="eastAsia" w:eastAsia="仿宋_GB2312" w:cs="Times New Roman"/>
          <w:sz w:val="32"/>
          <w:szCs w:val="32"/>
          <w:lang w:eastAsia="zh-CN"/>
        </w:rPr>
        <w:t>，分管领导主要领导审核后开展</w:t>
      </w:r>
      <w:r>
        <w:rPr>
          <w:rFonts w:hint="default" w:ascii="Times New Roman" w:hAnsi="Times New Roman" w:eastAsia="仿宋_GB2312" w:cs="Times New Roman"/>
          <w:sz w:val="32"/>
          <w:szCs w:val="32"/>
        </w:rPr>
        <w:t>。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075F8A1">
      <w:pPr>
        <w:pStyle w:val="2"/>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1C125BB">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1EAF7F6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9AF784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7CF3843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1A39DC1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2359B7A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9651533">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4B8F583D">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082EAD27">
      <w:pPr>
        <w:pStyle w:val="13"/>
        <w:spacing w:after="0" w:line="560" w:lineRule="exact"/>
        <w:ind w:left="0" w:leftChars="0" w:firstLine="640"/>
        <w:rPr>
          <w:rFonts w:hint="default" w:ascii="Times New Roman" w:hAnsi="Times New Roman" w:eastAsia="仿宋_GB2312" w:cs="Times New Roman"/>
          <w:sz w:val="32"/>
          <w:szCs w:val="32"/>
        </w:rPr>
      </w:pPr>
    </w:p>
    <w:p w14:paraId="262BFA2C">
      <w:pPr>
        <w:pStyle w:val="13"/>
        <w:spacing w:after="0" w:line="560" w:lineRule="exact"/>
        <w:ind w:left="0" w:leftChars="0" w:firstLine="640"/>
        <w:rPr>
          <w:rFonts w:hint="default" w:ascii="Times New Roman" w:hAnsi="Times New Roman" w:eastAsia="仿宋_GB2312" w:cs="Times New Roman"/>
          <w:sz w:val="32"/>
          <w:szCs w:val="32"/>
        </w:rPr>
      </w:pPr>
    </w:p>
    <w:p w14:paraId="4D29E197">
      <w:pPr>
        <w:pStyle w:val="13"/>
        <w:spacing w:after="0" w:line="560" w:lineRule="exact"/>
        <w:ind w:left="0" w:leftChars="0" w:firstLine="0" w:firstLineChars="0"/>
        <w:rPr>
          <w:rFonts w:hint="default" w:ascii="Times New Roman" w:hAnsi="Times New Roman" w:eastAsia="仿宋_GB2312" w:cs="Times New Roman"/>
          <w:sz w:val="32"/>
          <w:szCs w:val="32"/>
        </w:rPr>
      </w:pPr>
    </w:p>
    <w:p w14:paraId="3055755D">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C1C6877">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2C471FBA">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eastAsia="方正小标宋_GBK" w:cs="Times New Roman"/>
          <w:kern w:val="0"/>
          <w:sz w:val="48"/>
          <w:szCs w:val="48"/>
          <w:lang w:eastAsia="zh-CN"/>
        </w:rPr>
        <w:t>2024年基本公共卫生服务补助资金</w:t>
      </w:r>
      <w:r>
        <w:rPr>
          <w:rFonts w:hint="eastAsia" w:ascii="Times New Roman" w:hAnsi="Times New Roman" w:eastAsia="方正小标宋_GBK" w:cs="Times New Roman"/>
          <w:kern w:val="0"/>
          <w:sz w:val="48"/>
          <w:szCs w:val="48"/>
          <w:lang w:eastAsia="zh-CN"/>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59"/>
        <w:gridCol w:w="6"/>
      </w:tblGrid>
      <w:tr w14:paraId="1AADF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3F751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06D119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76F7568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5A4B66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484AD80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6688DB5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gridSpan w:val="2"/>
            <w:shd w:val="clear" w:color="auto" w:fill="FFFFFF"/>
            <w:vAlign w:val="center"/>
          </w:tcPr>
          <w:p w14:paraId="6356FDA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1872E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27FD395E">
            <w:pPr>
              <w:widowControl/>
              <w:spacing w:line="0" w:lineRule="atLeast"/>
              <w:jc w:val="center"/>
              <w:rPr>
                <w:rFonts w:hint="default" w:ascii="Times New Roman" w:hAnsi="Times New Roman" w:eastAsia="仿宋_GB2312" w:cs="Times New Roman"/>
                <w:color w:val="000000"/>
                <w:kern w:val="0"/>
                <w:sz w:val="18"/>
                <w:szCs w:val="18"/>
              </w:rPr>
            </w:pPr>
          </w:p>
          <w:p w14:paraId="45515F03">
            <w:pPr>
              <w:widowControl/>
              <w:spacing w:line="0" w:lineRule="atLeast"/>
              <w:jc w:val="center"/>
              <w:rPr>
                <w:rFonts w:hint="default" w:ascii="Times New Roman" w:hAnsi="Times New Roman" w:eastAsia="仿宋_GB2312" w:cs="Times New Roman"/>
                <w:color w:val="000000"/>
                <w:kern w:val="0"/>
                <w:sz w:val="18"/>
                <w:szCs w:val="18"/>
              </w:rPr>
            </w:pPr>
          </w:p>
          <w:p w14:paraId="2A579661">
            <w:pPr>
              <w:widowControl/>
              <w:spacing w:line="0" w:lineRule="atLeast"/>
              <w:jc w:val="center"/>
              <w:rPr>
                <w:rFonts w:hint="default" w:ascii="Times New Roman" w:hAnsi="Times New Roman" w:eastAsia="仿宋_GB2312" w:cs="Times New Roman"/>
                <w:color w:val="000000"/>
                <w:kern w:val="0"/>
                <w:sz w:val="18"/>
                <w:szCs w:val="18"/>
              </w:rPr>
            </w:pPr>
          </w:p>
          <w:p w14:paraId="42FDCDEE">
            <w:pPr>
              <w:widowControl/>
              <w:spacing w:line="0" w:lineRule="atLeast"/>
              <w:jc w:val="center"/>
              <w:rPr>
                <w:rFonts w:hint="default" w:ascii="Times New Roman" w:hAnsi="Times New Roman" w:eastAsia="仿宋_GB2312" w:cs="Times New Roman"/>
                <w:color w:val="000000"/>
                <w:kern w:val="0"/>
                <w:sz w:val="18"/>
                <w:szCs w:val="18"/>
              </w:rPr>
            </w:pPr>
          </w:p>
          <w:p w14:paraId="163F1850">
            <w:pPr>
              <w:widowControl/>
              <w:spacing w:line="0" w:lineRule="atLeast"/>
              <w:jc w:val="center"/>
              <w:rPr>
                <w:rFonts w:hint="default" w:ascii="Times New Roman" w:hAnsi="Times New Roman" w:eastAsia="仿宋_GB2312" w:cs="Times New Roman"/>
                <w:color w:val="000000"/>
                <w:kern w:val="0"/>
                <w:sz w:val="18"/>
                <w:szCs w:val="18"/>
              </w:rPr>
            </w:pPr>
          </w:p>
          <w:p w14:paraId="3BF33587">
            <w:pPr>
              <w:widowControl/>
              <w:spacing w:line="0" w:lineRule="atLeast"/>
              <w:jc w:val="center"/>
              <w:rPr>
                <w:rFonts w:hint="default" w:ascii="Times New Roman" w:hAnsi="Times New Roman" w:eastAsia="仿宋_GB2312" w:cs="Times New Roman"/>
                <w:color w:val="000000"/>
                <w:kern w:val="0"/>
                <w:sz w:val="18"/>
                <w:szCs w:val="18"/>
              </w:rPr>
            </w:pPr>
          </w:p>
          <w:p w14:paraId="7E0498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33AF7D5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4A94575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414CFE8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56C732D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5DC896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1DA99E4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auto" w:fill="FFFFFF"/>
            <w:vAlign w:val="center"/>
          </w:tcPr>
          <w:p w14:paraId="3DB99B50">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149D8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32108E8">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597245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3F1C7D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61D0167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5EA825F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73C222B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535681E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auto" w:fill="FFFFFF"/>
            <w:vAlign w:val="center"/>
          </w:tcPr>
          <w:p w14:paraId="2A2F4031">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157FE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42D45DF">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351905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31A68C0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566704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646A5D9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1C1C2AE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322AD96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6A5056B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000000" w:fill="FFFFFF"/>
            <w:vAlign w:val="center"/>
          </w:tcPr>
          <w:p w14:paraId="78E3862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5BE55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19A7B06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C3535C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B1802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0445103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1768051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57B23F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54E79B7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000000" w:fill="FFFFFF"/>
            <w:vAlign w:val="center"/>
          </w:tcPr>
          <w:p w14:paraId="298F5C4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54D8B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3B3243A">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0B47E4C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62A59DF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5E0AB91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AF3733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2CEEE8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3382FB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331B5B0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2CDA90D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134C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3D97647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5B9975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1E1569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5F6250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1D1AC37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891FDB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7DD7C17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6789C40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2F8A9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06405A0D">
            <w:pPr>
              <w:spacing w:line="0" w:lineRule="atLeast"/>
              <w:jc w:val="center"/>
              <w:rPr>
                <w:rFonts w:hint="default" w:ascii="Times New Roman" w:hAnsi="Times New Roman" w:eastAsia="仿宋_GB2312" w:cs="Times New Roman"/>
                <w:color w:val="000000"/>
                <w:kern w:val="0"/>
                <w:sz w:val="18"/>
                <w:szCs w:val="18"/>
              </w:rPr>
            </w:pPr>
          </w:p>
          <w:p w14:paraId="19F95A44">
            <w:pPr>
              <w:spacing w:line="0" w:lineRule="atLeast"/>
              <w:jc w:val="center"/>
              <w:rPr>
                <w:rFonts w:hint="default" w:ascii="Times New Roman" w:hAnsi="Times New Roman" w:eastAsia="仿宋_GB2312" w:cs="Times New Roman"/>
                <w:color w:val="000000"/>
                <w:kern w:val="0"/>
                <w:sz w:val="18"/>
                <w:szCs w:val="18"/>
              </w:rPr>
            </w:pPr>
          </w:p>
          <w:p w14:paraId="47282162">
            <w:pPr>
              <w:spacing w:line="0" w:lineRule="atLeast"/>
              <w:jc w:val="center"/>
              <w:rPr>
                <w:rFonts w:hint="default" w:ascii="Times New Roman" w:hAnsi="Times New Roman" w:eastAsia="仿宋_GB2312" w:cs="Times New Roman"/>
                <w:color w:val="000000"/>
                <w:kern w:val="0"/>
                <w:sz w:val="18"/>
                <w:szCs w:val="18"/>
              </w:rPr>
            </w:pPr>
          </w:p>
          <w:p w14:paraId="5ACFD01B">
            <w:pPr>
              <w:spacing w:line="0" w:lineRule="atLeast"/>
              <w:jc w:val="center"/>
              <w:rPr>
                <w:rFonts w:hint="default" w:ascii="Times New Roman" w:hAnsi="Times New Roman" w:eastAsia="仿宋_GB2312" w:cs="Times New Roman"/>
                <w:color w:val="000000"/>
                <w:kern w:val="0"/>
                <w:sz w:val="18"/>
                <w:szCs w:val="18"/>
              </w:rPr>
            </w:pPr>
          </w:p>
          <w:p w14:paraId="5A712929">
            <w:pPr>
              <w:spacing w:line="0" w:lineRule="atLeast"/>
              <w:jc w:val="center"/>
              <w:rPr>
                <w:rFonts w:hint="default" w:ascii="Times New Roman" w:hAnsi="Times New Roman" w:eastAsia="仿宋_GB2312" w:cs="Times New Roman"/>
                <w:color w:val="000000"/>
                <w:kern w:val="0"/>
                <w:sz w:val="18"/>
                <w:szCs w:val="18"/>
              </w:rPr>
            </w:pPr>
          </w:p>
          <w:p w14:paraId="506240EB">
            <w:pPr>
              <w:spacing w:line="0" w:lineRule="atLeast"/>
              <w:jc w:val="center"/>
              <w:rPr>
                <w:rFonts w:hint="default" w:ascii="Times New Roman" w:hAnsi="Times New Roman" w:eastAsia="仿宋_GB2312" w:cs="Times New Roman"/>
                <w:color w:val="000000"/>
                <w:kern w:val="0"/>
                <w:sz w:val="18"/>
                <w:szCs w:val="18"/>
              </w:rPr>
            </w:pPr>
          </w:p>
          <w:p w14:paraId="44A2E1D6">
            <w:pPr>
              <w:spacing w:line="0" w:lineRule="atLeast"/>
              <w:jc w:val="center"/>
              <w:rPr>
                <w:rFonts w:hint="default" w:ascii="Times New Roman" w:hAnsi="Times New Roman" w:eastAsia="仿宋_GB2312" w:cs="Times New Roman"/>
                <w:color w:val="000000"/>
                <w:kern w:val="0"/>
                <w:sz w:val="18"/>
                <w:szCs w:val="18"/>
              </w:rPr>
            </w:pPr>
          </w:p>
          <w:p w14:paraId="497A98D0">
            <w:pPr>
              <w:spacing w:line="0" w:lineRule="atLeast"/>
              <w:jc w:val="center"/>
              <w:rPr>
                <w:rFonts w:hint="default" w:ascii="Times New Roman" w:hAnsi="Times New Roman" w:eastAsia="仿宋_GB2312" w:cs="Times New Roman"/>
                <w:color w:val="000000"/>
                <w:kern w:val="0"/>
                <w:sz w:val="18"/>
                <w:szCs w:val="18"/>
              </w:rPr>
            </w:pPr>
          </w:p>
          <w:p w14:paraId="442C4042">
            <w:pPr>
              <w:spacing w:line="0" w:lineRule="atLeast"/>
              <w:jc w:val="center"/>
              <w:rPr>
                <w:rFonts w:hint="default" w:ascii="Times New Roman" w:hAnsi="Times New Roman" w:eastAsia="仿宋_GB2312" w:cs="Times New Roman"/>
                <w:color w:val="000000"/>
                <w:kern w:val="0"/>
                <w:sz w:val="18"/>
                <w:szCs w:val="18"/>
              </w:rPr>
            </w:pPr>
          </w:p>
          <w:p w14:paraId="70BF76C5">
            <w:pPr>
              <w:spacing w:line="0" w:lineRule="atLeast"/>
              <w:jc w:val="center"/>
              <w:rPr>
                <w:rFonts w:hint="default" w:ascii="Times New Roman" w:hAnsi="Times New Roman" w:eastAsia="仿宋_GB2312" w:cs="Times New Roman"/>
                <w:color w:val="000000"/>
                <w:kern w:val="0"/>
                <w:sz w:val="18"/>
                <w:szCs w:val="18"/>
              </w:rPr>
            </w:pPr>
          </w:p>
          <w:p w14:paraId="370C55A0">
            <w:pPr>
              <w:spacing w:line="0" w:lineRule="atLeast"/>
              <w:jc w:val="center"/>
              <w:rPr>
                <w:rFonts w:hint="default" w:ascii="Times New Roman" w:hAnsi="Times New Roman" w:eastAsia="仿宋_GB2312" w:cs="Times New Roman"/>
                <w:color w:val="000000"/>
                <w:kern w:val="0"/>
                <w:sz w:val="18"/>
                <w:szCs w:val="18"/>
              </w:rPr>
            </w:pPr>
          </w:p>
          <w:p w14:paraId="5FCBD377">
            <w:pPr>
              <w:spacing w:line="0" w:lineRule="atLeast"/>
              <w:jc w:val="center"/>
              <w:rPr>
                <w:rFonts w:hint="default" w:ascii="Times New Roman" w:hAnsi="Times New Roman" w:eastAsia="仿宋_GB2312" w:cs="Times New Roman"/>
                <w:color w:val="000000"/>
                <w:kern w:val="0"/>
                <w:sz w:val="18"/>
                <w:szCs w:val="18"/>
              </w:rPr>
            </w:pPr>
          </w:p>
          <w:p w14:paraId="41CACC73">
            <w:pPr>
              <w:spacing w:line="0" w:lineRule="atLeast"/>
              <w:jc w:val="center"/>
              <w:rPr>
                <w:rFonts w:hint="default" w:ascii="Times New Roman" w:hAnsi="Times New Roman" w:eastAsia="仿宋_GB2312" w:cs="Times New Roman"/>
                <w:color w:val="000000"/>
                <w:kern w:val="0"/>
                <w:sz w:val="18"/>
                <w:szCs w:val="18"/>
              </w:rPr>
            </w:pPr>
          </w:p>
          <w:p w14:paraId="1166B073">
            <w:pPr>
              <w:spacing w:line="0" w:lineRule="atLeast"/>
              <w:jc w:val="center"/>
              <w:rPr>
                <w:rFonts w:hint="default" w:ascii="Times New Roman" w:hAnsi="Times New Roman" w:eastAsia="仿宋_GB2312" w:cs="Times New Roman"/>
                <w:color w:val="000000"/>
                <w:kern w:val="0"/>
                <w:sz w:val="18"/>
                <w:szCs w:val="18"/>
              </w:rPr>
            </w:pPr>
          </w:p>
          <w:p w14:paraId="0742D506">
            <w:pPr>
              <w:spacing w:line="0" w:lineRule="atLeast"/>
              <w:jc w:val="center"/>
              <w:rPr>
                <w:rFonts w:hint="default" w:ascii="Times New Roman" w:hAnsi="Times New Roman" w:eastAsia="仿宋_GB2312" w:cs="Times New Roman"/>
                <w:color w:val="000000"/>
                <w:kern w:val="0"/>
                <w:sz w:val="18"/>
                <w:szCs w:val="18"/>
              </w:rPr>
            </w:pPr>
          </w:p>
          <w:p w14:paraId="4BAD9F0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4BA0621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4F3A772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59E5945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5BC3652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32EE639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2F1190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6AA231F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71FC09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2F487EA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49CA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18B2848">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84643C3">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D9D00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2BCF33C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14A435D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3995CFB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38097D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1F926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9E08F86">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86EBA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5C250E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2478A7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7332972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497AC2A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10545F8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6469782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5477F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039D7DD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6A5C501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1E4E1B13">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74C959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070B62B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404146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444BC5D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795F086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0264E5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92D2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423B4A7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7B70D8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A05B82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090C4BE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11F4559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1171C9D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52DCFAD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2D48072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B200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7E24176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0652F98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287314F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067009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1A4704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7B0F44E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78D366C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F31D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158C37E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9327F9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67BE40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7F50A4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406ADD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774D3F5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673458E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737B138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0E988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D65CA2A">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B55764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045D8B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321F29E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4E43D54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77C5DD3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435C23B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56265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BBA316D">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00A2C2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55EB3B8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58ACE18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48B0C68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7911FFF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786AE2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44AC0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68ADEDD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6B2320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368EE6A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13DC1C7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38F869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7CBAF11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auto" w:fill="FFFFFF"/>
            <w:vAlign w:val="center"/>
          </w:tcPr>
          <w:p w14:paraId="3AF6C7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42C68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7E78F39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53098D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E7538F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75A40E7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443BCF3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666D711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423B8D1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6AD31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0D2F0F85">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06EA2B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59" w:type="dxa"/>
            <w:shd w:val="clear" w:color="000000" w:fill="FFFFFF"/>
            <w:vAlign w:val="center"/>
          </w:tcPr>
          <w:p w14:paraId="26A53A25">
            <w:pPr>
              <w:widowControl/>
              <w:spacing w:line="0" w:lineRule="atLeast"/>
              <w:jc w:val="center"/>
              <w:rPr>
                <w:rFonts w:hint="default" w:ascii="Times New Roman" w:hAnsi="Times New Roman" w:eastAsia="仿宋_GB2312" w:cs="Times New Roman"/>
                <w:b/>
                <w:bCs/>
                <w:color w:val="000000"/>
                <w:kern w:val="0"/>
                <w:sz w:val="18"/>
                <w:szCs w:val="18"/>
                <w:highlight w:val="yellow"/>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6" w:type="dxa"/>
            <w:shd w:val="clear" w:color="000000" w:fill="FFFFFF"/>
            <w:vAlign w:val="center"/>
          </w:tcPr>
          <w:p w14:paraId="2FB3CFBB">
            <w:pPr>
              <w:widowControl/>
              <w:spacing w:line="0" w:lineRule="atLeast"/>
              <w:jc w:val="center"/>
            </w:pPr>
          </w:p>
        </w:tc>
      </w:tr>
    </w:tbl>
    <w:p w14:paraId="5F8A8FF0">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78014740">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0" w:type="dxa"/>
        <w:shd w:val="clear" w:color="auto" w:fill="auto"/>
        <w:tblLayout w:type="fixed"/>
        <w:tblCellMar>
          <w:top w:w="0" w:type="dxa"/>
          <w:left w:w="0" w:type="dxa"/>
          <w:bottom w:w="0" w:type="dxa"/>
          <w:right w:w="0" w:type="dxa"/>
        </w:tblCellMar>
      </w:tblPr>
      <w:tblGrid>
        <w:gridCol w:w="1020"/>
        <w:gridCol w:w="1020"/>
        <w:gridCol w:w="1030"/>
        <w:gridCol w:w="1162"/>
        <w:gridCol w:w="1404"/>
        <w:gridCol w:w="664"/>
        <w:gridCol w:w="1439"/>
        <w:gridCol w:w="1279"/>
        <w:gridCol w:w="817"/>
        <w:gridCol w:w="740"/>
        <w:gridCol w:w="829"/>
        <w:gridCol w:w="603"/>
        <w:gridCol w:w="676"/>
        <w:gridCol w:w="1042"/>
      </w:tblGrid>
      <w:tr w14:paraId="59F57494">
        <w:tblPrEx>
          <w:shd w:val="clear" w:color="auto" w:fill="auto"/>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14:paraId="7186CAA8">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5BFB11D5">
        <w:tblPrEx>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14:paraId="7807AD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14:paraId="7EC9B714">
        <w:tblPrEx>
          <w:tblCellMar>
            <w:top w:w="0" w:type="dxa"/>
            <w:left w:w="0" w:type="dxa"/>
            <w:bottom w:w="0" w:type="dxa"/>
            <w:right w:w="0" w:type="dxa"/>
          </w:tblCellMar>
        </w:tblPrEx>
        <w:trPr>
          <w:trHeight w:val="27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6C7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68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E0F0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2024年基本公共卫生服务补助资金</w:t>
            </w:r>
          </w:p>
        </w:tc>
      </w:tr>
      <w:tr w14:paraId="426FE58C">
        <w:tblPrEx>
          <w:tblCellMar>
            <w:top w:w="0" w:type="dxa"/>
            <w:left w:w="0" w:type="dxa"/>
            <w:bottom w:w="0" w:type="dxa"/>
            <w:right w:w="0" w:type="dxa"/>
          </w:tblCellMar>
        </w:tblPrEx>
        <w:trPr>
          <w:trHeight w:val="270"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C69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E346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奇台县卫生健康综合监督执法局</w:t>
            </w:r>
          </w:p>
        </w:tc>
        <w:tc>
          <w:tcPr>
            <w:tcW w:w="2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F6E5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8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1CB5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奇台县卫生健康综合监督执法局</w:t>
            </w:r>
          </w:p>
        </w:tc>
      </w:tr>
      <w:tr w14:paraId="230DF971">
        <w:tblPrEx>
          <w:tblCellMar>
            <w:top w:w="0" w:type="dxa"/>
            <w:left w:w="0" w:type="dxa"/>
            <w:bottom w:w="0" w:type="dxa"/>
            <w:right w:w="0" w:type="dxa"/>
          </w:tblCellMar>
        </w:tblPrEx>
        <w:trPr>
          <w:trHeight w:val="480" w:hRule="atLeast"/>
        </w:trPr>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E5E9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4BD3E">
            <w:pPr>
              <w:jc w:val="center"/>
              <w:rPr>
                <w:rFonts w:hint="eastAsia" w:ascii="宋体" w:hAnsi="宋体" w:eastAsia="宋体" w:cs="宋体"/>
                <w:i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A850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4762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568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A62B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751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C5D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2E23BD19">
        <w:tblPrEx>
          <w:tblCellMar>
            <w:top w:w="0" w:type="dxa"/>
            <w:left w:w="0" w:type="dxa"/>
            <w:bottom w:w="0" w:type="dxa"/>
            <w:right w:w="0" w:type="dxa"/>
          </w:tblCellMar>
        </w:tblPrEx>
        <w:trPr>
          <w:trHeight w:val="440" w:hRule="atLeast"/>
        </w:trPr>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490DD">
            <w:pPr>
              <w:jc w:val="center"/>
              <w:rPr>
                <w:rFonts w:hint="eastAsia" w:ascii="宋体" w:hAnsi="宋体" w:eastAsia="宋体" w:cs="宋体"/>
                <w:i w:val="0"/>
                <w:color w:val="000000"/>
                <w:sz w:val="20"/>
                <w:szCs w:val="20"/>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2CC0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1A3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w:t>
            </w: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BE31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w:t>
            </w:r>
          </w:p>
        </w:tc>
        <w:tc>
          <w:tcPr>
            <w:tcW w:w="2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52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6C5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1FEC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0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B5FC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r>
      <w:tr w14:paraId="3F1423D4">
        <w:tblPrEx>
          <w:tblCellMar>
            <w:top w:w="0" w:type="dxa"/>
            <w:left w:w="0" w:type="dxa"/>
            <w:bottom w:w="0" w:type="dxa"/>
            <w:right w:w="0" w:type="dxa"/>
          </w:tblCellMar>
        </w:tblPrEx>
        <w:trPr>
          <w:trHeight w:val="440" w:hRule="atLeast"/>
        </w:trPr>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88EC4">
            <w:pPr>
              <w:jc w:val="center"/>
              <w:rPr>
                <w:rFonts w:hint="eastAsia" w:ascii="宋体" w:hAnsi="宋体" w:eastAsia="宋体" w:cs="宋体"/>
                <w:i w:val="0"/>
                <w:color w:val="000000"/>
                <w:sz w:val="20"/>
                <w:szCs w:val="20"/>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B979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301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w:t>
            </w: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04F4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2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437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9EB7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2BED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557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03816DC2">
        <w:tblPrEx>
          <w:tblCellMar>
            <w:top w:w="0" w:type="dxa"/>
            <w:left w:w="0" w:type="dxa"/>
            <w:bottom w:w="0" w:type="dxa"/>
            <w:right w:w="0" w:type="dxa"/>
          </w:tblCellMar>
        </w:tblPrEx>
        <w:trPr>
          <w:trHeight w:val="440" w:hRule="atLeast"/>
        </w:trPr>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08A97">
            <w:pPr>
              <w:jc w:val="center"/>
              <w:rPr>
                <w:rFonts w:hint="eastAsia" w:ascii="宋体" w:hAnsi="宋体" w:eastAsia="宋体" w:cs="宋体"/>
                <w:i w:val="0"/>
                <w:color w:val="000000"/>
                <w:sz w:val="20"/>
                <w:szCs w:val="20"/>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BEC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B25B3">
            <w:pPr>
              <w:jc w:val="center"/>
              <w:rPr>
                <w:rFonts w:hint="eastAsia" w:ascii="宋体" w:hAnsi="宋体" w:eastAsia="宋体" w:cs="宋体"/>
                <w:i w:val="0"/>
                <w:color w:val="000000"/>
                <w:sz w:val="20"/>
                <w:szCs w:val="20"/>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33DD7">
            <w:pPr>
              <w:jc w:val="center"/>
              <w:rPr>
                <w:rFonts w:hint="eastAsia" w:ascii="宋体" w:hAnsi="宋体" w:eastAsia="宋体" w:cs="宋体"/>
                <w:i w:val="0"/>
                <w:color w:val="000000"/>
                <w:sz w:val="20"/>
                <w:szCs w:val="20"/>
                <w:u w:val="none"/>
              </w:rPr>
            </w:pPr>
          </w:p>
        </w:tc>
        <w:tc>
          <w:tcPr>
            <w:tcW w:w="2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97DA3">
            <w:pPr>
              <w:jc w:val="center"/>
              <w:rPr>
                <w:rFonts w:hint="eastAsia" w:ascii="宋体" w:hAnsi="宋体" w:eastAsia="宋体" w:cs="宋体"/>
                <w:i w:val="0"/>
                <w:color w:val="000000"/>
                <w:sz w:val="20"/>
                <w:szCs w:val="20"/>
                <w:u w:val="none"/>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E59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E93C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48C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770A8734">
        <w:tblPrEx>
          <w:tblCellMar>
            <w:top w:w="0" w:type="dxa"/>
            <w:left w:w="0" w:type="dxa"/>
            <w:bottom w:w="0" w:type="dxa"/>
            <w:right w:w="0" w:type="dxa"/>
          </w:tblCellMar>
        </w:tblPrEx>
        <w:trPr>
          <w:trHeight w:val="440" w:hRule="atLeast"/>
        </w:trPr>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97F2F">
            <w:pPr>
              <w:jc w:val="center"/>
              <w:rPr>
                <w:rFonts w:hint="eastAsia" w:ascii="宋体" w:hAnsi="宋体" w:eastAsia="宋体" w:cs="宋体"/>
                <w:i w:val="0"/>
                <w:color w:val="000000"/>
                <w:sz w:val="20"/>
                <w:szCs w:val="20"/>
                <w:u w:val="none"/>
              </w:rPr>
            </w:pPr>
          </w:p>
        </w:tc>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A0C9F">
            <w:pPr>
              <w:jc w:val="center"/>
              <w:rPr>
                <w:rFonts w:hint="eastAsia" w:ascii="宋体" w:hAnsi="宋体" w:eastAsia="宋体" w:cs="宋体"/>
                <w:i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E4CDD">
            <w:pPr>
              <w:jc w:val="center"/>
              <w:rPr>
                <w:rFonts w:hint="eastAsia" w:ascii="宋体" w:hAnsi="宋体" w:eastAsia="宋体" w:cs="宋体"/>
                <w:i w:val="0"/>
                <w:color w:val="000000"/>
                <w:sz w:val="20"/>
                <w:szCs w:val="20"/>
                <w:u w:val="none"/>
              </w:rPr>
            </w:pPr>
          </w:p>
        </w:tc>
        <w:tc>
          <w:tcPr>
            <w:tcW w:w="2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C1344">
            <w:pPr>
              <w:jc w:val="center"/>
              <w:rPr>
                <w:rFonts w:hint="eastAsia" w:ascii="宋体" w:hAnsi="宋体" w:eastAsia="宋体" w:cs="宋体"/>
                <w:i w:val="0"/>
                <w:color w:val="000000"/>
                <w:sz w:val="20"/>
                <w:szCs w:val="20"/>
                <w:u w:val="none"/>
              </w:rPr>
            </w:pPr>
          </w:p>
        </w:tc>
        <w:tc>
          <w:tcPr>
            <w:tcW w:w="2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77D96">
            <w:pPr>
              <w:jc w:val="center"/>
              <w:rPr>
                <w:rFonts w:hint="eastAsia" w:ascii="宋体" w:hAnsi="宋体" w:eastAsia="宋体" w:cs="宋体"/>
                <w:i w:val="0"/>
                <w:color w:val="000000"/>
                <w:sz w:val="20"/>
                <w:szCs w:val="20"/>
                <w:u w:val="none"/>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C76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B169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0EEF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35E82EB5">
        <w:tblPrEx>
          <w:tblCellMar>
            <w:top w:w="0" w:type="dxa"/>
            <w:left w:w="0" w:type="dxa"/>
            <w:bottom w:w="0" w:type="dxa"/>
            <w:right w:w="0" w:type="dxa"/>
          </w:tblCellMar>
        </w:tblPrEx>
        <w:trPr>
          <w:trHeight w:val="270" w:hRule="atLeast"/>
        </w:trPr>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A4C3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71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BE66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598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3AF7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456484DA">
        <w:tblPrEx>
          <w:tblCellMar>
            <w:top w:w="0" w:type="dxa"/>
            <w:left w:w="0" w:type="dxa"/>
            <w:bottom w:w="0" w:type="dxa"/>
            <w:right w:w="0" w:type="dxa"/>
          </w:tblCellMar>
        </w:tblPrEx>
        <w:trPr>
          <w:trHeight w:val="126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2DA4B">
            <w:pPr>
              <w:jc w:val="center"/>
              <w:rPr>
                <w:rFonts w:hint="eastAsia" w:ascii="宋体" w:hAnsi="宋体" w:eastAsia="宋体" w:cs="宋体"/>
                <w:i w:val="0"/>
                <w:color w:val="000000"/>
                <w:sz w:val="20"/>
                <w:szCs w:val="20"/>
                <w:u w:val="none"/>
              </w:rPr>
            </w:pPr>
          </w:p>
        </w:tc>
        <w:tc>
          <w:tcPr>
            <w:tcW w:w="671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A80D052">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通过向居民免费发放食品安全宣传资料、实施食品安全标准制定及跟踪次数不少于4次、卫生监督检测不少于24家等形式，提高居民健康意识，改变不良生活方式，逐步树立起自我健康管理的理念；减少主要健康危险因素，预防和控制传染病及慢性病的发生和流行；建立起维护居民健康的第一道屏障，提高居民健康素质。</w:t>
            </w:r>
          </w:p>
        </w:tc>
        <w:tc>
          <w:tcPr>
            <w:tcW w:w="598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4F757823">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国家随机监督抽查项目检测24家，食品安全标准制定及跟踪评价4次，食品安全宣传4次，国家随机监督抽查项目检测率达100%，食品安全标准制定及跟踪评价完成率达95%，食品安全宣传率达95%，群众健康常识知晓率达90%。</w:t>
            </w:r>
          </w:p>
        </w:tc>
      </w:tr>
      <w:tr w14:paraId="41D415C7">
        <w:tblPrEx>
          <w:tblCellMar>
            <w:top w:w="0" w:type="dxa"/>
            <w:left w:w="0" w:type="dxa"/>
            <w:bottom w:w="0" w:type="dxa"/>
            <w:right w:w="0" w:type="dxa"/>
          </w:tblCellMar>
        </w:tblPrEx>
        <w:trPr>
          <w:trHeight w:val="270" w:hRule="atLeast"/>
        </w:trPr>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E8937">
            <w:pPr>
              <w:jc w:val="center"/>
              <w:rPr>
                <w:rFonts w:hint="eastAsia" w:ascii="宋体" w:hAnsi="宋体" w:eastAsia="宋体" w:cs="宋体"/>
                <w:i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32ED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7387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32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FC54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BA70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431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5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952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4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0D1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3634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3BFCFFE3">
        <w:tblPrEx>
          <w:tblCellMar>
            <w:top w:w="0" w:type="dxa"/>
            <w:left w:w="0" w:type="dxa"/>
            <w:bottom w:w="0" w:type="dxa"/>
            <w:right w:w="0" w:type="dxa"/>
          </w:tblCellMar>
        </w:tblPrEx>
        <w:trPr>
          <w:trHeight w:val="27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57F17">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3E534">
            <w:pPr>
              <w:jc w:val="center"/>
              <w:rPr>
                <w:rFonts w:hint="eastAsia" w:ascii="宋体" w:hAnsi="宋体" w:eastAsia="宋体" w:cs="宋体"/>
                <w:i w:val="0"/>
                <w:color w:val="000000"/>
                <w:sz w:val="20"/>
                <w:szCs w:val="20"/>
                <w:u w:val="none"/>
              </w:rPr>
            </w:pPr>
          </w:p>
        </w:tc>
        <w:tc>
          <w:tcPr>
            <w:tcW w:w="1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250BD">
            <w:pPr>
              <w:jc w:val="center"/>
              <w:rPr>
                <w:rFonts w:hint="eastAsia" w:ascii="宋体" w:hAnsi="宋体" w:eastAsia="宋体" w:cs="宋体"/>
                <w:i w:val="0"/>
                <w:color w:val="000000"/>
                <w:sz w:val="20"/>
                <w:szCs w:val="20"/>
                <w:u w:val="none"/>
              </w:rPr>
            </w:pPr>
          </w:p>
        </w:tc>
        <w:tc>
          <w:tcPr>
            <w:tcW w:w="32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E0ABD">
            <w:pPr>
              <w:jc w:val="center"/>
              <w:rPr>
                <w:rFonts w:hint="eastAsia" w:ascii="宋体" w:hAnsi="宋体" w:eastAsia="宋体" w:cs="宋体"/>
                <w:i w:val="0"/>
                <w:color w:val="000000"/>
                <w:sz w:val="20"/>
                <w:szCs w:val="20"/>
                <w:u w:val="none"/>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A39E5">
            <w:pPr>
              <w:jc w:val="center"/>
              <w:rPr>
                <w:rFonts w:hint="eastAsia" w:ascii="宋体" w:hAnsi="宋体" w:eastAsia="宋体" w:cs="宋体"/>
                <w:i w:val="0"/>
                <w:color w:val="000000"/>
                <w:sz w:val="20"/>
                <w:szCs w:val="20"/>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2D154">
            <w:pPr>
              <w:jc w:val="center"/>
              <w:rPr>
                <w:rFonts w:hint="eastAsia" w:ascii="宋体" w:hAnsi="宋体" w:eastAsia="宋体" w:cs="宋体"/>
                <w:i w:val="0"/>
                <w:color w:val="000000"/>
                <w:sz w:val="20"/>
                <w:szCs w:val="20"/>
                <w:u w:val="none"/>
              </w:rPr>
            </w:pPr>
          </w:p>
        </w:tc>
        <w:tc>
          <w:tcPr>
            <w:tcW w:w="15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E67CB">
            <w:pPr>
              <w:jc w:val="center"/>
              <w:rPr>
                <w:rFonts w:hint="eastAsia" w:ascii="宋体" w:hAnsi="宋体" w:eastAsia="宋体" w:cs="宋体"/>
                <w:i w:val="0"/>
                <w:color w:val="000000"/>
                <w:sz w:val="20"/>
                <w:szCs w:val="20"/>
                <w:u w:val="none"/>
              </w:rPr>
            </w:pPr>
          </w:p>
        </w:tc>
        <w:tc>
          <w:tcPr>
            <w:tcW w:w="14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E035F">
            <w:pPr>
              <w:jc w:val="center"/>
              <w:rPr>
                <w:rFonts w:hint="eastAsia" w:ascii="宋体" w:hAnsi="宋体" w:eastAsia="宋体" w:cs="宋体"/>
                <w:i w:val="0"/>
                <w:color w:val="000000"/>
                <w:sz w:val="20"/>
                <w:szCs w:val="20"/>
                <w:u w:val="none"/>
              </w:rPr>
            </w:pPr>
          </w:p>
        </w:tc>
        <w:tc>
          <w:tcPr>
            <w:tcW w:w="17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FA18B">
            <w:pPr>
              <w:jc w:val="center"/>
              <w:rPr>
                <w:rFonts w:hint="eastAsia" w:ascii="宋体" w:hAnsi="宋体" w:eastAsia="宋体" w:cs="宋体"/>
                <w:i w:val="0"/>
                <w:color w:val="000000"/>
                <w:sz w:val="20"/>
                <w:szCs w:val="20"/>
                <w:u w:val="none"/>
              </w:rPr>
            </w:pPr>
          </w:p>
        </w:tc>
      </w:tr>
      <w:tr w14:paraId="25C0E62A">
        <w:tblPrEx>
          <w:tblCellMar>
            <w:top w:w="0" w:type="dxa"/>
            <w:left w:w="0" w:type="dxa"/>
            <w:bottom w:w="0" w:type="dxa"/>
            <w:right w:w="0" w:type="dxa"/>
          </w:tblCellMar>
        </w:tblPrEx>
        <w:trPr>
          <w:trHeight w:val="400" w:hRule="atLeast"/>
        </w:trPr>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F6EB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6A3F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722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42E4D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食品安全宣传次数</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F5AF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&gt;=4次</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F57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=4次</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F0A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046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F67CD">
            <w:pPr>
              <w:jc w:val="center"/>
              <w:rPr>
                <w:rFonts w:hint="eastAsia" w:ascii="宋体" w:hAnsi="宋体" w:eastAsia="宋体" w:cs="宋体"/>
                <w:i w:val="0"/>
                <w:color w:val="000000"/>
                <w:sz w:val="20"/>
                <w:szCs w:val="20"/>
                <w:u w:val="none"/>
              </w:rPr>
            </w:pPr>
          </w:p>
        </w:tc>
      </w:tr>
      <w:tr w14:paraId="323FDDE9">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8964E">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144F8">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C8A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35E45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国家随机监督抽查项目检测家数</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460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&gt;=24家</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83C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=24家</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6D42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FB1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1CC9A">
            <w:pPr>
              <w:jc w:val="center"/>
              <w:rPr>
                <w:rFonts w:hint="eastAsia" w:ascii="宋体" w:hAnsi="宋体" w:eastAsia="宋体" w:cs="宋体"/>
                <w:i w:val="0"/>
                <w:color w:val="000000"/>
                <w:sz w:val="20"/>
                <w:szCs w:val="20"/>
                <w:u w:val="none"/>
              </w:rPr>
            </w:pPr>
          </w:p>
        </w:tc>
      </w:tr>
      <w:tr w14:paraId="0F3B7229">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5744D">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4EF2C">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96E9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FD33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食品安全标准制定及跟踪评价次数</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8EF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&gt;=4次</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2F24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=4次</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91D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123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4E87E">
            <w:pPr>
              <w:jc w:val="center"/>
              <w:rPr>
                <w:rFonts w:hint="eastAsia" w:ascii="宋体" w:hAnsi="宋体" w:eastAsia="宋体" w:cs="宋体"/>
                <w:i w:val="0"/>
                <w:color w:val="000000"/>
                <w:sz w:val="20"/>
                <w:szCs w:val="20"/>
                <w:u w:val="none"/>
              </w:rPr>
            </w:pPr>
          </w:p>
        </w:tc>
      </w:tr>
      <w:tr w14:paraId="10B8CE41">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D7B36">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13B59">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6047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15843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食品安全宣传率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B227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7A3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C2C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073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52D5">
            <w:pPr>
              <w:jc w:val="center"/>
              <w:rPr>
                <w:rFonts w:hint="eastAsia" w:ascii="宋体" w:hAnsi="宋体" w:eastAsia="宋体" w:cs="宋体"/>
                <w:i w:val="0"/>
                <w:color w:val="000000"/>
                <w:sz w:val="20"/>
                <w:szCs w:val="20"/>
                <w:u w:val="none"/>
              </w:rPr>
            </w:pPr>
          </w:p>
        </w:tc>
      </w:tr>
      <w:tr w14:paraId="322E9487">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AFF7E">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A7A2C">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110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9BCA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国家随机监督抽查项目检测率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A0F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DD5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38D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781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6D647">
            <w:pPr>
              <w:jc w:val="center"/>
              <w:rPr>
                <w:rFonts w:hint="eastAsia" w:ascii="宋体" w:hAnsi="宋体" w:eastAsia="宋体" w:cs="宋体"/>
                <w:i w:val="0"/>
                <w:color w:val="000000"/>
                <w:sz w:val="20"/>
                <w:szCs w:val="20"/>
                <w:u w:val="none"/>
              </w:rPr>
            </w:pPr>
          </w:p>
        </w:tc>
      </w:tr>
      <w:tr w14:paraId="5741CB3B">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B64CB">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25F41">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2ACA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23C1D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食品安全标准制定及跟踪评价完成率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87D6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06D5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A9A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8636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742DE">
            <w:pPr>
              <w:jc w:val="center"/>
              <w:rPr>
                <w:rFonts w:hint="eastAsia" w:ascii="宋体" w:hAnsi="宋体" w:eastAsia="宋体" w:cs="宋体"/>
                <w:i w:val="0"/>
                <w:color w:val="000000"/>
                <w:sz w:val="20"/>
                <w:szCs w:val="20"/>
                <w:u w:val="none"/>
              </w:rPr>
            </w:pPr>
          </w:p>
        </w:tc>
      </w:tr>
      <w:tr w14:paraId="5CDC1998">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3A732">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6397D">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7B67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83F3E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资金发放及时率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4D9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708E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3717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F33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1F2A4">
            <w:pPr>
              <w:jc w:val="center"/>
              <w:rPr>
                <w:rFonts w:hint="eastAsia" w:ascii="宋体" w:hAnsi="宋体" w:eastAsia="宋体" w:cs="宋体"/>
                <w:i w:val="0"/>
                <w:color w:val="000000"/>
                <w:sz w:val="20"/>
                <w:szCs w:val="20"/>
                <w:u w:val="none"/>
              </w:rPr>
            </w:pPr>
          </w:p>
        </w:tc>
      </w:tr>
      <w:tr w14:paraId="10851EC5">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7EC71">
            <w:pPr>
              <w:jc w:val="center"/>
              <w:rPr>
                <w:rFonts w:hint="eastAsia" w:ascii="宋体" w:hAnsi="宋体" w:eastAsia="宋体" w:cs="宋体"/>
                <w:i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EAAC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0186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87FE9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项目预算控制率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407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9F80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817B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222E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62F34">
            <w:pPr>
              <w:jc w:val="center"/>
              <w:rPr>
                <w:rFonts w:hint="eastAsia" w:ascii="宋体" w:hAnsi="宋体" w:eastAsia="宋体" w:cs="宋体"/>
                <w:i w:val="0"/>
                <w:color w:val="000000"/>
                <w:sz w:val="20"/>
                <w:szCs w:val="20"/>
                <w:u w:val="none"/>
              </w:rPr>
            </w:pPr>
          </w:p>
        </w:tc>
      </w:tr>
      <w:tr w14:paraId="7A7B2C06">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28F50">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69208">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F90C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DC744">
            <w:pPr>
              <w:jc w:val="left"/>
              <w:rPr>
                <w:rFonts w:hint="eastAsia" w:ascii="宋体" w:hAnsi="宋体" w:eastAsia="宋体" w:cs="宋体"/>
                <w:i w:val="0"/>
                <w:color w:val="000000"/>
                <w:sz w:val="20"/>
                <w:szCs w:val="20"/>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30FFD">
            <w:pPr>
              <w:jc w:val="center"/>
              <w:rPr>
                <w:rFonts w:hint="eastAsia" w:ascii="宋体" w:hAnsi="宋体" w:eastAsia="宋体" w:cs="宋体"/>
                <w:i w:val="0"/>
                <w:color w:val="000000"/>
                <w:sz w:val="20"/>
                <w:szCs w:val="20"/>
                <w:u w:val="none"/>
              </w:rPr>
            </w:pP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1BA32">
            <w:pPr>
              <w:jc w:val="center"/>
              <w:rPr>
                <w:rFonts w:hint="eastAsia" w:ascii="宋体" w:hAnsi="宋体" w:eastAsia="宋体" w:cs="宋体"/>
                <w:i w:val="0"/>
                <w:color w:val="000000"/>
                <w:sz w:val="20"/>
                <w:szCs w:val="20"/>
                <w:u w:val="none"/>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0455F">
            <w:pPr>
              <w:jc w:val="center"/>
              <w:rPr>
                <w:rFonts w:hint="eastAsia" w:ascii="宋体" w:hAnsi="宋体" w:eastAsia="宋体" w:cs="宋体"/>
                <w:i w:val="0"/>
                <w:color w:val="000000"/>
                <w:sz w:val="20"/>
                <w:szCs w:val="20"/>
                <w:u w:val="none"/>
              </w:rPr>
            </w:pP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64E21">
            <w:pPr>
              <w:jc w:val="center"/>
              <w:rPr>
                <w:rFonts w:hint="eastAsia" w:ascii="宋体" w:hAnsi="宋体" w:eastAsia="宋体" w:cs="宋体"/>
                <w:i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9FE1E">
            <w:pPr>
              <w:jc w:val="center"/>
              <w:rPr>
                <w:rFonts w:hint="eastAsia" w:ascii="宋体" w:hAnsi="宋体" w:eastAsia="宋体" w:cs="宋体"/>
                <w:i w:val="0"/>
                <w:color w:val="000000"/>
                <w:sz w:val="20"/>
                <w:szCs w:val="20"/>
                <w:u w:val="none"/>
              </w:rPr>
            </w:pPr>
          </w:p>
        </w:tc>
      </w:tr>
      <w:tr w14:paraId="07499301">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96BA3">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2EA43">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CDAF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378113">
            <w:pPr>
              <w:jc w:val="left"/>
              <w:rPr>
                <w:rFonts w:hint="eastAsia" w:ascii="宋体" w:hAnsi="宋体" w:eastAsia="宋体" w:cs="宋体"/>
                <w:i w:val="0"/>
                <w:color w:val="000000"/>
                <w:sz w:val="20"/>
                <w:szCs w:val="20"/>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8CFA7">
            <w:pPr>
              <w:jc w:val="center"/>
              <w:rPr>
                <w:rFonts w:hint="eastAsia" w:ascii="宋体" w:hAnsi="宋体" w:eastAsia="宋体" w:cs="宋体"/>
                <w:i w:val="0"/>
                <w:color w:val="000000"/>
                <w:sz w:val="20"/>
                <w:szCs w:val="20"/>
                <w:u w:val="none"/>
              </w:rPr>
            </w:pP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72A6F">
            <w:pPr>
              <w:jc w:val="center"/>
              <w:rPr>
                <w:rFonts w:hint="eastAsia" w:ascii="宋体" w:hAnsi="宋体" w:eastAsia="宋体" w:cs="宋体"/>
                <w:i w:val="0"/>
                <w:color w:val="000000"/>
                <w:sz w:val="20"/>
                <w:szCs w:val="20"/>
                <w:u w:val="none"/>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E51AF">
            <w:pPr>
              <w:jc w:val="center"/>
              <w:rPr>
                <w:rFonts w:hint="eastAsia" w:ascii="宋体" w:hAnsi="宋体" w:eastAsia="宋体" w:cs="宋体"/>
                <w:i w:val="0"/>
                <w:color w:val="000000"/>
                <w:sz w:val="20"/>
                <w:szCs w:val="20"/>
                <w:u w:val="none"/>
              </w:rPr>
            </w:pP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06B9B">
            <w:pPr>
              <w:jc w:val="center"/>
              <w:rPr>
                <w:rFonts w:hint="eastAsia" w:ascii="宋体" w:hAnsi="宋体" w:eastAsia="宋体" w:cs="宋体"/>
                <w:i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1D483">
            <w:pPr>
              <w:jc w:val="center"/>
              <w:rPr>
                <w:rFonts w:hint="eastAsia" w:ascii="宋体" w:hAnsi="宋体" w:eastAsia="宋体" w:cs="宋体"/>
                <w:i w:val="0"/>
                <w:color w:val="000000"/>
                <w:sz w:val="20"/>
                <w:szCs w:val="20"/>
                <w:u w:val="none"/>
              </w:rPr>
            </w:pPr>
          </w:p>
        </w:tc>
      </w:tr>
      <w:tr w14:paraId="272090F7">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92E10">
            <w:pPr>
              <w:jc w:val="center"/>
              <w:rPr>
                <w:rFonts w:hint="eastAsia" w:ascii="宋体" w:hAnsi="宋体" w:eastAsia="宋体" w:cs="宋体"/>
                <w:i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3625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A875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1C3F99">
            <w:pPr>
              <w:jc w:val="left"/>
              <w:rPr>
                <w:rFonts w:hint="eastAsia" w:ascii="宋体" w:hAnsi="宋体" w:eastAsia="宋体" w:cs="宋体"/>
                <w:i w:val="0"/>
                <w:color w:val="000000"/>
                <w:sz w:val="20"/>
                <w:szCs w:val="20"/>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1AC29">
            <w:pPr>
              <w:jc w:val="center"/>
              <w:rPr>
                <w:rFonts w:hint="eastAsia" w:ascii="宋体" w:hAnsi="宋体" w:eastAsia="宋体" w:cs="宋体"/>
                <w:i w:val="0"/>
                <w:color w:val="000000"/>
                <w:sz w:val="20"/>
                <w:szCs w:val="20"/>
                <w:u w:val="none"/>
              </w:rPr>
            </w:pP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231F5">
            <w:pPr>
              <w:jc w:val="center"/>
              <w:rPr>
                <w:rFonts w:hint="eastAsia" w:ascii="宋体" w:hAnsi="宋体" w:eastAsia="宋体" w:cs="宋体"/>
                <w:i w:val="0"/>
                <w:color w:val="000000"/>
                <w:sz w:val="20"/>
                <w:szCs w:val="20"/>
                <w:u w:val="none"/>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42906">
            <w:pPr>
              <w:jc w:val="center"/>
              <w:rPr>
                <w:rFonts w:hint="eastAsia" w:ascii="宋体" w:hAnsi="宋体" w:eastAsia="宋体" w:cs="宋体"/>
                <w:i w:val="0"/>
                <w:color w:val="000000"/>
                <w:sz w:val="20"/>
                <w:szCs w:val="20"/>
                <w:u w:val="none"/>
              </w:rPr>
            </w:pP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11C22">
            <w:pPr>
              <w:jc w:val="center"/>
              <w:rPr>
                <w:rFonts w:hint="eastAsia" w:ascii="宋体" w:hAnsi="宋体" w:eastAsia="宋体" w:cs="宋体"/>
                <w:i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26B3A">
            <w:pPr>
              <w:jc w:val="center"/>
              <w:rPr>
                <w:rFonts w:hint="eastAsia" w:ascii="宋体" w:hAnsi="宋体" w:eastAsia="宋体" w:cs="宋体"/>
                <w:i w:val="0"/>
                <w:color w:val="000000"/>
                <w:sz w:val="20"/>
                <w:szCs w:val="20"/>
                <w:u w:val="none"/>
              </w:rPr>
            </w:pPr>
          </w:p>
        </w:tc>
      </w:tr>
      <w:tr w14:paraId="3824BF02">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2E3F0">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2C5B2">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295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4FAB4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提高群众健康常识知晓率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2F8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49FD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9B3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930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3B43D">
            <w:pPr>
              <w:jc w:val="center"/>
              <w:rPr>
                <w:rFonts w:hint="eastAsia" w:ascii="宋体" w:hAnsi="宋体" w:eastAsia="宋体" w:cs="宋体"/>
                <w:i w:val="0"/>
                <w:color w:val="000000"/>
                <w:sz w:val="20"/>
                <w:szCs w:val="20"/>
                <w:u w:val="none"/>
              </w:rPr>
            </w:pPr>
          </w:p>
        </w:tc>
      </w:tr>
      <w:tr w14:paraId="361F6BA0">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5FD85">
            <w:pPr>
              <w:jc w:val="center"/>
              <w:rPr>
                <w:rFonts w:hint="eastAsia" w:ascii="宋体" w:hAnsi="宋体" w:eastAsia="宋体" w:cs="宋体"/>
                <w:i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793EC">
            <w:pPr>
              <w:jc w:val="center"/>
              <w:rPr>
                <w:rFonts w:hint="eastAsia" w:ascii="宋体" w:hAnsi="宋体" w:eastAsia="宋体" w:cs="宋体"/>
                <w:i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03D4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A668BD">
            <w:pPr>
              <w:jc w:val="left"/>
              <w:rPr>
                <w:rFonts w:hint="eastAsia" w:ascii="宋体" w:hAnsi="宋体" w:eastAsia="宋体" w:cs="宋体"/>
                <w:i w:val="0"/>
                <w:color w:val="000000"/>
                <w:sz w:val="20"/>
                <w:szCs w:val="20"/>
                <w:u w:val="none"/>
              </w:rPr>
            </w:pP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010EC">
            <w:pPr>
              <w:jc w:val="center"/>
              <w:rPr>
                <w:rFonts w:hint="eastAsia" w:ascii="宋体" w:hAnsi="宋体" w:eastAsia="宋体" w:cs="宋体"/>
                <w:i w:val="0"/>
                <w:color w:val="000000"/>
                <w:sz w:val="20"/>
                <w:szCs w:val="20"/>
                <w:u w:val="none"/>
              </w:rPr>
            </w:pP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C4523">
            <w:pPr>
              <w:jc w:val="center"/>
              <w:rPr>
                <w:rFonts w:hint="eastAsia" w:ascii="宋体" w:hAnsi="宋体" w:eastAsia="宋体" w:cs="宋体"/>
                <w:i w:val="0"/>
                <w:color w:val="000000"/>
                <w:sz w:val="20"/>
                <w:szCs w:val="20"/>
                <w:u w:val="none"/>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0C9F5">
            <w:pPr>
              <w:jc w:val="center"/>
              <w:rPr>
                <w:rFonts w:hint="eastAsia" w:ascii="宋体" w:hAnsi="宋体" w:eastAsia="宋体" w:cs="宋体"/>
                <w:i w:val="0"/>
                <w:color w:val="000000"/>
                <w:sz w:val="20"/>
                <w:szCs w:val="20"/>
                <w:u w:val="none"/>
              </w:rPr>
            </w:pP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28D09">
            <w:pPr>
              <w:jc w:val="center"/>
              <w:rPr>
                <w:rFonts w:hint="eastAsia" w:ascii="宋体" w:hAnsi="宋体" w:eastAsia="宋体" w:cs="宋体"/>
                <w:i w:val="0"/>
                <w:color w:val="000000"/>
                <w:sz w:val="20"/>
                <w:szCs w:val="20"/>
                <w:u w:val="none"/>
              </w:rPr>
            </w:pP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ABC5B">
            <w:pPr>
              <w:jc w:val="center"/>
              <w:rPr>
                <w:rFonts w:hint="eastAsia" w:ascii="宋体" w:hAnsi="宋体" w:eastAsia="宋体" w:cs="宋体"/>
                <w:i w:val="0"/>
                <w:color w:val="000000"/>
                <w:sz w:val="20"/>
                <w:szCs w:val="20"/>
                <w:u w:val="none"/>
              </w:rPr>
            </w:pPr>
          </w:p>
        </w:tc>
      </w:tr>
      <w:tr w14:paraId="7943E26E">
        <w:tblPrEx>
          <w:tblCellMar>
            <w:top w:w="0" w:type="dxa"/>
            <w:left w:w="0" w:type="dxa"/>
            <w:bottom w:w="0" w:type="dxa"/>
            <w:right w:w="0" w:type="dxa"/>
          </w:tblCellMar>
        </w:tblPrEx>
        <w:trPr>
          <w:trHeight w:val="400" w:hRule="atLeast"/>
        </w:trPr>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BBF07">
            <w:pPr>
              <w:jc w:val="center"/>
              <w:rPr>
                <w:rFonts w:hint="eastAsia" w:ascii="宋体" w:hAnsi="宋体" w:eastAsia="宋体" w:cs="宋体"/>
                <w:i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914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4BE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C3B37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82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260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CD8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E7CA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A658F">
            <w:pPr>
              <w:jc w:val="center"/>
              <w:rPr>
                <w:rFonts w:hint="eastAsia" w:ascii="宋体" w:hAnsi="宋体" w:eastAsia="宋体" w:cs="宋体"/>
                <w:i w:val="0"/>
                <w:color w:val="000000"/>
                <w:sz w:val="20"/>
                <w:szCs w:val="20"/>
                <w:u w:val="none"/>
              </w:rPr>
            </w:pPr>
          </w:p>
        </w:tc>
      </w:tr>
      <w:tr w14:paraId="1C1E62A6">
        <w:tblPrEx>
          <w:tblCellMar>
            <w:top w:w="0" w:type="dxa"/>
            <w:left w:w="0" w:type="dxa"/>
            <w:bottom w:w="0" w:type="dxa"/>
            <w:right w:w="0" w:type="dxa"/>
          </w:tblCellMar>
        </w:tblPrEx>
        <w:trPr>
          <w:trHeight w:val="270" w:hRule="atLeast"/>
        </w:trPr>
        <w:tc>
          <w:tcPr>
            <w:tcW w:w="901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7A9A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515F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B576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100分</w:t>
            </w:r>
          </w:p>
        </w:tc>
        <w:tc>
          <w:tcPr>
            <w:tcW w:w="17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6132F">
            <w:pPr>
              <w:jc w:val="center"/>
              <w:rPr>
                <w:rFonts w:hint="eastAsia" w:ascii="宋体" w:hAnsi="宋体" w:eastAsia="宋体" w:cs="宋体"/>
                <w:i w:val="0"/>
                <w:color w:val="000000"/>
                <w:sz w:val="20"/>
                <w:szCs w:val="20"/>
                <w:u w:val="none"/>
              </w:rPr>
            </w:pPr>
          </w:p>
        </w:tc>
      </w:tr>
    </w:tbl>
    <w:p w14:paraId="31DEDA69">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9F57F0F">
        <w:pPr>
          <w:pStyle w:val="8"/>
          <w:jc w:val="center"/>
        </w:pPr>
        <w:r>
          <w:fldChar w:fldCharType="begin"/>
        </w:r>
        <w:r>
          <w:instrText xml:space="preserve">PAGE   \* MERGEFORMAT</w:instrText>
        </w:r>
        <w:r>
          <w:fldChar w:fldCharType="separate"/>
        </w:r>
        <w:r>
          <w:rPr>
            <w:lang w:val="zh-CN"/>
          </w:rPr>
          <w:t>13</w:t>
        </w:r>
        <w:r>
          <w:fldChar w:fldCharType="end"/>
        </w:r>
      </w:p>
    </w:sdtContent>
  </w:sdt>
  <w:p w14:paraId="76CB63A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DB2EC5"/>
    <w:rsid w:val="00F26FF6"/>
    <w:rsid w:val="01610122"/>
    <w:rsid w:val="01816D21"/>
    <w:rsid w:val="02510197"/>
    <w:rsid w:val="026D5D13"/>
    <w:rsid w:val="027308D1"/>
    <w:rsid w:val="029D18FE"/>
    <w:rsid w:val="03AD56FF"/>
    <w:rsid w:val="03EC461B"/>
    <w:rsid w:val="03FB4811"/>
    <w:rsid w:val="04390E30"/>
    <w:rsid w:val="060E19A1"/>
    <w:rsid w:val="071A5591"/>
    <w:rsid w:val="071F3F12"/>
    <w:rsid w:val="07397B77"/>
    <w:rsid w:val="07887F98"/>
    <w:rsid w:val="07A47C69"/>
    <w:rsid w:val="08FE07E9"/>
    <w:rsid w:val="093459C2"/>
    <w:rsid w:val="098A070D"/>
    <w:rsid w:val="09921A8F"/>
    <w:rsid w:val="0AD007F3"/>
    <w:rsid w:val="0AF31A6F"/>
    <w:rsid w:val="0B66288D"/>
    <w:rsid w:val="0BE31CCC"/>
    <w:rsid w:val="0C086893"/>
    <w:rsid w:val="0C8C1DCC"/>
    <w:rsid w:val="0D082A6E"/>
    <w:rsid w:val="0E3556FA"/>
    <w:rsid w:val="0E3C619F"/>
    <w:rsid w:val="0E7B5B29"/>
    <w:rsid w:val="0EB208CB"/>
    <w:rsid w:val="0EBE37B1"/>
    <w:rsid w:val="0F5548BD"/>
    <w:rsid w:val="0F6273CA"/>
    <w:rsid w:val="0FD414BD"/>
    <w:rsid w:val="100F38EC"/>
    <w:rsid w:val="1080687F"/>
    <w:rsid w:val="10850BEB"/>
    <w:rsid w:val="11170296"/>
    <w:rsid w:val="113E18FB"/>
    <w:rsid w:val="1197088D"/>
    <w:rsid w:val="11C23522"/>
    <w:rsid w:val="1236294E"/>
    <w:rsid w:val="12C66037"/>
    <w:rsid w:val="12CD1ABC"/>
    <w:rsid w:val="13471461"/>
    <w:rsid w:val="138870D7"/>
    <w:rsid w:val="13B90F01"/>
    <w:rsid w:val="141F7B1A"/>
    <w:rsid w:val="15065161"/>
    <w:rsid w:val="151925FB"/>
    <w:rsid w:val="155E4C4D"/>
    <w:rsid w:val="166B2421"/>
    <w:rsid w:val="167A3C2E"/>
    <w:rsid w:val="169C19FA"/>
    <w:rsid w:val="17036D97"/>
    <w:rsid w:val="17116635"/>
    <w:rsid w:val="173203B3"/>
    <w:rsid w:val="17796A37"/>
    <w:rsid w:val="17F42FA6"/>
    <w:rsid w:val="181066D2"/>
    <w:rsid w:val="18AF6A96"/>
    <w:rsid w:val="19E02B48"/>
    <w:rsid w:val="1A573C08"/>
    <w:rsid w:val="1B8925C1"/>
    <w:rsid w:val="1C057453"/>
    <w:rsid w:val="1C671E73"/>
    <w:rsid w:val="1CD85120"/>
    <w:rsid w:val="1D322C47"/>
    <w:rsid w:val="1D562C5C"/>
    <w:rsid w:val="1DC72B83"/>
    <w:rsid w:val="1DCA53AD"/>
    <w:rsid w:val="1FB07E39"/>
    <w:rsid w:val="20194AA5"/>
    <w:rsid w:val="221A2D9D"/>
    <w:rsid w:val="22290DFD"/>
    <w:rsid w:val="229D3D9F"/>
    <w:rsid w:val="23134945"/>
    <w:rsid w:val="23616034"/>
    <w:rsid w:val="23696C97"/>
    <w:rsid w:val="24480FA2"/>
    <w:rsid w:val="246D5E0C"/>
    <w:rsid w:val="25227A45"/>
    <w:rsid w:val="258D7292"/>
    <w:rsid w:val="26AC3A6A"/>
    <w:rsid w:val="26B32958"/>
    <w:rsid w:val="290278F8"/>
    <w:rsid w:val="292C13E6"/>
    <w:rsid w:val="2938369B"/>
    <w:rsid w:val="297A2B9A"/>
    <w:rsid w:val="29BC5786"/>
    <w:rsid w:val="29D41720"/>
    <w:rsid w:val="2B222026"/>
    <w:rsid w:val="2B9D7E25"/>
    <w:rsid w:val="2C520739"/>
    <w:rsid w:val="2C73307A"/>
    <w:rsid w:val="2C7C7A3B"/>
    <w:rsid w:val="2CAD7707"/>
    <w:rsid w:val="2D7F0129"/>
    <w:rsid w:val="2E2F16E8"/>
    <w:rsid w:val="2E592780"/>
    <w:rsid w:val="2F251EE7"/>
    <w:rsid w:val="2F364819"/>
    <w:rsid w:val="2F5A2847"/>
    <w:rsid w:val="2FD63906"/>
    <w:rsid w:val="2FF70960"/>
    <w:rsid w:val="301860A5"/>
    <w:rsid w:val="30F41420"/>
    <w:rsid w:val="33583B36"/>
    <w:rsid w:val="339D492E"/>
    <w:rsid w:val="33B53C5B"/>
    <w:rsid w:val="33BD4B5B"/>
    <w:rsid w:val="341560AC"/>
    <w:rsid w:val="346E228E"/>
    <w:rsid w:val="34A0679E"/>
    <w:rsid w:val="34DC0153"/>
    <w:rsid w:val="351F4CC9"/>
    <w:rsid w:val="3595743A"/>
    <w:rsid w:val="36492EF5"/>
    <w:rsid w:val="368A07E1"/>
    <w:rsid w:val="37215DAE"/>
    <w:rsid w:val="37825413"/>
    <w:rsid w:val="38C35F7C"/>
    <w:rsid w:val="38CA40DD"/>
    <w:rsid w:val="38CC4D29"/>
    <w:rsid w:val="38CC7392"/>
    <w:rsid w:val="39126F81"/>
    <w:rsid w:val="39236D76"/>
    <w:rsid w:val="395B5ADD"/>
    <w:rsid w:val="395F2B56"/>
    <w:rsid w:val="39D10DCE"/>
    <w:rsid w:val="39F72208"/>
    <w:rsid w:val="3A1C7BB8"/>
    <w:rsid w:val="3A813532"/>
    <w:rsid w:val="3AE54F0C"/>
    <w:rsid w:val="3B482032"/>
    <w:rsid w:val="3BBA0580"/>
    <w:rsid w:val="3BECE841"/>
    <w:rsid w:val="3CDE204C"/>
    <w:rsid w:val="3D363C36"/>
    <w:rsid w:val="3D445ADD"/>
    <w:rsid w:val="3D6903DC"/>
    <w:rsid w:val="3DC33335"/>
    <w:rsid w:val="3DE33AC7"/>
    <w:rsid w:val="3DEE544A"/>
    <w:rsid w:val="3E046F09"/>
    <w:rsid w:val="3E9C3F6D"/>
    <w:rsid w:val="3EC53D93"/>
    <w:rsid w:val="3FF7797D"/>
    <w:rsid w:val="4055050E"/>
    <w:rsid w:val="40796750"/>
    <w:rsid w:val="40996DD8"/>
    <w:rsid w:val="40A63086"/>
    <w:rsid w:val="4167171F"/>
    <w:rsid w:val="41872B1A"/>
    <w:rsid w:val="41D96AC3"/>
    <w:rsid w:val="42F16CBA"/>
    <w:rsid w:val="43B30EB3"/>
    <w:rsid w:val="449A547D"/>
    <w:rsid w:val="44DC3197"/>
    <w:rsid w:val="44F141EF"/>
    <w:rsid w:val="44FC29D3"/>
    <w:rsid w:val="46690BD8"/>
    <w:rsid w:val="47413288"/>
    <w:rsid w:val="477703DF"/>
    <w:rsid w:val="48E732B6"/>
    <w:rsid w:val="493623ED"/>
    <w:rsid w:val="49F70BF1"/>
    <w:rsid w:val="4A653284"/>
    <w:rsid w:val="4A683124"/>
    <w:rsid w:val="4B4340EE"/>
    <w:rsid w:val="4B7044D2"/>
    <w:rsid w:val="4C963CAD"/>
    <w:rsid w:val="4CA562B0"/>
    <w:rsid w:val="4D1267DB"/>
    <w:rsid w:val="4D473765"/>
    <w:rsid w:val="4E9B1ED9"/>
    <w:rsid w:val="4F2F313B"/>
    <w:rsid w:val="50181427"/>
    <w:rsid w:val="5038143F"/>
    <w:rsid w:val="503D507A"/>
    <w:rsid w:val="51D21B7B"/>
    <w:rsid w:val="51FA74D0"/>
    <w:rsid w:val="52AA4A52"/>
    <w:rsid w:val="52D30FD8"/>
    <w:rsid w:val="53644591"/>
    <w:rsid w:val="539D3AD1"/>
    <w:rsid w:val="544577C9"/>
    <w:rsid w:val="54827E54"/>
    <w:rsid w:val="54CB0E2A"/>
    <w:rsid w:val="55CC557B"/>
    <w:rsid w:val="563263B8"/>
    <w:rsid w:val="56FE1B83"/>
    <w:rsid w:val="5709188F"/>
    <w:rsid w:val="5720258E"/>
    <w:rsid w:val="58C609F6"/>
    <w:rsid w:val="58E95759"/>
    <w:rsid w:val="59161677"/>
    <w:rsid w:val="59943D66"/>
    <w:rsid w:val="59CA6781"/>
    <w:rsid w:val="59DE33D5"/>
    <w:rsid w:val="59E051FD"/>
    <w:rsid w:val="59E6355E"/>
    <w:rsid w:val="5B7637B7"/>
    <w:rsid w:val="5B7A7E47"/>
    <w:rsid w:val="5B821531"/>
    <w:rsid w:val="5BFF6039"/>
    <w:rsid w:val="5C2C4071"/>
    <w:rsid w:val="5C912CCF"/>
    <w:rsid w:val="5CC316EC"/>
    <w:rsid w:val="5D4C7533"/>
    <w:rsid w:val="5D76A616"/>
    <w:rsid w:val="5D7F20B9"/>
    <w:rsid w:val="5DAC7D0E"/>
    <w:rsid w:val="5E0414E6"/>
    <w:rsid w:val="5F3475DA"/>
    <w:rsid w:val="5F98B5AF"/>
    <w:rsid w:val="5FFE8511"/>
    <w:rsid w:val="5FFEACE2"/>
    <w:rsid w:val="609D5BF6"/>
    <w:rsid w:val="60D21A6C"/>
    <w:rsid w:val="61073070"/>
    <w:rsid w:val="610A1B19"/>
    <w:rsid w:val="618D07FE"/>
    <w:rsid w:val="61B9080E"/>
    <w:rsid w:val="61DF3FED"/>
    <w:rsid w:val="625B0BD3"/>
    <w:rsid w:val="62606CE8"/>
    <w:rsid w:val="62636437"/>
    <w:rsid w:val="62C97CA3"/>
    <w:rsid w:val="642B176B"/>
    <w:rsid w:val="643EE26D"/>
    <w:rsid w:val="656019A0"/>
    <w:rsid w:val="657F7471"/>
    <w:rsid w:val="65F242EE"/>
    <w:rsid w:val="66067102"/>
    <w:rsid w:val="66150686"/>
    <w:rsid w:val="666D7E19"/>
    <w:rsid w:val="66812ADD"/>
    <w:rsid w:val="68376930"/>
    <w:rsid w:val="684969F4"/>
    <w:rsid w:val="68EC66BA"/>
    <w:rsid w:val="68F91E38"/>
    <w:rsid w:val="69527756"/>
    <w:rsid w:val="698D2AB0"/>
    <w:rsid w:val="6A47607E"/>
    <w:rsid w:val="6A54583C"/>
    <w:rsid w:val="6A621C91"/>
    <w:rsid w:val="6B0410E5"/>
    <w:rsid w:val="6B3158B9"/>
    <w:rsid w:val="6B6F46A2"/>
    <w:rsid w:val="6B8C3EF9"/>
    <w:rsid w:val="6BA02A3F"/>
    <w:rsid w:val="6C105349"/>
    <w:rsid w:val="6C1E5A53"/>
    <w:rsid w:val="6C3E2BB3"/>
    <w:rsid w:val="6D0D5CB9"/>
    <w:rsid w:val="6D360E41"/>
    <w:rsid w:val="6DC62A25"/>
    <w:rsid w:val="6E1870FB"/>
    <w:rsid w:val="6E213B40"/>
    <w:rsid w:val="6E694D8C"/>
    <w:rsid w:val="6EFF5225"/>
    <w:rsid w:val="6F386EAF"/>
    <w:rsid w:val="6F5C41AC"/>
    <w:rsid w:val="6FA25B56"/>
    <w:rsid w:val="6FAF6C78"/>
    <w:rsid w:val="6FFB08BF"/>
    <w:rsid w:val="71144E77"/>
    <w:rsid w:val="715E3A2B"/>
    <w:rsid w:val="716167CC"/>
    <w:rsid w:val="71870391"/>
    <w:rsid w:val="718A7AD1"/>
    <w:rsid w:val="719A6AD2"/>
    <w:rsid w:val="71C3098F"/>
    <w:rsid w:val="71CF2421"/>
    <w:rsid w:val="71D90A58"/>
    <w:rsid w:val="724452F9"/>
    <w:rsid w:val="72A44BC2"/>
    <w:rsid w:val="72B05081"/>
    <w:rsid w:val="7317C656"/>
    <w:rsid w:val="734ED73F"/>
    <w:rsid w:val="735138C0"/>
    <w:rsid w:val="73C82B32"/>
    <w:rsid w:val="73F94DAE"/>
    <w:rsid w:val="74172F76"/>
    <w:rsid w:val="74220495"/>
    <w:rsid w:val="747D1B6F"/>
    <w:rsid w:val="749E5641"/>
    <w:rsid w:val="75082C23"/>
    <w:rsid w:val="757F2B0A"/>
    <w:rsid w:val="75B34B0B"/>
    <w:rsid w:val="76191FEF"/>
    <w:rsid w:val="76271066"/>
    <w:rsid w:val="76516866"/>
    <w:rsid w:val="771679CB"/>
    <w:rsid w:val="775E7533"/>
    <w:rsid w:val="77CA5D3A"/>
    <w:rsid w:val="77FB30E3"/>
    <w:rsid w:val="77FD8BE9"/>
    <w:rsid w:val="78000AED"/>
    <w:rsid w:val="78036054"/>
    <w:rsid w:val="784F1B4A"/>
    <w:rsid w:val="7853104D"/>
    <w:rsid w:val="78E44915"/>
    <w:rsid w:val="78F56FC2"/>
    <w:rsid w:val="798113D6"/>
    <w:rsid w:val="79A9BD3F"/>
    <w:rsid w:val="7AC5270E"/>
    <w:rsid w:val="7B776F12"/>
    <w:rsid w:val="7BFFFDD0"/>
    <w:rsid w:val="7C0C3A4D"/>
    <w:rsid w:val="7C336E5F"/>
    <w:rsid w:val="7C8D4919"/>
    <w:rsid w:val="7CA869C0"/>
    <w:rsid w:val="7D7A5F86"/>
    <w:rsid w:val="7E4B683A"/>
    <w:rsid w:val="7E5E656D"/>
    <w:rsid w:val="7E8F2BCB"/>
    <w:rsid w:val="7EC81E4E"/>
    <w:rsid w:val="7F1170CB"/>
    <w:rsid w:val="7F1E3A86"/>
    <w:rsid w:val="7F37BB4E"/>
    <w:rsid w:val="7F586B94"/>
    <w:rsid w:val="7FE42FCB"/>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character" w:customStyle="1" w:styleId="24">
    <w:name w:val="20"/>
    <w:basedOn w:val="15"/>
    <w:qFormat/>
    <w:uiPriority w:val="0"/>
    <w:rPr>
      <w:rFonts w:hint="default" w:ascii="Times New Roman" w:eastAsia="楷体_GB2312" w:cs="楷体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230</Words>
  <Characters>244</Characters>
  <Lines>58</Lines>
  <Paragraphs>16</Paragraphs>
  <TotalTime>3</TotalTime>
  <ScaleCrop>false</ScaleCrop>
  <LinksUpToDate>false</LinksUpToDate>
  <CharactersWithSpaces>244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2025-05-12T09:42:39Z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