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ascii="微软雅黑" w:hAnsi="微软雅黑" w:eastAsia="微软雅黑" w:cs="微软雅黑"/>
          <w:kern w:val="0"/>
          <w:sz w:val="48"/>
          <w:szCs w:val="48"/>
        </w:rPr>
      </w:pPr>
      <w:bookmarkStart w:id="3" w:name="_GoBack"/>
      <w:r>
        <w:rPr>
          <w:rFonts w:hint="eastAsia" w:ascii="微软雅黑" w:hAnsi="微软雅黑" w:eastAsia="微软雅黑" w:cs="微软雅黑"/>
          <w:kern w:val="0"/>
          <w:sz w:val="48"/>
          <w:szCs w:val="48"/>
        </w:rPr>
        <w:t>2024年新疆西藏等地区教育特殊补助资金（直达资金）项目支出绩效评价</w:t>
      </w:r>
    </w:p>
    <w:p>
      <w:pPr>
        <w:spacing w:line="540" w:lineRule="exact"/>
        <w:jc w:val="center"/>
        <w:rPr>
          <w:rFonts w:eastAsia="方正小标宋_GBK"/>
          <w:kern w:val="0"/>
          <w:sz w:val="48"/>
          <w:szCs w:val="48"/>
        </w:rPr>
      </w:pPr>
      <w:r>
        <w:rPr>
          <w:rFonts w:hint="eastAsia" w:ascii="微软雅黑" w:hAnsi="微软雅黑" w:eastAsia="微软雅黑" w:cs="微软雅黑"/>
          <w:kern w:val="0"/>
          <w:sz w:val="48"/>
          <w:szCs w:val="48"/>
        </w:rPr>
        <w:t>报告</w:t>
      </w:r>
    </w:p>
    <w:bookmarkEnd w:id="3"/>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2518" w:leftChars="342"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2024年新疆西藏等地区教育特殊补助资金（直达资金）</w:t>
      </w:r>
    </w:p>
    <w:p>
      <w:pPr>
        <w:spacing w:line="360" w:lineRule="auto"/>
        <w:ind w:firstLine="720" w:firstLineChars="200"/>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奇台县半截沟镇中心学校</w:t>
      </w:r>
    </w:p>
    <w:p>
      <w:pPr>
        <w:spacing w:line="360" w:lineRule="auto"/>
        <w:ind w:firstLine="720" w:firstLineChars="200"/>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奇台县教育局</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杨进瑞</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ind w:firstLine="640"/>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600" w:lineRule="exact"/>
        <w:ind w:firstLine="640" w:firstLineChars="200"/>
        <w:outlineLvl w:val="0"/>
        <w:rPr>
          <w:rFonts w:eastAsia="仿宋_GB2312"/>
          <w:sz w:val="32"/>
          <w:szCs w:val="32"/>
        </w:rPr>
      </w:pPr>
      <w:r>
        <w:rPr>
          <w:rFonts w:hint="eastAsia" w:eastAsia="仿宋_GB2312"/>
          <w:sz w:val="32"/>
          <w:szCs w:val="32"/>
        </w:rPr>
        <w:t>根据昌吉州人民政府2024年新疆西藏等地区教育特殊补助资金（直达资金），拟投入43.11万元公用经费用于办公设备的日常维修维护，保障幼儿园保教工作正常运行，广大师生员工的教学环境得到改善，为了改善教学环境，保证师生生活质量，建设此项目.</w:t>
      </w:r>
    </w:p>
    <w:p>
      <w:pPr>
        <w:pStyle w:val="2"/>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40" w:firstLineChars="200"/>
        <w:outlineLvl w:val="0"/>
        <w:rPr>
          <w:rFonts w:eastAsia="仿宋_GB2312"/>
          <w:sz w:val="32"/>
          <w:szCs w:val="32"/>
        </w:rPr>
      </w:pPr>
      <w:r>
        <w:rPr>
          <w:rFonts w:eastAsia="仿宋_GB2312"/>
          <w:sz w:val="32"/>
          <w:szCs w:val="32"/>
        </w:rPr>
        <w:t>项目主要内容：</w:t>
      </w:r>
      <w:r>
        <w:rPr>
          <w:rFonts w:hint="eastAsia" w:eastAsia="仿宋_GB2312"/>
          <w:sz w:val="32"/>
          <w:szCs w:val="32"/>
        </w:rPr>
        <w:t>根据2024年新疆西藏等地区教育特殊补助资金（直达资金），拟投入43.11万元公用经费。维修工程数量5次:主要用于半截沟镇中心幼儿园、半截沟镇中心幼儿园大庄子村分园、半截沟镇中心幼儿园二马场村分园等三所幼儿园的日常办公开支、幼儿助学金、设备维修，水、电、网费等。</w:t>
      </w:r>
    </w:p>
    <w:p>
      <w:pPr>
        <w:spacing w:line="600" w:lineRule="exact"/>
        <w:ind w:firstLine="640" w:firstLineChars="200"/>
        <w:outlineLvl w:val="0"/>
      </w:pPr>
      <w:r>
        <w:rPr>
          <w:rFonts w:eastAsia="仿宋_GB2312"/>
          <w:sz w:val="32"/>
          <w:szCs w:val="32"/>
        </w:rPr>
        <w:t>项目实施情况：</w:t>
      </w:r>
      <w:r>
        <w:rPr>
          <w:rFonts w:hint="eastAsia" w:eastAsia="仿宋_GB2312"/>
          <w:sz w:val="32"/>
          <w:szCs w:val="32"/>
        </w:rPr>
        <w:t>维修次数共5次，维修完成合格率100%；维修质量达标合格率100%；按计划时间完工100%；项目支付率100%;学前教育惠民资助政策宣传率100%;幼儿园师生满意度为95%。</w:t>
      </w:r>
    </w:p>
    <w:p>
      <w:pPr>
        <w:spacing w:line="600" w:lineRule="exact"/>
        <w:ind w:firstLine="640" w:firstLineChars="200"/>
        <w:outlineLvl w:val="0"/>
        <w:rPr>
          <w:rFonts w:eastAsia="仿宋_GB2312"/>
          <w:sz w:val="32"/>
          <w:szCs w:val="32"/>
        </w:rPr>
      </w:pPr>
      <w:r>
        <w:rPr>
          <w:rFonts w:eastAsia="仿宋_GB2312"/>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43.11</w:t>
      </w:r>
      <w:r>
        <w:rPr>
          <w:rFonts w:eastAsia="仿宋_GB2312"/>
          <w:sz w:val="32"/>
          <w:szCs w:val="32"/>
        </w:rPr>
        <w:t>万元，全年预算数</w:t>
      </w:r>
      <w:r>
        <w:rPr>
          <w:rFonts w:hint="eastAsia" w:eastAsia="仿宋_GB2312"/>
          <w:sz w:val="32"/>
          <w:szCs w:val="32"/>
        </w:rPr>
        <w:t>43.11</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43.11</w:t>
      </w:r>
      <w:r>
        <w:rPr>
          <w:rFonts w:eastAsia="仿宋_GB2312"/>
          <w:sz w:val="32"/>
          <w:szCs w:val="32"/>
        </w:rPr>
        <w:t>万元，全年预算数</w:t>
      </w:r>
      <w:r>
        <w:rPr>
          <w:rFonts w:hint="eastAsia" w:eastAsia="仿宋_GB2312"/>
          <w:sz w:val="32"/>
          <w:szCs w:val="32"/>
        </w:rPr>
        <w:t>43.11</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43.11</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半截沟镇中心幼儿园、半截沟镇中心幼儿园大庄子村分园、半截沟镇中心幼儿园二马场村分园等三所幼儿园的日常办公开支、幼儿助学金、设备维修，水、电、网费等。</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spacing w:line="600" w:lineRule="exact"/>
        <w:ind w:firstLine="640" w:firstLineChars="200"/>
        <w:outlineLvl w:val="0"/>
        <w:rPr>
          <w:rFonts w:eastAsia="仿宋_GB2312"/>
          <w:sz w:val="32"/>
          <w:szCs w:val="32"/>
        </w:rPr>
      </w:pPr>
      <w:r>
        <w:rPr>
          <w:rFonts w:hint="eastAsia" w:eastAsia="仿宋_GB2312"/>
          <w:sz w:val="32"/>
          <w:szCs w:val="32"/>
        </w:rPr>
        <w:t>2024年新疆西藏等地区教育特殊补助资金（直达资金）项目绩效总体目标为：本项目拟投入43.11万元用于（项目），主要建设（实施）内容为：维修次数共5次，维修完成合格率100%；维修质量达标合格率100%；按计划时间完工100%；项目支付率100%;学前教育惠民资助政策宣传率100%;幼儿园师生满意度为95%。</w:t>
      </w:r>
    </w:p>
    <w:p>
      <w:pPr>
        <w:spacing w:line="600" w:lineRule="exact"/>
        <w:ind w:firstLine="640" w:firstLineChars="200"/>
        <w:outlineLvl w:val="0"/>
        <w:rPr>
          <w:rFonts w:eastAsia="仿宋_GB2312"/>
          <w:sz w:val="32"/>
          <w:szCs w:val="32"/>
        </w:rPr>
      </w:pPr>
      <w:r>
        <w:rPr>
          <w:rFonts w:hint="eastAsia" w:eastAsia="仿宋_GB2312"/>
          <w:sz w:val="32"/>
          <w:szCs w:val="32"/>
        </w:rPr>
        <w:t>2.</w:t>
      </w:r>
      <w:r>
        <w:rPr>
          <w:rFonts w:eastAsia="仿宋_GB2312"/>
          <w:sz w:val="32"/>
          <w:szCs w:val="32"/>
        </w:rPr>
        <w:t>阶段性目标</w:t>
      </w:r>
    </w:p>
    <w:p>
      <w:pPr>
        <w:spacing w:line="600" w:lineRule="exact"/>
        <w:ind w:left="319" w:leftChars="152" w:firstLine="320" w:firstLineChars="100"/>
        <w:outlineLvl w:val="0"/>
        <w:rPr>
          <w:rFonts w:eastAsia="仿宋_GB2312"/>
          <w:sz w:val="30"/>
          <w:szCs w:val="30"/>
        </w:rPr>
      </w:pPr>
      <w:r>
        <w:rPr>
          <w:rFonts w:hint="eastAsia" w:eastAsia="仿宋_GB2312"/>
          <w:sz w:val="32"/>
          <w:szCs w:val="32"/>
        </w:rPr>
        <w:t>2024年新疆西藏等地区教育特殊补助资金（直达资金）1.维修次数共5次，2.维修验收合格率&gt;=95%；3.维修质量达标合格率100%；4.项目完工时间2024年12月；5.项目预算控制率100%;6.学前教育惠民资助政策宣传率100%;7.幼儿园师生满意度为95%。</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hint="eastAsia" w:eastAsia="仿宋_GB2312"/>
          <w:sz w:val="32"/>
          <w:szCs w:val="32"/>
        </w:rPr>
        <w:t>在评价指标</w:t>
      </w:r>
      <w:r>
        <w:rPr>
          <w:rFonts w:eastAsia="仿宋_GB2312"/>
          <w:sz w:val="32"/>
          <w:szCs w:val="32"/>
        </w:rPr>
        <w:t>体系的构建上，充分考虑了项目的性质、目标以及预期成果，选取了具有代表性和可衡量性的关键指标，涵盖了产出指标、成本指标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等多个维度，力求全方位反映项目的绩效状况。同时，对于每个指标的评价标准和数据来源均进行了明确说明，确保评价结果的客观性和可追溯性</w:t>
      </w:r>
      <w:r>
        <w:rPr>
          <w:rFonts w:hint="eastAsia" w:eastAsia="仿宋_GB2312"/>
          <w:sz w:val="32"/>
          <w:szCs w:val="32"/>
        </w:rPr>
        <w:t>,</w:t>
      </w:r>
      <w:r>
        <w:rPr>
          <w:rFonts w:eastAsia="仿宋_GB2312"/>
          <w:sz w:val="32"/>
          <w:szCs w:val="32"/>
        </w:rPr>
        <w:t>在报告的撰写结构上，按照统一的格式和规范进行编排，内容层次分明、条理清晰</w:t>
      </w:r>
      <w:r>
        <w:rPr>
          <w:rFonts w:hint="eastAsia" w:eastAsia="仿宋_GB2312"/>
          <w:sz w:val="32"/>
          <w:szCs w:val="32"/>
        </w:rPr>
        <w:t>,</w:t>
      </w:r>
      <w:r>
        <w:rPr>
          <w:rFonts w:eastAsia="仿宋_GB2312"/>
          <w:sz w:val="32"/>
          <w:szCs w:val="32"/>
        </w:rPr>
        <w:t>并提出了相应的改进建议；最后对整个项目的绩效状况进行了综合总结，给出了明确的评价结论和后续工作的建议，为项目的持续改进和决策提供了有</w:t>
      </w:r>
    </w:p>
    <w:p>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w:t>
      </w:r>
      <w:r>
        <w:rPr>
          <w:rFonts w:hint="eastAsia" w:eastAsia="仿宋_GB2312"/>
          <w:sz w:val="32"/>
          <w:szCs w:val="32"/>
        </w:rPr>
        <w:t>的优化。</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sz w:val="32"/>
          <w:szCs w:val="32"/>
        </w:rPr>
      </w:pPr>
      <w:r>
        <w:rPr>
          <w:rFonts w:eastAsia="仿宋_GB2312"/>
          <w:sz w:val="32"/>
          <w:szCs w:val="32"/>
        </w:rPr>
        <w:t>（5）促进项目持续改进</w:t>
      </w:r>
    </w:p>
    <w:p>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eastAsia="仿宋_GB2312"/>
          <w:b w:val="0"/>
        </w:rPr>
        <w:t>2024年新疆西藏等地区教育特殊补助资金（直达资金）项目预</w:t>
      </w:r>
      <w:r>
        <w:rPr>
          <w:rFonts w:ascii="Times New Roman" w:hAnsi="Times New Roman" w:eastAsia="仿宋_GB2312"/>
          <w:b w:val="0"/>
          <w:bCs w:val="0"/>
        </w:rPr>
        <w:t>算执行情况。该项目由奇台县半截沟镇中心学校负责实施，旨在</w:t>
      </w:r>
      <w:r>
        <w:rPr>
          <w:rFonts w:hint="eastAsia" w:ascii="Times New Roman" w:hAnsi="Times New Roman" w:eastAsia="仿宋_GB2312"/>
          <w:b w:val="0"/>
          <w:bCs w:val="0"/>
        </w:rPr>
        <w:t>提高学前教育质量，保障教师和学生的学习环境。</w:t>
      </w:r>
      <w:r>
        <w:rPr>
          <w:rFonts w:ascii="Times New Roman" w:hAnsi="Times New Roman" w:eastAsia="仿宋_GB2312"/>
          <w:b w:val="0"/>
          <w:bCs w:val="0"/>
        </w:rPr>
        <w:t>项目预算涵盖从</w:t>
      </w:r>
      <w:r>
        <w:rPr>
          <w:rFonts w:hint="eastAsia" w:ascii="Times New Roman" w:hAnsi="Times New Roman" w:eastAsia="仿宋_GB2312"/>
          <w:b w:val="0"/>
          <w:bCs w:val="0"/>
        </w:rPr>
        <w:t>2024年3月1</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43.11</w:t>
      </w:r>
      <w:r>
        <w:rPr>
          <w:rFonts w:ascii="Times New Roman" w:hAnsi="Times New Roman" w:eastAsia="仿宋_GB2312"/>
          <w:b w:val="0"/>
          <w:bCs w:val="0"/>
        </w:rPr>
        <w:t>万元。</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1"/>
        </w:numPr>
        <w:spacing w:before="0" w:after="0" w:line="560" w:lineRule="exact"/>
        <w:ind w:left="-10" w:firstLine="640"/>
        <w:jc w:val="both"/>
        <w:outlineLvl w:val="9"/>
      </w:pPr>
      <w:r>
        <w:rPr>
          <w:rFonts w:ascii="Times New Roman" w:hAnsi="Times New Roman" w:eastAsia="仿宋_GB2312"/>
          <w:b w:val="0"/>
          <w:bCs w:val="0"/>
        </w:rPr>
        <w:t>资金管理：深入分析项目资金的分配、使用和监管情况，确保资金使用的合规性、高效性和透明度。</w:t>
      </w:r>
    </w:p>
    <w:p>
      <w:pPr>
        <w:pStyle w:val="2"/>
        <w:widowControl w:val="0"/>
        <w:numPr>
          <w:ilvl w:val="0"/>
          <w:numId w:val="1"/>
        </w:numPr>
        <w:spacing w:before="0" w:after="0" w:line="560" w:lineRule="exact"/>
        <w:ind w:left="-10" w:firstLine="64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pPr>
        <w:pStyle w:val="2"/>
        <w:widowControl w:val="0"/>
        <w:spacing w:before="0" w:after="0" w:line="560" w:lineRule="exact"/>
        <w:ind w:left="630"/>
        <w:jc w:val="both"/>
        <w:outlineLvl w:val="9"/>
        <w:rPr>
          <w:rFonts w:ascii="Times New Roman" w:hAnsi="Times New Roman" w:eastAsia="仿宋_GB2312"/>
          <w:b w:val="0"/>
          <w:bCs w:val="0"/>
        </w:rPr>
      </w:pPr>
      <w:r>
        <w:rPr>
          <w:rFonts w:hint="eastAsia" w:ascii="Times New Roman" w:hAnsi="Times New Roman" w:eastAsia="仿宋_GB2312"/>
          <w:b w:val="0"/>
          <w:bCs w:val="0"/>
        </w:rPr>
        <w:t>(3)</w:t>
      </w: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等影响：考察项目对社会、</w:t>
      </w:r>
      <w:r>
        <w:rPr>
          <w:rFonts w:hint="eastAsia" w:ascii="Times New Roman" w:hAnsi="Times New Roman" w:eastAsia="仿宋_GB2312"/>
          <w:b w:val="0"/>
          <w:bCs w:val="0"/>
        </w:rPr>
        <w:t>生态</w:t>
      </w:r>
      <w:r>
        <w:rPr>
          <w:rFonts w:ascii="Times New Roman" w:hAnsi="Times New Roman" w:eastAsia="仿宋_GB2312"/>
          <w:b w:val="0"/>
          <w:bCs w:val="0"/>
        </w:rPr>
        <w:t>、经济等方面的综合影响</w:t>
      </w:r>
      <w:r>
        <w:rPr>
          <w:rFonts w:hint="eastAsia" w:ascii="Times New Roman" w:hAnsi="Times New Roman" w:eastAsia="仿宋_GB2312"/>
          <w:b w:val="0"/>
          <w:bCs w:val="0"/>
        </w:rPr>
        <w:t>.</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spacing w:val="17"/>
          <w:sz w:val="32"/>
          <w:szCs w:val="32"/>
        </w:rPr>
      </w:pPr>
      <w:r>
        <w:rPr>
          <w:rFonts w:eastAsia="仿宋_GB2312"/>
          <w:spacing w:val="17"/>
          <w:sz w:val="32"/>
          <w:szCs w:val="32"/>
        </w:rPr>
        <w:t>（2）确定权重</w:t>
      </w:r>
    </w:p>
    <w:p>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spacing w:val="17"/>
          <w:sz w:val="32"/>
          <w:szCs w:val="32"/>
        </w:rPr>
      </w:pPr>
      <w:r>
        <w:rPr>
          <w:rFonts w:eastAsia="仿宋_GB2312"/>
          <w:spacing w:val="17"/>
          <w:sz w:val="32"/>
          <w:szCs w:val="32"/>
        </w:rPr>
        <w:t>（一）成本效益分析法。是指将投入与产出、效益进行关联性分析的方法。</w:t>
      </w:r>
    </w:p>
    <w:p>
      <w:pPr>
        <w:spacing w:line="560" w:lineRule="exact"/>
        <w:ind w:firstLine="708" w:firstLineChars="200"/>
        <w:rPr>
          <w:rFonts w:eastAsia="仿宋_GB2312"/>
          <w:spacing w:val="17"/>
          <w:sz w:val="32"/>
          <w:szCs w:val="32"/>
        </w:rPr>
      </w:pPr>
      <w:r>
        <w:rPr>
          <w:rFonts w:eastAsia="仿宋_GB2312"/>
          <w:spacing w:val="17"/>
          <w:sz w:val="32"/>
          <w:szCs w:val="32"/>
        </w:rPr>
        <w:t>（二）比较法。是指将实施情况与绩效目标、历史情况、不同部门和地区同类支出情况进行比较的方法。</w:t>
      </w:r>
    </w:p>
    <w:p>
      <w:pPr>
        <w:spacing w:line="560" w:lineRule="exact"/>
        <w:ind w:firstLine="708" w:firstLineChars="200"/>
        <w:rPr>
          <w:rFonts w:eastAsia="仿宋_GB2312"/>
          <w:spacing w:val="17"/>
          <w:sz w:val="32"/>
          <w:szCs w:val="32"/>
        </w:rPr>
      </w:pPr>
      <w:r>
        <w:rPr>
          <w:rFonts w:eastAsia="仿宋_GB2312"/>
          <w:spacing w:val="17"/>
          <w:sz w:val="32"/>
          <w:szCs w:val="32"/>
        </w:rPr>
        <w:t>（三）因素分析法。是指综合分析影响绩效目标实现、实施效果的内外部因素的方法。</w:t>
      </w:r>
    </w:p>
    <w:p>
      <w:pPr>
        <w:spacing w:line="560" w:lineRule="exact"/>
        <w:ind w:firstLine="708" w:firstLineChars="200"/>
        <w:rPr>
          <w:rFonts w:eastAsia="仿宋_GB2312"/>
          <w:spacing w:val="17"/>
          <w:sz w:val="32"/>
          <w:szCs w:val="32"/>
        </w:rPr>
      </w:pPr>
      <w:r>
        <w:rPr>
          <w:rFonts w:eastAsia="仿宋_GB2312"/>
          <w:spacing w:val="17"/>
          <w:sz w:val="32"/>
          <w:szCs w:val="32"/>
        </w:rPr>
        <w:t>（四）最低成本法。是指在绩效目标确定的前提下，成本最小者为优的方法。</w:t>
      </w:r>
    </w:p>
    <w:p>
      <w:pPr>
        <w:spacing w:line="560" w:lineRule="exact"/>
        <w:ind w:firstLine="708" w:firstLineChars="200"/>
        <w:rPr>
          <w:rFonts w:eastAsia="仿宋_GB2312"/>
          <w:spacing w:val="17"/>
          <w:sz w:val="32"/>
          <w:szCs w:val="32"/>
        </w:rPr>
      </w:pPr>
      <w:r>
        <w:rPr>
          <w:rFonts w:eastAsia="仿宋_GB2312"/>
          <w:spacing w:val="17"/>
          <w:sz w:val="32"/>
          <w:szCs w:val="32"/>
        </w:rPr>
        <w:t>（五）公众评判法。是指通过专家评估、公众问卷及抽样调查等方式进行评判的方法。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（六）标杆管理法。是指以国内外同行业中较高的绩效水平为标杆进行评判的方法。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（七）其他评价方法。</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spacing w:line="560" w:lineRule="exact"/>
        <w:ind w:firstLine="708" w:firstLineChars="200"/>
        <w:rPr>
          <w:rFonts w:eastAsia="仿宋_GB2312"/>
          <w:spacing w:val="17"/>
          <w:sz w:val="32"/>
          <w:szCs w:val="32"/>
        </w:rPr>
      </w:pPr>
      <w:r>
        <w:rPr>
          <w:rFonts w:eastAsia="仿宋_GB2312"/>
          <w:spacing w:val="17"/>
          <w:sz w:val="32"/>
          <w:szCs w:val="32"/>
        </w:rPr>
        <w:t>绩效评价标准通常包括计划标准、行业标准、历史标准等，用于对绩效指标完成情况进行比较、分析、评价。本次评价主要采用了计划标准。</w:t>
      </w:r>
    </w:p>
    <w:p>
      <w:pPr>
        <w:pStyle w:val="2"/>
        <w:numPr>
          <w:ilvl w:val="0"/>
          <w:numId w:val="2"/>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pPr>
        <w:pStyle w:val="2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指标体系构建</w:t>
      </w:r>
    </w:p>
    <w:p>
      <w:pPr>
        <w:spacing w:line="560" w:lineRule="exact"/>
        <w:ind w:firstLine="708" w:firstLineChars="200"/>
        <w:rPr>
          <w:rFonts w:hint="eastAsia"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依据项目的性质、选取了具有代表性和可衡量性的关键指标，并为每个指标设定了明确的评价标准与权重，确保评价结果能够全面、准确地反映项目的绩效状况。</w:t>
      </w:r>
    </w:p>
    <w:p>
      <w:pPr>
        <w:pStyle w:val="2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数据收集与整理</w:t>
      </w:r>
    </w:p>
    <w:p>
      <w:pPr>
        <w:spacing w:line="560" w:lineRule="exact"/>
        <w:ind w:firstLine="708" w:firstLineChars="200"/>
        <w:rPr>
          <w:rFonts w:hint="eastAsia"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在数据收集过程中，注重数据的质量与完整性，对缺失或异常的数据进行了合理的处理和补充。随后，对收集到的数据进行了系统的整理与分类，为后续的数据分析提供了有力支持。</w:t>
      </w:r>
    </w:p>
    <w:p>
      <w:pPr>
        <w:pStyle w:val="2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数据分析与评估</w:t>
      </w:r>
    </w:p>
    <w:p>
      <w:pPr>
        <w:ind w:firstLine="708"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rPr>
        <w:t>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pStyle w:val="2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报告撰写与反馈</w:t>
      </w:r>
    </w:p>
    <w:p>
      <w:pPr>
        <w:ind w:firstLine="708" w:firstLineChars="200"/>
        <w:jc w:val="left"/>
        <w:rPr>
          <w:rFonts w:hint="eastAsia" w:ascii="仿宋_GB2312" w:hAnsi="仿宋_GB2312" w:eastAsia="仿宋_GB2312" w:cs="仿宋_GB2312"/>
          <w:spacing w:val="17"/>
          <w:sz w:val="32"/>
          <w:szCs w:val="32"/>
        </w:rPr>
      </w:pPr>
      <w:r>
        <w:rPr>
          <w:rFonts w:hint="eastAsia" w:ascii="仿宋_GB2312" w:hAnsi="仿宋_GB2312" w:eastAsia="仿宋_GB2312" w:cs="仿宋_GB2312"/>
          <w:spacing w:val="17"/>
          <w:sz w:val="32"/>
          <w:szCs w:val="32"/>
        </w:rPr>
        <w:t>在报告撰写完成后，及时向项目实施主体及相关利益相关者进行反馈，充分听取各方意见与建议，对报告内容进行进一步的完善与优化，确保评价报告的质量与实用性。</w:t>
      </w:r>
    </w:p>
    <w:p>
      <w:pPr>
        <w:pStyle w:val="2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后续跟踪与改进</w:t>
      </w:r>
    </w:p>
    <w:p>
      <w:pPr>
        <w:ind w:firstLine="708" w:firstLineChars="200"/>
        <w:jc w:val="left"/>
        <w:rPr>
          <w:rFonts w:eastAsia="仿宋_GB2312"/>
          <w:spacing w:val="17"/>
          <w:sz w:val="32"/>
          <w:szCs w:val="32"/>
        </w:rPr>
      </w:pPr>
      <w:r>
        <w:rPr>
          <w:rFonts w:hint="eastAsia" w:ascii="仿宋_GB2312" w:hAnsi="仿宋_GB2312" w:eastAsia="仿宋_GB2312" w:cs="仿宋_GB2312"/>
          <w:spacing w:val="17"/>
          <w:sz w:val="32"/>
          <w:szCs w:val="32"/>
        </w:rPr>
        <w:t>在评价报告提交后，我们将持续跟踪项目的改进措施落实情况，定期对项目绩效进行复查与评估，确保项目能够根据评价结果及时调</w:t>
      </w:r>
      <w:r>
        <w:rPr>
          <w:rFonts w:eastAsia="仿宋_GB2312"/>
          <w:spacing w:val="17"/>
          <w:sz w:val="32"/>
          <w:szCs w:val="32"/>
        </w:rPr>
        <w:t>整与优化，实现绩效的持续提升。同时，根据项目实施过程中出现的新情况、新问题，适时调整绩效评价指标体系与方法，保持评价工作的适应性与前瞻性，为项目的长期稳定发展提供有力保障</w:t>
      </w:r>
      <w:r>
        <w:rPr>
          <w:rFonts w:hint="eastAsia" w:eastAsia="仿宋_GB2312"/>
          <w:spacing w:val="17"/>
          <w:sz w:val="32"/>
          <w:szCs w:val="32"/>
        </w:rPr>
        <w:t>。</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spacing w:line="600" w:lineRule="exact"/>
        <w:ind w:firstLine="640" w:firstLineChars="200"/>
        <w:outlineLvl w:val="0"/>
        <w:rPr>
          <w:rFonts w:eastAsia="仿宋_GB2312"/>
          <w:sz w:val="32"/>
          <w:szCs w:val="32"/>
        </w:rPr>
      </w:pPr>
      <w:r>
        <w:rPr>
          <w:rFonts w:eastAsia="仿宋_GB2312"/>
          <w:sz w:val="32"/>
          <w:szCs w:val="32"/>
        </w:rPr>
        <w:t>本项目的综合评价基于对项目各方面绩效的深入分析与评估。从项目目标的达成情况来看，2024年新疆西藏等地区教育特殊补助资金（直达资金）在产出指标、成本指标等方面表现已达标，达到了预期的标准与要求。如：</w:t>
      </w:r>
    </w:p>
    <w:p>
      <w:pPr>
        <w:spacing w:line="600" w:lineRule="exact"/>
        <w:ind w:firstLine="640" w:firstLineChars="200"/>
        <w:outlineLvl w:val="0"/>
        <w:rPr>
          <w:rFonts w:eastAsia="仿宋_GB2312"/>
          <w:sz w:val="32"/>
          <w:szCs w:val="32"/>
        </w:rPr>
      </w:pPr>
      <w:r>
        <w:rPr>
          <w:rFonts w:eastAsia="仿宋_GB2312"/>
          <w:sz w:val="32"/>
          <w:szCs w:val="32"/>
        </w:rPr>
        <w:t>数量指标</w:t>
      </w:r>
      <w:r>
        <w:rPr>
          <w:rFonts w:hint="eastAsia" w:eastAsia="仿宋_GB2312"/>
          <w:sz w:val="32"/>
          <w:szCs w:val="32"/>
        </w:rPr>
        <w:t xml:space="preserve">: </w:t>
      </w:r>
      <w:r>
        <w:rPr>
          <w:rFonts w:eastAsia="仿宋_GB2312"/>
          <w:sz w:val="32"/>
          <w:szCs w:val="32"/>
        </w:rPr>
        <w:t>维修质量达标率，指标值：</w:t>
      </w:r>
      <w:r>
        <w:rPr>
          <w:rFonts w:hint="eastAsia" w:eastAsia="仿宋_GB2312"/>
          <w:sz w:val="32"/>
          <w:szCs w:val="32"/>
        </w:rPr>
        <w:t>&gt;=100%</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时效指标：项目完工时间，指标值：</w:t>
      </w:r>
      <w:r>
        <w:rPr>
          <w:rFonts w:hint="eastAsia" w:eastAsia="仿宋_GB2312"/>
          <w:sz w:val="32"/>
          <w:szCs w:val="32"/>
        </w:rPr>
        <w:t>&lt;=2024年12月</w:t>
      </w:r>
      <w:r>
        <w:rPr>
          <w:rFonts w:eastAsia="仿宋_GB2312"/>
          <w:sz w:val="32"/>
          <w:szCs w:val="32"/>
        </w:rPr>
        <w:t>，实际完成值：2024年12月，指标完成率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成本指标：项目预算控制率（%），指标值：</w:t>
      </w:r>
      <w:r>
        <w:rPr>
          <w:rFonts w:hint="eastAsia" w:eastAsia="仿宋_GB2312"/>
          <w:sz w:val="32"/>
          <w:szCs w:val="32"/>
        </w:rPr>
        <w:t>&lt;=100%</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同时，项目也在效益指标满意度指标取得了显著的成效，如学前教育惠民资助政策宣传率</w:t>
      </w:r>
      <w:r>
        <w:rPr>
          <w:rFonts w:hint="eastAsia" w:eastAsia="仿宋_GB2312"/>
          <w:sz w:val="32"/>
          <w:szCs w:val="32"/>
        </w:rPr>
        <w:t>达到100%</w:t>
      </w:r>
      <w:r>
        <w:rPr>
          <w:rFonts w:eastAsia="仿宋_GB2312"/>
          <w:sz w:val="32"/>
          <w:szCs w:val="32"/>
        </w:rPr>
        <w:t>、</w:t>
      </w:r>
      <w:r>
        <w:rPr>
          <w:rFonts w:hint="eastAsia" w:eastAsia="仿宋_GB2312"/>
          <w:sz w:val="32"/>
          <w:szCs w:val="32"/>
        </w:rPr>
        <w:t>幼儿</w:t>
      </w:r>
      <w:r>
        <w:rPr>
          <w:rFonts w:eastAsia="仿宋_GB2312"/>
          <w:sz w:val="32"/>
          <w:szCs w:val="32"/>
        </w:rPr>
        <w:t>满意度</w:t>
      </w:r>
      <w:r>
        <w:rPr>
          <w:rFonts w:hint="eastAsia" w:eastAsia="仿宋_GB2312"/>
          <w:sz w:val="32"/>
          <w:szCs w:val="32"/>
        </w:rPr>
        <w:t>95%以上</w:t>
      </w:r>
      <w:r>
        <w:rPr>
          <w:rFonts w:eastAsia="仿宋_GB2312"/>
          <w:sz w:val="32"/>
          <w:szCs w:val="32"/>
        </w:rPr>
        <w:t>等。</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奇台县半截沟镇中心学校</w:t>
      </w:r>
      <w:r>
        <w:rPr>
          <w:rFonts w:eastAsia="仿宋_GB2312"/>
          <w:sz w:val="32"/>
          <w:szCs w:val="32"/>
        </w:rPr>
        <w:t>通过有效的规划、组织与协调，项目得以顺利实施，并在预算与时间上保持了良好的控制。</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等方面产生了积极的影响。具体而言，学前教育惠民资助政策宣传率</w:t>
      </w:r>
      <w:r>
        <w:rPr>
          <w:rFonts w:hint="eastAsia" w:eastAsia="仿宋_GB2312"/>
          <w:sz w:val="32"/>
          <w:szCs w:val="32"/>
        </w:rPr>
        <w:t>达到100%</w:t>
      </w:r>
      <w:r>
        <w:rPr>
          <w:rFonts w:eastAsia="仿宋_GB2312"/>
          <w:sz w:val="32"/>
          <w:szCs w:val="32"/>
        </w:rPr>
        <w:t>、</w:t>
      </w:r>
      <w:r>
        <w:rPr>
          <w:rFonts w:hint="eastAsia" w:eastAsia="仿宋_GB2312"/>
          <w:sz w:val="32"/>
          <w:szCs w:val="32"/>
        </w:rPr>
        <w:t>幼儿</w:t>
      </w:r>
      <w:r>
        <w:rPr>
          <w:rFonts w:eastAsia="仿宋_GB2312"/>
          <w:sz w:val="32"/>
          <w:szCs w:val="32"/>
        </w:rPr>
        <w:t>满意度</w:t>
      </w:r>
      <w:r>
        <w:rPr>
          <w:rFonts w:hint="eastAsia" w:eastAsia="仿宋_GB2312"/>
          <w:sz w:val="32"/>
          <w:szCs w:val="32"/>
        </w:rPr>
        <w:t>95%以上</w:t>
      </w:r>
      <w:r>
        <w:rPr>
          <w:rFonts w:eastAsia="仿宋_GB2312"/>
          <w:sz w:val="32"/>
          <w:szCs w:val="32"/>
        </w:rPr>
        <w:t>等方面的提升，为项目的利益相关者带来了实实在在的利益。</w:t>
      </w:r>
    </w:p>
    <w:p>
      <w:pPr>
        <w:pStyle w:val="10"/>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2"/>
          <w:szCs w:val="32"/>
        </w:rPr>
        <w:t>2024年新疆西藏等地区教育特殊补助资金（直达资金）</w:t>
      </w:r>
      <w:r>
        <w:rPr>
          <w:rFonts w:eastAsia="仿宋_GB2312"/>
          <w:sz w:val="32"/>
          <w:szCs w:val="32"/>
        </w:rPr>
        <w:t>在绩效评价中表现出色，达到了项目的预期目标，并在多个方面取得了显著的成效。</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2"/>
        <w:widowControl w:val="0"/>
        <w:spacing w:before="0" w:after="0" w:line="560" w:lineRule="exact"/>
        <w:ind w:firstLine="640" w:firstLineChars="200"/>
        <w:jc w:val="both"/>
        <w:outlineLvl w:val="9"/>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98.18</w:t>
      </w:r>
      <w:r>
        <w:rPr>
          <w:rFonts w:ascii="Times New Roman" w:hAnsi="Times New Roman" w:eastAsia="仿宋_GB2312"/>
          <w:b w:val="0"/>
          <w:bCs w:val="0"/>
        </w:rPr>
        <w:t>分，属于“优（良/中/差）”。其中，项目决策类指标权重为20分，得分为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19.43</w:t>
      </w:r>
      <w:r>
        <w:rPr>
          <w:rFonts w:ascii="Times New Roman" w:hAnsi="Times New Roman" w:eastAsia="仿宋_GB2312"/>
          <w:b w:val="0"/>
          <w:bCs w:val="0"/>
        </w:rPr>
        <w:t>分，得分率为</w:t>
      </w:r>
      <w:r>
        <w:rPr>
          <w:rFonts w:hint="eastAsia" w:ascii="Times New Roman" w:hAnsi="Times New Roman" w:eastAsia="仿宋_GB2312"/>
          <w:b w:val="0"/>
          <w:bCs w:val="0"/>
        </w:rPr>
        <w:t>99.43</w:t>
      </w:r>
      <w:r>
        <w:rPr>
          <w:rFonts w:ascii="Times New Roman" w:hAnsi="Times New Roman" w:eastAsia="仿宋_GB2312"/>
          <w:b w:val="0"/>
          <w:bCs w:val="0"/>
        </w:rPr>
        <w:t>%。项目产出类指标权重为40分</w:t>
      </w:r>
      <w:r>
        <w:rPr>
          <w:rFonts w:hint="eastAsia" w:ascii="Times New Roman" w:hAnsi="Times New Roman" w:eastAsia="仿宋_GB2312"/>
          <w:b w:val="0"/>
          <w:bCs w:val="0"/>
        </w:rPr>
        <w:t>，</w:t>
      </w:r>
      <w:r>
        <w:rPr>
          <w:rFonts w:ascii="Times New Roman" w:hAnsi="Times New Roman" w:eastAsia="仿宋_GB2312"/>
          <w:b w:val="0"/>
          <w:bCs w:val="0"/>
        </w:rPr>
        <w:t>得分为</w:t>
      </w:r>
      <w:r>
        <w:rPr>
          <w:rFonts w:hint="eastAsia" w:ascii="Times New Roman" w:hAnsi="Times New Roman" w:eastAsia="仿宋_GB2312"/>
          <w:b w:val="0"/>
          <w:bCs w:val="0"/>
        </w:rPr>
        <w:t>38.75</w:t>
      </w:r>
      <w:r>
        <w:rPr>
          <w:rFonts w:ascii="Times New Roman" w:hAnsi="Times New Roman" w:eastAsia="仿宋_GB2312"/>
          <w:b w:val="0"/>
          <w:bCs w:val="0"/>
        </w:rPr>
        <w:t>分，得分率为</w:t>
      </w:r>
      <w:r>
        <w:rPr>
          <w:rFonts w:hint="eastAsia" w:ascii="Times New Roman" w:hAnsi="Times New Roman" w:eastAsia="仿宋_GB2312"/>
          <w:b w:val="0"/>
          <w:bCs w:val="0"/>
        </w:rPr>
        <w:t>98.75</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2"/>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hint="eastAsia" w:eastAsia="仿宋_GB2312"/>
                <w:b/>
                <w:bCs/>
                <w:szCs w:val="21"/>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19.43</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99.43%</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38.75</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98.75%</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hint="eastAsia" w:eastAsia="仿宋_GB2312"/>
                <w:b/>
                <w:bCs/>
                <w:szCs w:val="21"/>
              </w:rPr>
              <w:t>98.18</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hint="eastAsia" w:eastAsia="仿宋_GB2312"/>
                <w:b/>
                <w:bCs/>
                <w:szCs w:val="21"/>
              </w:rPr>
              <w:t>98.18%</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学校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方面、设立过程符合相关要求，严格按照规定的审批流程准备符合要求的文件、材料；根据决算依据编制工作计划和经费预算，经过与部门项目分管主要领导沟通、筛选确定经费预算计划，确定最终预算方案。项目的所有审批文件、材料符合相关要求，项目事前经过必要的可行性研究、风险评估、绩效评估、集体决策，保障了程序的规范性。</w:t>
      </w:r>
    </w:p>
    <w:p>
      <w:pPr>
        <w:pStyle w:val="19"/>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pStyle w:val="19"/>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5"/>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w:t>
      </w:r>
      <w:r>
        <w:rPr>
          <w:rFonts w:hint="eastAsia" w:eastAsia="仿宋_GB2312"/>
          <w:sz w:val="32"/>
          <w:szCs w:val="32"/>
        </w:rPr>
        <w:t>5</w:t>
      </w:r>
      <w:r>
        <w:rPr>
          <w:rFonts w:eastAsia="仿宋_GB2312"/>
          <w:sz w:val="32"/>
          <w:szCs w:val="32"/>
        </w:rPr>
        <w:t>个三级指标构成，权重分值为20分，实际得分</w:t>
      </w:r>
      <w:r>
        <w:rPr>
          <w:rFonts w:hint="eastAsia" w:eastAsia="仿宋_GB2312"/>
          <w:sz w:val="32"/>
          <w:szCs w:val="32"/>
        </w:rPr>
        <w:t>19.43</w:t>
      </w:r>
      <w:r>
        <w:rPr>
          <w:rFonts w:eastAsia="仿宋_GB2312"/>
          <w:sz w:val="32"/>
          <w:szCs w:val="32"/>
        </w:rPr>
        <w:t>分，得分率为</w:t>
      </w:r>
      <w:r>
        <w:rPr>
          <w:rFonts w:hint="eastAsia" w:eastAsia="仿宋_GB2312"/>
          <w:sz w:val="32"/>
          <w:szCs w:val="32"/>
        </w:rPr>
        <w:t>99.43</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43.11</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43.11</w:t>
      </w:r>
      <w:r>
        <w:rPr>
          <w:rFonts w:eastAsia="仿宋_GB2312"/>
          <w:sz w:val="32"/>
          <w:szCs w:val="32"/>
        </w:rPr>
        <w:t>万元，预算执行率为</w:t>
      </w:r>
      <w:r>
        <w:rPr>
          <w:rFonts w:hint="eastAsia" w:eastAsia="仿宋_GB2312"/>
          <w:sz w:val="32"/>
          <w:szCs w:val="32"/>
        </w:rPr>
        <w:t>85.73</w:t>
      </w:r>
      <w:r>
        <w:rPr>
          <w:rFonts w:eastAsia="仿宋_GB2312"/>
          <w:sz w:val="32"/>
          <w:szCs w:val="32"/>
        </w:rPr>
        <w:t>%。</w:t>
      </w:r>
      <w:r>
        <w:rPr>
          <w:rFonts w:hint="eastAsia" w:eastAsia="仿宋_GB2312"/>
          <w:sz w:val="32"/>
          <w:szCs w:val="32"/>
        </w:rPr>
        <w:t>偏差原因为：年初预算做的比较高，故产生偏差。改进措施：科学、合理做预算，按预算计划支付，提高执行率。</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学校财务管理制度体系，为项目的成功实施提供了坚实的制度保障。项目管理制度的制定紧密结合了项目的特点与实际情况，涵盖了项目的策划、组织、实施、监控与报告等各个环节。</w:t>
      </w:r>
    </w:p>
    <w:p>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项目管理制度还充分考虑了风险因素，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pPr>
        <w:pStyle w:val="12"/>
        <w:numPr>
          <w:ilvl w:val="0"/>
          <w:numId w:val="5"/>
        </w:numPr>
        <w:tabs>
          <w:tab w:val="center" w:pos="4274"/>
        </w:tabs>
        <w:spacing w:line="560" w:lineRule="exact"/>
        <w:ind w:firstLine="640"/>
        <w:rPr>
          <w:rFonts w:eastAsia="楷体_GB2312"/>
          <w:b/>
          <w:bCs/>
          <w:sz w:val="32"/>
          <w:szCs w:val="32"/>
        </w:rPr>
      </w:pPr>
      <w:r>
        <w:rPr>
          <w:rFonts w:eastAsia="楷体_GB2312"/>
          <w:b/>
          <w:bCs/>
          <w:sz w:val="32"/>
          <w:szCs w:val="32"/>
        </w:rPr>
        <w:t>项目产出情况</w:t>
      </w:r>
      <w:r>
        <w:rPr>
          <w:rFonts w:hint="eastAsia" w:eastAsia="楷体_GB2312"/>
          <w:b/>
          <w:bCs/>
          <w:sz w:val="32"/>
          <w:szCs w:val="32"/>
        </w:rPr>
        <w:tab/>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5</w:t>
      </w:r>
      <w:r>
        <w:rPr>
          <w:rFonts w:eastAsia="仿宋_GB2312"/>
          <w:sz w:val="32"/>
          <w:szCs w:val="32"/>
        </w:rPr>
        <w:t>个三级指标构成，权重分为40分，实际得分</w:t>
      </w:r>
      <w:r>
        <w:rPr>
          <w:rFonts w:hint="eastAsia" w:eastAsia="仿宋_GB2312"/>
          <w:sz w:val="32"/>
          <w:szCs w:val="32"/>
        </w:rPr>
        <w:t>38.75</w:t>
      </w:r>
      <w:r>
        <w:rPr>
          <w:rFonts w:eastAsia="仿宋_GB2312"/>
          <w:sz w:val="32"/>
          <w:szCs w:val="32"/>
        </w:rPr>
        <w:t>分，得分率为</w:t>
      </w:r>
      <w:r>
        <w:rPr>
          <w:rFonts w:hint="eastAsia" w:eastAsia="仿宋_GB2312"/>
          <w:sz w:val="32"/>
          <w:szCs w:val="32"/>
        </w:rPr>
        <w:t>98.75</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pPr>
      <w:r>
        <w:rPr>
          <w:rFonts w:eastAsia="仿宋_GB2312"/>
          <w:sz w:val="32"/>
          <w:szCs w:val="32"/>
        </w:rPr>
        <w:t>指标1：维修次数，指标值：</w:t>
      </w:r>
      <w:r>
        <w:rPr>
          <w:rFonts w:hint="eastAsia" w:eastAsia="仿宋_GB2312"/>
          <w:sz w:val="32"/>
          <w:szCs w:val="32"/>
        </w:rPr>
        <w:t>&gt;=5次</w:t>
      </w:r>
      <w:r>
        <w:rPr>
          <w:rFonts w:eastAsia="仿宋_GB2312"/>
          <w:sz w:val="32"/>
          <w:szCs w:val="32"/>
        </w:rPr>
        <w:t>，实际完成值：5</w:t>
      </w:r>
      <w:r>
        <w:rPr>
          <w:rFonts w:hint="eastAsia" w:eastAsia="仿宋_GB2312"/>
          <w:sz w:val="32"/>
          <w:szCs w:val="32"/>
        </w:rPr>
        <w:t>次</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spacing w:line="600" w:lineRule="exact"/>
        <w:ind w:firstLine="640" w:firstLineChars="200"/>
        <w:outlineLvl w:val="0"/>
        <w:rPr>
          <w:rFonts w:eastAsia="仿宋_GB2312"/>
          <w:sz w:val="32"/>
          <w:szCs w:val="32"/>
        </w:rPr>
      </w:pPr>
      <w:r>
        <w:rPr>
          <w:rFonts w:hint="eastAsia" w:eastAsia="仿宋_GB2312"/>
          <w:sz w:val="32"/>
          <w:szCs w:val="32"/>
        </w:rPr>
        <w:t>指标1：</w:t>
      </w:r>
      <w:r>
        <w:rPr>
          <w:rFonts w:eastAsia="仿宋_GB2312"/>
          <w:sz w:val="32"/>
          <w:szCs w:val="32"/>
        </w:rPr>
        <w:t>维修验收合格率，指标值：</w:t>
      </w:r>
      <w:r>
        <w:rPr>
          <w:rFonts w:hint="eastAsia" w:eastAsia="仿宋_GB2312"/>
          <w:sz w:val="32"/>
          <w:szCs w:val="32"/>
        </w:rPr>
        <w:t>&gt;=95%</w:t>
      </w:r>
      <w:r>
        <w:rPr>
          <w:rFonts w:eastAsia="仿宋_GB2312"/>
          <w:sz w:val="32"/>
          <w:szCs w:val="32"/>
        </w:rPr>
        <w:t>，实际完成值：100%，指标完成率</w:t>
      </w:r>
      <w:r>
        <w:rPr>
          <w:rFonts w:hint="eastAsia" w:eastAsia="仿宋_GB2312"/>
          <w:sz w:val="32"/>
          <w:szCs w:val="32"/>
        </w:rPr>
        <w:t>105</w:t>
      </w:r>
      <w:r>
        <w:rPr>
          <w:rFonts w:eastAsia="仿宋_GB2312"/>
          <w:sz w:val="32"/>
          <w:szCs w:val="32"/>
        </w:rPr>
        <w:t>%，</w:t>
      </w:r>
      <w:r>
        <w:rPr>
          <w:rFonts w:hint="eastAsia" w:eastAsia="仿宋_GB2312"/>
          <w:sz w:val="32"/>
          <w:szCs w:val="32"/>
        </w:rPr>
        <w:t>有5%的偏差，偏差原因：因年初设定绩效目标时指标设置较低，实际完成105%、故此有偏差，措施：在来年设定绩效目标时做到合理、科学、实际要求设定。。</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：维修质量达标率，指标值：</w:t>
      </w:r>
      <w:r>
        <w:rPr>
          <w:rFonts w:hint="eastAsia" w:eastAsia="仿宋_GB2312"/>
          <w:sz w:val="32"/>
          <w:szCs w:val="32"/>
        </w:rPr>
        <w:t>&gt;=100%</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spacing w:line="600" w:lineRule="exact"/>
        <w:ind w:firstLine="640" w:firstLineChars="200"/>
        <w:outlineLvl w:val="0"/>
        <w:rPr>
          <w:rFonts w:eastAsia="仿宋_GB2312"/>
          <w:sz w:val="32"/>
          <w:szCs w:val="32"/>
        </w:rPr>
      </w:pPr>
      <w:r>
        <w:rPr>
          <w:rFonts w:eastAsia="仿宋_GB2312"/>
          <w:sz w:val="32"/>
          <w:szCs w:val="32"/>
        </w:rPr>
        <w:t>指标1：项目完工时间，指标值：</w:t>
      </w:r>
      <w:r>
        <w:rPr>
          <w:rFonts w:hint="eastAsia" w:eastAsia="仿宋_GB2312"/>
          <w:sz w:val="32"/>
          <w:szCs w:val="32"/>
        </w:rPr>
        <w:t>&lt;=2024年12月</w:t>
      </w:r>
      <w:r>
        <w:rPr>
          <w:rFonts w:eastAsia="仿宋_GB2312"/>
          <w:sz w:val="32"/>
          <w:szCs w:val="32"/>
        </w:rPr>
        <w:t>，实际完成值：2024年12月，指标完成率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eastAsia="仿宋_GB2312"/>
          <w:sz w:val="32"/>
          <w:szCs w:val="32"/>
        </w:rPr>
      </w:pPr>
      <w:r>
        <w:rPr>
          <w:rFonts w:eastAsia="仿宋_GB2312"/>
          <w:sz w:val="32"/>
          <w:szCs w:val="32"/>
        </w:rPr>
        <w:t>指标1：项目预算控制率（%），指标值：</w:t>
      </w:r>
      <w:r>
        <w:rPr>
          <w:rFonts w:hint="eastAsia" w:eastAsia="仿宋_GB2312"/>
          <w:sz w:val="32"/>
          <w:szCs w:val="32"/>
        </w:rPr>
        <w:t>&lt;=100%</w:t>
      </w:r>
      <w:r>
        <w:rPr>
          <w:rFonts w:eastAsia="仿宋_GB2312"/>
          <w:sz w:val="32"/>
          <w:szCs w:val="32"/>
        </w:rPr>
        <w:t>，实际完成值：</w:t>
      </w:r>
      <w:r>
        <w:rPr>
          <w:rFonts w:hint="eastAsia" w:eastAsia="仿宋_GB2312"/>
          <w:sz w:val="32"/>
          <w:szCs w:val="32"/>
        </w:rPr>
        <w:t>85.73</w:t>
      </w:r>
      <w:r>
        <w:rPr>
          <w:rFonts w:eastAsia="仿宋_GB2312"/>
          <w:sz w:val="32"/>
          <w:szCs w:val="32"/>
        </w:rPr>
        <w:t>%，指标完成率</w:t>
      </w:r>
      <w:r>
        <w:rPr>
          <w:rFonts w:hint="eastAsia" w:eastAsia="仿宋_GB2312"/>
          <w:sz w:val="32"/>
          <w:szCs w:val="32"/>
        </w:rPr>
        <w:t>85.73</w:t>
      </w:r>
      <w:r>
        <w:rPr>
          <w:rFonts w:eastAsia="仿宋_GB2312"/>
          <w:sz w:val="32"/>
          <w:szCs w:val="32"/>
        </w:rPr>
        <w:t>%</w:t>
      </w:r>
      <w:r>
        <w:rPr>
          <w:rFonts w:hint="eastAsia" w:eastAsia="仿宋_GB2312"/>
          <w:sz w:val="32"/>
          <w:szCs w:val="32"/>
        </w:rPr>
        <w:t>。偏差原因为：年初预算做的比较高，故产生偏差。改进措施：科学、合理做预算，按预算计划支付，提高执行率。</w:t>
      </w:r>
    </w:p>
    <w:p>
      <w:pPr>
        <w:pStyle w:val="12"/>
        <w:numPr>
          <w:ilvl w:val="0"/>
          <w:numId w:val="5"/>
        </w:numPr>
        <w:spacing w:line="560" w:lineRule="exact"/>
        <w:ind w:firstLine="640"/>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numPr>
          <w:ilvl w:val="0"/>
          <w:numId w:val="6"/>
        </w:numPr>
        <w:spacing w:line="600" w:lineRule="exact"/>
        <w:ind w:firstLine="640" w:firstLineChars="200"/>
        <w:outlineLvl w:val="0"/>
        <w:rPr>
          <w:rFonts w:eastAsia="仿宋_GB2312"/>
          <w:sz w:val="32"/>
          <w:szCs w:val="32"/>
        </w:rPr>
      </w:pPr>
      <w:r>
        <w:rPr>
          <w:rFonts w:eastAsia="仿宋_GB2312"/>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①社会效益指标：</w:t>
      </w:r>
    </w:p>
    <w:p>
      <w:pPr>
        <w:spacing w:line="600" w:lineRule="exact"/>
        <w:ind w:firstLine="640" w:firstLineChars="200"/>
        <w:outlineLvl w:val="0"/>
        <w:rPr>
          <w:rFonts w:eastAsia="仿宋_GB2312"/>
          <w:sz w:val="32"/>
          <w:szCs w:val="32"/>
        </w:rPr>
      </w:pPr>
      <w:r>
        <w:rPr>
          <w:rFonts w:eastAsia="仿宋_GB2312"/>
          <w:sz w:val="32"/>
          <w:szCs w:val="32"/>
        </w:rPr>
        <w:t>指标1：学前教育惠民资助政策宣传率，指标值：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③生态效益指标：</w:t>
      </w:r>
    </w:p>
    <w:p>
      <w:pPr>
        <w:spacing w:line="600" w:lineRule="exact"/>
        <w:ind w:firstLine="640" w:firstLineChars="200"/>
        <w:outlineLvl w:val="0"/>
        <w:rPr>
          <w:rFonts w:eastAsia="仿宋_GB2312"/>
          <w:sz w:val="32"/>
          <w:szCs w:val="32"/>
        </w:rPr>
      </w:pPr>
      <w:r>
        <w:rPr>
          <w:rFonts w:hint="eastAsia" w:eastAsia="仿宋_GB2312"/>
          <w:sz w:val="32"/>
          <w:szCs w:val="32"/>
        </w:rPr>
        <w:t>本项目未设置生态效益指标。</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rPr>
          <w:rFonts w:eastAsia="仿宋_GB2312"/>
          <w:sz w:val="32"/>
          <w:szCs w:val="32"/>
        </w:rPr>
      </w:pPr>
      <w:r>
        <w:rPr>
          <w:rFonts w:eastAsia="仿宋_GB2312"/>
          <w:sz w:val="32"/>
          <w:szCs w:val="32"/>
        </w:rPr>
        <w:t>①指标1：学生满意度（%），指标值：</w:t>
      </w:r>
      <w:r>
        <w:rPr>
          <w:rFonts w:hint="eastAsia" w:eastAsia="仿宋_GB2312"/>
          <w:sz w:val="32"/>
          <w:szCs w:val="32"/>
        </w:rPr>
        <w:t>&gt;=95%</w:t>
      </w:r>
      <w:r>
        <w:rPr>
          <w:rFonts w:eastAsia="仿宋_GB2312"/>
          <w:sz w:val="32"/>
          <w:szCs w:val="32"/>
        </w:rPr>
        <w:t>，实际完成值：</w:t>
      </w:r>
      <w:r>
        <w:rPr>
          <w:rFonts w:hint="eastAsia" w:eastAsia="仿宋_GB2312"/>
          <w:sz w:val="32"/>
          <w:szCs w:val="32"/>
        </w:rPr>
        <w:t>95%</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pPr>
        <w:spacing w:line="600" w:lineRule="exact"/>
        <w:ind w:firstLine="640" w:firstLineChars="200"/>
        <w:outlineLvl w:val="0"/>
        <w:rPr>
          <w:rFonts w:eastAsia="仿宋_GB2312"/>
          <w:sz w:val="32"/>
          <w:szCs w:val="32"/>
        </w:rPr>
      </w:pPr>
      <w:r>
        <w:rPr>
          <w:rFonts w:hint="eastAsia" w:eastAsia="仿宋_GB2312"/>
          <w:sz w:val="32"/>
          <w:szCs w:val="32"/>
        </w:rPr>
        <w:t>2024年新疆西藏等地区教育特殊补助资金（直达资金）</w:t>
      </w:r>
      <w:r>
        <w:rPr>
          <w:rFonts w:eastAsia="仿宋_GB2312"/>
          <w:sz w:val="32"/>
          <w:szCs w:val="32"/>
        </w:rPr>
        <w:t>项目年初预算</w:t>
      </w:r>
      <w:r>
        <w:rPr>
          <w:rFonts w:hint="eastAsia" w:eastAsia="仿宋_GB2312"/>
          <w:sz w:val="32"/>
          <w:szCs w:val="32"/>
        </w:rPr>
        <w:t>43.11</w:t>
      </w:r>
      <w:r>
        <w:rPr>
          <w:rFonts w:eastAsia="仿宋_GB2312"/>
          <w:sz w:val="32"/>
          <w:szCs w:val="32"/>
        </w:rPr>
        <w:t>万元，全年预算</w:t>
      </w:r>
      <w:r>
        <w:rPr>
          <w:rFonts w:hint="eastAsia" w:eastAsia="仿宋_GB2312"/>
          <w:sz w:val="32"/>
          <w:szCs w:val="32"/>
        </w:rPr>
        <w:t>43.11</w:t>
      </w:r>
      <w:r>
        <w:rPr>
          <w:rFonts w:eastAsia="仿宋_GB2312"/>
          <w:sz w:val="32"/>
          <w:szCs w:val="32"/>
        </w:rPr>
        <w:t>万元，实际支出</w:t>
      </w:r>
      <w:r>
        <w:rPr>
          <w:rFonts w:hint="eastAsia" w:eastAsia="仿宋_GB2312"/>
          <w:sz w:val="32"/>
          <w:szCs w:val="32"/>
        </w:rPr>
        <w:t>36.96</w:t>
      </w:r>
      <w:r>
        <w:rPr>
          <w:rFonts w:eastAsia="仿宋_GB2312"/>
          <w:sz w:val="32"/>
          <w:szCs w:val="32"/>
        </w:rPr>
        <w:t>万元，预算执行率为</w:t>
      </w:r>
      <w:r>
        <w:rPr>
          <w:rFonts w:hint="eastAsia" w:eastAsia="仿宋_GB2312"/>
          <w:sz w:val="32"/>
          <w:szCs w:val="32"/>
        </w:rPr>
        <w:t>85.73</w:t>
      </w:r>
      <w:r>
        <w:rPr>
          <w:rFonts w:eastAsia="仿宋_GB2312"/>
          <w:sz w:val="32"/>
          <w:szCs w:val="32"/>
        </w:rPr>
        <w:t>%，项目绩效指标总体完成率为</w:t>
      </w:r>
      <w:r>
        <w:rPr>
          <w:rFonts w:hint="eastAsia" w:eastAsia="仿宋_GB2312"/>
          <w:sz w:val="32"/>
          <w:szCs w:val="32"/>
        </w:rPr>
        <w:t>100.71%</w:t>
      </w:r>
      <w:r>
        <w:rPr>
          <w:rFonts w:eastAsia="仿宋_GB2312"/>
          <w:sz w:val="32"/>
          <w:szCs w:val="32"/>
        </w:rPr>
        <w:t>，总体偏差率为</w:t>
      </w:r>
      <w:r>
        <w:rPr>
          <w:rFonts w:hint="eastAsia" w:eastAsia="仿宋_GB2312"/>
          <w:sz w:val="32"/>
          <w:szCs w:val="32"/>
        </w:rPr>
        <w:t>14.98</w:t>
      </w:r>
      <w:r>
        <w:rPr>
          <w:rFonts w:eastAsia="仿宋_GB2312"/>
          <w:sz w:val="32"/>
          <w:szCs w:val="32"/>
        </w:rPr>
        <w:t>%。</w:t>
      </w:r>
      <w:r>
        <w:rPr>
          <w:rFonts w:hint="eastAsia" w:eastAsia="仿宋_GB2312"/>
          <w:sz w:val="32"/>
          <w:szCs w:val="32"/>
        </w:rPr>
        <w:t>原因：偏差原因为：年初预算做的比较高，故产生偏差。改进措施：精准科学预算，及时申请做支付。</w:t>
      </w:r>
    </w:p>
    <w:p>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960" w:firstLineChars="300"/>
        <w:outlineLvl w:val="0"/>
        <w:rPr>
          <w:rFonts w:eastAsia="仿宋_GB2312"/>
          <w:sz w:val="32"/>
          <w:szCs w:val="32"/>
        </w:rPr>
      </w:pPr>
      <w:r>
        <w:rPr>
          <w:rFonts w:eastAsia="仿宋_GB2312"/>
          <w:sz w:val="32"/>
          <w:szCs w:val="32"/>
        </w:rPr>
        <w:t>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600" w:lineRule="exact"/>
        <w:ind w:firstLine="320" w:firstLineChars="100"/>
        <w:jc w:val="left"/>
      </w:pPr>
      <w:r>
        <w:rPr>
          <w:rFonts w:hint="eastAsia" w:ascii="仿宋_GB2312" w:hAnsi="宋体" w:eastAsia="仿宋_GB2312"/>
          <w:bCs/>
          <w:sz w:val="32"/>
          <w:szCs w:val="32"/>
        </w:rPr>
        <w:t>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Cs/>
          <w:sz w:val="32"/>
          <w:szCs w:val="32"/>
        </w:rPr>
        <w:br w:type="textWrapping"/>
      </w:r>
      <w:r>
        <w:rPr>
          <w:rFonts w:hint="eastAsia" w:ascii="仿宋_GB2312" w:hAnsi="宋体" w:eastAsia="仿宋_GB2312"/>
          <w:bCs/>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Cs/>
          <w:sz w:val="32"/>
          <w:szCs w:val="32"/>
        </w:rPr>
        <w:br w:type="textWrapping"/>
      </w:r>
      <w:r>
        <w:rPr>
          <w:rFonts w:hint="eastAsia" w:ascii="仿宋_GB2312" w:hAnsi="宋体" w:eastAsia="仿宋_GB2312"/>
          <w:bCs/>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4.借助第三方专业机构力量，贯彻落实全面预算绩效管理工作，建立全过程预算绩效管理链条，将绩效各个环节紧密贯通。</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600" w:lineRule="exact"/>
        <w:ind w:firstLine="640" w:firstLineChars="200"/>
        <w:outlineLvl w:val="0"/>
        <w:rPr>
          <w:rFonts w:eastAsia="仿宋_GB2312"/>
          <w:sz w:val="32"/>
          <w:szCs w:val="32"/>
        </w:rPr>
      </w:pPr>
      <w:r>
        <w:rPr>
          <w:rFonts w:hint="eastAsia" w:eastAsia="仿宋_GB2312"/>
          <w:sz w:val="32"/>
          <w:szCs w:val="32"/>
        </w:rPr>
        <w:t>1</w:t>
      </w:r>
      <w:r>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sz w:val="22"/>
          <w:szCs w:val="28"/>
        </w:rPr>
      </w:pPr>
      <w:r>
        <w:rPr>
          <w:rFonts w:hint="eastAsia" w:eastAsia="仿宋_GB2312"/>
          <w:sz w:val="32"/>
          <w:szCs w:val="32"/>
        </w:rPr>
        <w:t>2</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3</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Fonts w:hint="eastAsia" w:eastAsia="仿宋_GB2312"/>
          <w:sz w:val="32"/>
          <w:szCs w:val="32"/>
        </w:rPr>
        <w:t>。</w:t>
      </w:r>
    </w:p>
    <w:p>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其他需要说</w:t>
      </w:r>
      <w:bookmarkStart w:id="0" w:name="page8"/>
      <w:bookmarkEnd w:id="0"/>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pPr>
        <w:pStyle w:val="13"/>
        <w:spacing w:after="0" w:line="560" w:lineRule="exact"/>
        <w:ind w:left="0" w:leftChars="0" w:firstLine="0" w:firstLineChars="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2024年新疆西藏等地区教育特殊补助资金（直达资金）项目绩效评价指标体系及综合评分表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9"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r>
              <w:rPr>
                <w:rFonts w:eastAsia="仿宋_GB2312"/>
                <w:kern w:val="0"/>
                <w:sz w:val="18"/>
                <w:szCs w:val="18"/>
              </w:rPr>
              <w:t>决策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项目立项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立项依据</w:t>
            </w:r>
          </w:p>
          <w:p>
            <w:pPr>
              <w:widowControl/>
              <w:spacing w:line="0" w:lineRule="atLeast"/>
              <w:jc w:val="center"/>
              <w:rPr>
                <w:rFonts w:eastAsia="仿宋_GB2312"/>
                <w:kern w:val="0"/>
                <w:sz w:val="18"/>
                <w:szCs w:val="18"/>
              </w:rPr>
            </w:pPr>
            <w:r>
              <w:rPr>
                <w:rFonts w:eastAsia="仿宋_GB2312"/>
                <w:kern w:val="0"/>
                <w:sz w:val="18"/>
                <w:szCs w:val="18"/>
              </w:rPr>
              <w:t>充分性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立项程序</w:t>
            </w:r>
          </w:p>
          <w:p>
            <w:pPr>
              <w:widowControl/>
              <w:spacing w:line="0" w:lineRule="atLeast"/>
              <w:jc w:val="center"/>
              <w:rPr>
                <w:rFonts w:eastAsia="仿宋_GB2312"/>
                <w:kern w:val="0"/>
                <w:sz w:val="18"/>
                <w:szCs w:val="18"/>
              </w:rPr>
            </w:pPr>
            <w:r>
              <w:rPr>
                <w:rFonts w:eastAsia="仿宋_GB2312"/>
                <w:kern w:val="0"/>
                <w:sz w:val="18"/>
                <w:szCs w:val="18"/>
              </w:rPr>
              <w:t>规范性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绩效指标</w:t>
            </w:r>
          </w:p>
          <w:p>
            <w:pPr>
              <w:widowControl/>
              <w:spacing w:line="0" w:lineRule="atLeast"/>
              <w:jc w:val="center"/>
              <w:rPr>
                <w:rFonts w:eastAsia="仿宋_GB2312"/>
                <w:kern w:val="0"/>
                <w:sz w:val="18"/>
                <w:szCs w:val="18"/>
              </w:rPr>
            </w:pPr>
            <w:r>
              <w:rPr>
                <w:rFonts w:eastAsia="仿宋_GB2312"/>
                <w:kern w:val="0"/>
                <w:sz w:val="18"/>
                <w:szCs w:val="18"/>
              </w:rPr>
              <w:t>明确性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资金投入</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预算编制</w:t>
            </w:r>
          </w:p>
          <w:p>
            <w:pPr>
              <w:widowControl/>
              <w:spacing w:line="0" w:lineRule="atLeast"/>
              <w:jc w:val="center"/>
              <w:rPr>
                <w:rFonts w:eastAsia="仿宋_GB2312"/>
                <w:kern w:val="0"/>
                <w:sz w:val="18"/>
                <w:szCs w:val="18"/>
              </w:rPr>
            </w:pPr>
            <w:r>
              <w:rPr>
                <w:rFonts w:eastAsia="仿宋_GB2312"/>
                <w:kern w:val="0"/>
                <w:sz w:val="18"/>
                <w:szCs w:val="18"/>
              </w:rPr>
              <w:t>科学性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资金分配</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1" w:type="dxa"/>
            <w:vMerge w:val="restart"/>
            <w:shd w:val="clear" w:color="auto" w:fill="FFFFFF"/>
            <w:vAlign w:val="center"/>
          </w:tcPr>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r>
              <w:rPr>
                <w:rFonts w:eastAsia="仿宋_GB2312"/>
                <w:kern w:val="0"/>
                <w:sz w:val="18"/>
                <w:szCs w:val="18"/>
              </w:rPr>
              <w:t>过程</w:t>
            </w:r>
          </w:p>
          <w:p>
            <w:pPr>
              <w:widowControl/>
              <w:spacing w:line="0" w:lineRule="atLeast"/>
              <w:jc w:val="center"/>
              <w:rPr>
                <w:rFonts w:eastAsia="仿宋_GB2312"/>
                <w:kern w:val="0"/>
                <w:sz w:val="18"/>
                <w:szCs w:val="18"/>
              </w:rPr>
            </w:pPr>
            <w:r>
              <w:rPr>
                <w:rFonts w:eastAsia="仿宋_GB2312"/>
                <w:kern w:val="0"/>
                <w:sz w:val="18"/>
                <w:szCs w:val="18"/>
              </w:rPr>
              <w:t>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资金到位率=（实际到位资金/预算资金）×100%。</w:t>
            </w:r>
          </w:p>
          <w:p>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预算执行率</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资金使用</w:t>
            </w:r>
          </w:p>
          <w:p>
            <w:pPr>
              <w:widowControl/>
              <w:spacing w:line="0" w:lineRule="atLeast"/>
              <w:jc w:val="center"/>
              <w:rPr>
                <w:rFonts w:eastAsia="仿宋_GB2312"/>
                <w:kern w:val="0"/>
                <w:sz w:val="18"/>
                <w:szCs w:val="18"/>
              </w:rPr>
            </w:pPr>
            <w:r>
              <w:rPr>
                <w:rFonts w:eastAsia="仿宋_GB2312"/>
                <w:kern w:val="0"/>
                <w:sz w:val="18"/>
                <w:szCs w:val="18"/>
              </w:rPr>
              <w:t>合规性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组织实施</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管理制度</w:t>
            </w:r>
          </w:p>
          <w:p>
            <w:pPr>
              <w:widowControl/>
              <w:spacing w:line="0" w:lineRule="atLeast"/>
              <w:jc w:val="center"/>
              <w:rPr>
                <w:rFonts w:eastAsia="仿宋_GB2312"/>
                <w:kern w:val="0"/>
                <w:sz w:val="18"/>
                <w:szCs w:val="18"/>
              </w:rPr>
            </w:pPr>
            <w:r>
              <w:rPr>
                <w:rFonts w:eastAsia="仿宋_GB2312"/>
                <w:kern w:val="0"/>
                <w:sz w:val="18"/>
                <w:szCs w:val="18"/>
              </w:rPr>
              <w:t>健全性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制度执行</w:t>
            </w:r>
          </w:p>
          <w:p>
            <w:pPr>
              <w:widowControl/>
              <w:spacing w:line="0" w:lineRule="atLeast"/>
              <w:jc w:val="center"/>
              <w:rPr>
                <w:rFonts w:eastAsia="仿宋_GB2312"/>
                <w:kern w:val="0"/>
                <w:sz w:val="18"/>
                <w:szCs w:val="18"/>
              </w:rPr>
            </w:pPr>
            <w:r>
              <w:rPr>
                <w:rFonts w:eastAsia="仿宋_GB2312"/>
                <w:kern w:val="0"/>
                <w:sz w:val="18"/>
                <w:szCs w:val="18"/>
              </w:rPr>
              <w:t>有效性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w:t>
            </w: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产出质量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质量达标率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spacing w:line="0" w:lineRule="atLeast"/>
              <w:jc w:val="center"/>
              <w:rPr>
                <w:rFonts w:eastAsia="仿宋_GB2312"/>
                <w:kern w:val="0"/>
                <w:sz w:val="18"/>
                <w:szCs w:val="18"/>
              </w:rPr>
            </w:pPr>
            <w:r>
              <w:rPr>
                <w:rFonts w:eastAsia="仿宋_GB2312"/>
                <w:kern w:val="0"/>
                <w:sz w:val="18"/>
                <w:szCs w:val="18"/>
              </w:rPr>
              <w:t>产出时效</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完成及时性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产出成本</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成本节约率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效益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项目效益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实施效益</w:t>
            </w:r>
          </w:p>
        </w:tc>
        <w:tc>
          <w:tcPr>
            <w:tcW w:w="1724"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满意度</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5" w:type="dxa"/>
            <w:gridSpan w:val="5"/>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100</w:t>
            </w:r>
          </w:p>
        </w:tc>
      </w:tr>
    </w:tbl>
    <w:p/>
    <w:p>
      <w:pPr>
        <w:pStyle w:val="2"/>
        <w:rPr>
          <w:rFonts w:ascii="Times New Roman" w:hAnsi="Times New Roman"/>
        </w:rPr>
      </w:pPr>
    </w:p>
    <w:p/>
    <w:p>
      <w:pPr>
        <w:pStyle w:val="2"/>
        <w:rPr>
          <w:rFonts w:ascii="Times New Roman" w:hAnsi="Times New Roman"/>
        </w:rPr>
      </w:pPr>
    </w:p>
    <w:p/>
    <w:p>
      <w:pPr>
        <w:pStyle w:val="2"/>
        <w:rPr>
          <w:rFonts w:ascii="Times New Roman" w:hAnsi="Times New Roman"/>
        </w:rPr>
      </w:pPr>
    </w:p>
    <w:p/>
    <w:p>
      <w:pPr>
        <w:pStyle w:val="2"/>
      </w:pPr>
    </w:p>
    <w:p/>
    <w:p>
      <w:pPr>
        <w:pStyle w:val="2"/>
      </w:pPr>
    </w:p>
    <w:p/>
    <w:tbl>
      <w:tblPr>
        <w:tblStyle w:val="14"/>
        <w:tblW w:w="15285" w:type="dxa"/>
        <w:tblInd w:w="93" w:type="dxa"/>
        <w:tblLayout w:type="fixed"/>
        <w:tblCellMar>
          <w:top w:w="0" w:type="dxa"/>
          <w:left w:w="108" w:type="dxa"/>
          <w:bottom w:w="0" w:type="dxa"/>
          <w:right w:w="108" w:type="dxa"/>
        </w:tblCellMar>
      </w:tblPr>
      <w:tblGrid>
        <w:gridCol w:w="1059"/>
        <w:gridCol w:w="1059"/>
        <w:gridCol w:w="1059"/>
        <w:gridCol w:w="1076"/>
        <w:gridCol w:w="1251"/>
        <w:gridCol w:w="630"/>
        <w:gridCol w:w="1478"/>
        <w:gridCol w:w="1315"/>
        <w:gridCol w:w="851"/>
        <w:gridCol w:w="763"/>
        <w:gridCol w:w="865"/>
        <w:gridCol w:w="610"/>
        <w:gridCol w:w="694"/>
        <w:gridCol w:w="2575"/>
      </w:tblGrid>
      <w:tr>
        <w:tblPrEx>
          <w:tblLayout w:type="fixed"/>
          <w:tblCellMar>
            <w:top w:w="0" w:type="dxa"/>
            <w:left w:w="108" w:type="dxa"/>
            <w:bottom w:w="0" w:type="dxa"/>
            <w:right w:w="108" w:type="dxa"/>
          </w:tblCellMar>
        </w:tblPrEx>
        <w:trPr>
          <w:trHeight w:val="405" w:hRule="atLeast"/>
        </w:trPr>
        <w:tc>
          <w:tcPr>
            <w:tcW w:w="1528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70" w:hRule="atLeast"/>
        </w:trPr>
        <w:tc>
          <w:tcPr>
            <w:tcW w:w="1528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(2024年度)</w:t>
            </w:r>
          </w:p>
        </w:tc>
      </w:tr>
      <w:tr>
        <w:tblPrEx>
          <w:tblLayout w:type="fixed"/>
          <w:tblCellMar>
            <w:top w:w="0" w:type="dxa"/>
            <w:left w:w="108" w:type="dxa"/>
            <w:bottom w:w="0" w:type="dxa"/>
            <w:right w:w="108" w:type="dxa"/>
          </w:tblCellMar>
        </w:tblPrEx>
        <w:trPr>
          <w:trHeight w:val="27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项目名称</w:t>
            </w:r>
          </w:p>
        </w:tc>
        <w:tc>
          <w:tcPr>
            <w:tcW w:w="1316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2024年新疆西藏等地区教育特殊补助资金（直达资金）</w:t>
            </w:r>
          </w:p>
        </w:tc>
      </w:tr>
      <w:tr>
        <w:tblPrEx>
          <w:tblLayout w:type="fixed"/>
          <w:tblCellMar>
            <w:top w:w="0" w:type="dxa"/>
            <w:left w:w="108" w:type="dxa"/>
            <w:bottom w:w="0" w:type="dxa"/>
            <w:right w:w="108" w:type="dxa"/>
          </w:tblCellMar>
        </w:tblPrEx>
        <w:trPr>
          <w:trHeight w:val="27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主管部门</w:t>
            </w:r>
          </w:p>
        </w:tc>
        <w:tc>
          <w:tcPr>
            <w:tcW w:w="54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奇台县半截沟镇中心学校</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实施单位</w:t>
            </w:r>
          </w:p>
        </w:tc>
        <w:tc>
          <w:tcPr>
            <w:tcW w:w="55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奇台县半截沟镇中心学校</w:t>
            </w:r>
          </w:p>
        </w:tc>
      </w:tr>
      <w:tr>
        <w:tblPrEx>
          <w:tblLayout w:type="fixed"/>
          <w:tblCellMar>
            <w:top w:w="0" w:type="dxa"/>
            <w:left w:w="108" w:type="dxa"/>
            <w:bottom w:w="0" w:type="dxa"/>
            <w:right w:w="108" w:type="dxa"/>
          </w:tblCellMar>
        </w:tblPrEx>
        <w:trPr>
          <w:trHeight w:val="480"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年初预算数</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全年预算数</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全年执行数</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执行率</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年度资金总额</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43.11</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43.11</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36.96</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85.73%</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8.57分</w:t>
            </w:r>
          </w:p>
        </w:tc>
      </w:tr>
      <w:tr>
        <w:tblPrEx>
          <w:tblLayout w:type="fixed"/>
          <w:tblCellMar>
            <w:top w:w="0" w:type="dxa"/>
            <w:left w:w="108" w:type="dxa"/>
            <w:bottom w:w="0" w:type="dxa"/>
            <w:right w:w="108" w:type="dxa"/>
          </w:tblCellMar>
        </w:tblPrEx>
        <w:trPr>
          <w:trHeight w:val="440"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其中：当年财政拨款</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43.11</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43.11</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36.96</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上年结转资金</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0.00</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0.00</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7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年度总体目标</w:t>
            </w:r>
          </w:p>
        </w:tc>
        <w:tc>
          <w:tcPr>
            <w:tcW w:w="655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预期目标</w:t>
            </w:r>
          </w:p>
        </w:tc>
        <w:tc>
          <w:tcPr>
            <w:tcW w:w="767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126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553"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rPr>
              <w:t>本次公用经费项目办公设备的日常维修维护，保障幼儿园保教工作正常运行。保障3-6岁幼儿接受学前免费教育持续加强，家长满意度、学生满意度大于等于95%。</w:t>
            </w:r>
          </w:p>
        </w:tc>
        <w:tc>
          <w:tcPr>
            <w:tcW w:w="7673"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rPr>
              <w:t>学前教育保障经费用于办公设备的日常维修维护，保障了幼儿园保教工作正常运行。3-6岁幼儿接受学前免费教育持续加强，家长满意度、学生满意度大于等于95%。</w:t>
            </w:r>
          </w:p>
        </w:tc>
      </w:tr>
      <w:tr>
        <w:tblPrEx>
          <w:tblLayout w:type="fixed"/>
          <w:tblCellMar>
            <w:top w:w="0" w:type="dxa"/>
            <w:left w:w="108" w:type="dxa"/>
            <w:bottom w:w="0" w:type="dxa"/>
            <w:right w:w="108" w:type="dxa"/>
          </w:tblCellMar>
        </w:tblPrEx>
        <w:trPr>
          <w:trHeight w:val="42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nil"/>
            </w:tcBorders>
            <w:shd w:val="clear" w:color="auto" w:fill="auto"/>
          </w:tcPr>
          <w:p>
            <w:pPr>
              <w:jc w:val="left"/>
              <w:rPr>
                <w:rFonts w:ascii="宋体" w:hAnsi="宋体" w:cs="宋体"/>
                <w:color w:val="000000"/>
                <w:sz w:val="20"/>
                <w:szCs w:val="20"/>
              </w:rPr>
            </w:pPr>
          </w:p>
        </w:tc>
        <w:tc>
          <w:tcPr>
            <w:tcW w:w="1059"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1076"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1251"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630"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1478" w:type="dxa"/>
            <w:tcBorders>
              <w:top w:val="single" w:color="000000" w:sz="4" w:space="0"/>
              <w:left w:val="nil"/>
              <w:bottom w:val="single" w:color="000000" w:sz="4" w:space="0"/>
              <w:right w:val="single" w:color="000000" w:sz="4" w:space="0"/>
            </w:tcBorders>
            <w:shd w:val="clear" w:color="auto" w:fill="auto"/>
          </w:tcPr>
          <w:p>
            <w:pPr>
              <w:jc w:val="left"/>
              <w:rPr>
                <w:rFonts w:ascii="宋体" w:hAnsi="宋体" w:cs="宋体"/>
                <w:color w:val="000000"/>
                <w:sz w:val="20"/>
                <w:szCs w:val="20"/>
              </w:rPr>
            </w:pPr>
          </w:p>
        </w:tc>
        <w:tc>
          <w:tcPr>
            <w:tcW w:w="1315" w:type="dxa"/>
            <w:tcBorders>
              <w:top w:val="single" w:color="000000" w:sz="4" w:space="0"/>
              <w:left w:val="single" w:color="000000" w:sz="4" w:space="0"/>
              <w:bottom w:val="single" w:color="000000" w:sz="4" w:space="0"/>
              <w:right w:val="nil"/>
            </w:tcBorders>
            <w:shd w:val="clear" w:color="auto" w:fill="auto"/>
          </w:tcPr>
          <w:p>
            <w:pPr>
              <w:jc w:val="left"/>
              <w:rPr>
                <w:rFonts w:ascii="宋体" w:hAnsi="宋体" w:cs="宋体"/>
                <w:color w:val="000000"/>
                <w:sz w:val="20"/>
                <w:szCs w:val="20"/>
              </w:rPr>
            </w:pPr>
          </w:p>
        </w:tc>
        <w:tc>
          <w:tcPr>
            <w:tcW w:w="851"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763"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865"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610"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694" w:type="dxa"/>
            <w:tcBorders>
              <w:top w:val="single" w:color="000000" w:sz="4" w:space="0"/>
              <w:left w:val="nil"/>
              <w:bottom w:val="single" w:color="000000" w:sz="4" w:space="0"/>
              <w:right w:val="nil"/>
            </w:tcBorders>
            <w:shd w:val="clear" w:color="auto" w:fill="auto"/>
          </w:tcPr>
          <w:p>
            <w:pPr>
              <w:jc w:val="left"/>
              <w:rPr>
                <w:rFonts w:ascii="宋体" w:hAnsi="宋体" w:cs="宋体"/>
                <w:color w:val="000000"/>
                <w:sz w:val="20"/>
                <w:szCs w:val="20"/>
              </w:rPr>
            </w:pPr>
          </w:p>
        </w:tc>
        <w:tc>
          <w:tcPr>
            <w:tcW w:w="2575" w:type="dxa"/>
            <w:tcBorders>
              <w:top w:val="single" w:color="000000" w:sz="4" w:space="0"/>
              <w:left w:val="nil"/>
              <w:bottom w:val="single" w:color="000000" w:sz="4" w:space="0"/>
              <w:right w:val="single" w:color="000000" w:sz="4" w:space="0"/>
            </w:tcBorders>
            <w:shd w:val="clear" w:color="auto" w:fill="auto"/>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312"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29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4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年度指标值</w:t>
            </w: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实际完成值</w:t>
            </w:r>
          </w:p>
        </w:tc>
        <w:tc>
          <w:tcPr>
            <w:tcW w:w="16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14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得分</w:t>
            </w:r>
          </w:p>
        </w:tc>
        <w:tc>
          <w:tcPr>
            <w:tcW w:w="32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9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32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年度绩效指标完成情况</w:t>
            </w: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维修次数</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&gt;=5次</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=5次</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2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维修验收合格率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因年初设定绩效目标时指标设置较低，实际完成105%、故此有偏差，措施：在来年设定绩效目标时做到合理、科学、实际要求设定。</w:t>
            </w: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维修质量达标率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&gt;=100%</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项目完工时间</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&lt;=2024年12月</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=2024年12月</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项目预算控制率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社会成本指标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生态环境成本指标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学前教育惠民资助政策宣传率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生态效益指标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29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幼儿满意率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270" w:hRule="atLeast"/>
        </w:trPr>
        <w:tc>
          <w:tcPr>
            <w:tcW w:w="8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总分</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98.07分</w:t>
            </w:r>
          </w:p>
        </w:tc>
        <w:tc>
          <w:tcPr>
            <w:tcW w:w="3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bl>
    <w:p>
      <w:pPr>
        <w:sectPr>
          <w:pgSz w:w="16838" w:h="11906" w:orient="landscape"/>
          <w:pgMar w:top="1800" w:right="1440" w:bottom="1558" w:left="1440" w:header="851" w:footer="992" w:gutter="0"/>
          <w:cols w:space="425" w:num="1"/>
          <w:docGrid w:type="lines" w:linePitch="312" w:charSpace="0"/>
        </w:sectPr>
      </w:pPr>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21</w:t>
        </w:r>
        <w:r>
          <w:rPr>
            <w:lang w:val="zh-CN"/>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BA96C"/>
    <w:multiLevelType w:val="singleLevel"/>
    <w:tmpl w:val="A21BA96C"/>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abstractNum w:abstractNumId="5">
    <w:nsid w:val="7D2B1C5A"/>
    <w:multiLevelType w:val="multilevel"/>
    <w:tmpl w:val="7D2B1C5A"/>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diOGM5NzlhN2JhOTc3OTljZTBmY2FhN2MzNTk3ODEifQ=="/>
  </w:docVars>
  <w:rsids>
    <w:rsidRoot w:val="FF6C4049"/>
    <w:rsid w:val="00374D4E"/>
    <w:rsid w:val="00377F3F"/>
    <w:rsid w:val="006B6AB0"/>
    <w:rsid w:val="006F7242"/>
    <w:rsid w:val="00761F78"/>
    <w:rsid w:val="007B168A"/>
    <w:rsid w:val="008251D5"/>
    <w:rsid w:val="00826822"/>
    <w:rsid w:val="00850296"/>
    <w:rsid w:val="008B2CFE"/>
    <w:rsid w:val="008D28FE"/>
    <w:rsid w:val="008D3D96"/>
    <w:rsid w:val="00A61563"/>
    <w:rsid w:val="00B546DF"/>
    <w:rsid w:val="00F26FF6"/>
    <w:rsid w:val="01610122"/>
    <w:rsid w:val="02510197"/>
    <w:rsid w:val="03EC461B"/>
    <w:rsid w:val="07183C18"/>
    <w:rsid w:val="071A5591"/>
    <w:rsid w:val="07397B77"/>
    <w:rsid w:val="077B184C"/>
    <w:rsid w:val="09642C78"/>
    <w:rsid w:val="0AD007F3"/>
    <w:rsid w:val="0D082A6E"/>
    <w:rsid w:val="0E3C619F"/>
    <w:rsid w:val="0F6273CA"/>
    <w:rsid w:val="0F661726"/>
    <w:rsid w:val="100F38EC"/>
    <w:rsid w:val="11170296"/>
    <w:rsid w:val="12C66037"/>
    <w:rsid w:val="12CD1ABC"/>
    <w:rsid w:val="13471461"/>
    <w:rsid w:val="13B90F01"/>
    <w:rsid w:val="155E4C4D"/>
    <w:rsid w:val="181066D2"/>
    <w:rsid w:val="1C671E73"/>
    <w:rsid w:val="1D322C47"/>
    <w:rsid w:val="22290DFD"/>
    <w:rsid w:val="23616034"/>
    <w:rsid w:val="23696C97"/>
    <w:rsid w:val="240D5F2A"/>
    <w:rsid w:val="24480FA2"/>
    <w:rsid w:val="25227A45"/>
    <w:rsid w:val="26AC3A6A"/>
    <w:rsid w:val="26BE1D6F"/>
    <w:rsid w:val="28A04CDB"/>
    <w:rsid w:val="297334B3"/>
    <w:rsid w:val="2B9D7E25"/>
    <w:rsid w:val="2C7C7A3B"/>
    <w:rsid w:val="2F364819"/>
    <w:rsid w:val="2FD63906"/>
    <w:rsid w:val="300F506A"/>
    <w:rsid w:val="37215DAE"/>
    <w:rsid w:val="38CA40DD"/>
    <w:rsid w:val="395F2B56"/>
    <w:rsid w:val="3B482032"/>
    <w:rsid w:val="3BBA0580"/>
    <w:rsid w:val="3BECE841"/>
    <w:rsid w:val="3CDE204C"/>
    <w:rsid w:val="3D363C36"/>
    <w:rsid w:val="3E9C3F6D"/>
    <w:rsid w:val="3EFA7AF5"/>
    <w:rsid w:val="3FF7797D"/>
    <w:rsid w:val="42F16CBA"/>
    <w:rsid w:val="46690BD8"/>
    <w:rsid w:val="49F70BF1"/>
    <w:rsid w:val="4B4340EE"/>
    <w:rsid w:val="4C1B3AB2"/>
    <w:rsid w:val="4C8C5620"/>
    <w:rsid w:val="4F711F6A"/>
    <w:rsid w:val="503D507A"/>
    <w:rsid w:val="51FA74D0"/>
    <w:rsid w:val="52AA4A52"/>
    <w:rsid w:val="539D3AD1"/>
    <w:rsid w:val="5789732C"/>
    <w:rsid w:val="59943D66"/>
    <w:rsid w:val="59E051FD"/>
    <w:rsid w:val="59E6355E"/>
    <w:rsid w:val="5B821531"/>
    <w:rsid w:val="5B9E2C7A"/>
    <w:rsid w:val="5BFF6039"/>
    <w:rsid w:val="5C3624AB"/>
    <w:rsid w:val="5D76A616"/>
    <w:rsid w:val="5D7F20B9"/>
    <w:rsid w:val="5DAC7D0E"/>
    <w:rsid w:val="5F98B5AF"/>
    <w:rsid w:val="5FFE8511"/>
    <w:rsid w:val="5FFEACE2"/>
    <w:rsid w:val="609D5BF6"/>
    <w:rsid w:val="61073070"/>
    <w:rsid w:val="61B9080E"/>
    <w:rsid w:val="61DF3FED"/>
    <w:rsid w:val="62606CE8"/>
    <w:rsid w:val="642B176B"/>
    <w:rsid w:val="643EE26D"/>
    <w:rsid w:val="656019A0"/>
    <w:rsid w:val="65E71B46"/>
    <w:rsid w:val="65F242EE"/>
    <w:rsid w:val="666D7E19"/>
    <w:rsid w:val="68376930"/>
    <w:rsid w:val="68F91E38"/>
    <w:rsid w:val="6B3158B9"/>
    <w:rsid w:val="6BA02A3F"/>
    <w:rsid w:val="6C105349"/>
    <w:rsid w:val="6C1E5A53"/>
    <w:rsid w:val="6F5C41AC"/>
    <w:rsid w:val="6FAF6C78"/>
    <w:rsid w:val="716167CC"/>
    <w:rsid w:val="71883D59"/>
    <w:rsid w:val="718A7AD1"/>
    <w:rsid w:val="72A44BC2"/>
    <w:rsid w:val="7317C656"/>
    <w:rsid w:val="73266165"/>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7"/>
    <w:qFormat/>
    <w:uiPriority w:val="0"/>
    <w:rPr>
      <w:rFonts w:ascii="Times New Roman" w:hAnsi="Times New Roman" w:eastAsia="宋体" w:cs="Times New Roman"/>
      <w:kern w:val="2"/>
      <w:sz w:val="18"/>
      <w:szCs w:val="18"/>
    </w:rPr>
  </w:style>
  <w:style w:type="character" w:customStyle="1" w:styleId="21">
    <w:name w:val="页眉 Char"/>
    <w:basedOn w:val="15"/>
    <w:link w:val="9"/>
    <w:qFormat/>
    <w:uiPriority w:val="0"/>
    <w:rPr>
      <w:rFonts w:ascii="Times New Roman" w:hAnsi="Times New Roman" w:eastAsia="宋体" w:cs="Times New Roman"/>
      <w:kern w:val="2"/>
      <w:sz w:val="18"/>
      <w:szCs w:val="18"/>
    </w:rPr>
  </w:style>
  <w:style w:type="character" w:customStyle="1" w:styleId="22">
    <w:name w:val="批注文字 Char"/>
    <w:basedOn w:val="15"/>
    <w:link w:val="4"/>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 w:type="paragraph" w:styleId="2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1955</Words>
  <Characters>11144</Characters>
  <Lines>92</Lines>
  <Paragraphs>26</Paragraphs>
  <TotalTime>9</TotalTime>
  <ScaleCrop>false</ScaleCrop>
  <LinksUpToDate>false</LinksUpToDate>
  <CharactersWithSpaces>13073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2025-05-09T11:14:16Z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eyJoZGlkIjoiMjA4OTQwZWNjOWVjM2JjYWEyOTNlYTA0NDhjM2MyOTYifQ==</vt:lpwstr>
  </property>
</Properties>
</file>