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9D5A8">
      <w:pPr>
        <w:tabs>
          <w:tab w:val="left" w:pos="630"/>
        </w:tabs>
        <w:spacing w:line="540" w:lineRule="exact"/>
        <w:jc w:val="center"/>
        <w:rPr>
          <w:rFonts w:eastAsia="华文中宋"/>
          <w:b/>
          <w:kern w:val="0"/>
          <w:sz w:val="52"/>
          <w:szCs w:val="52"/>
        </w:rPr>
      </w:pPr>
      <w:bookmarkStart w:id="3" w:name="_GoBack"/>
      <w:bookmarkEnd w:id="3"/>
    </w:p>
    <w:p w14:paraId="2EC9C607">
      <w:pPr>
        <w:spacing w:line="540" w:lineRule="exact"/>
        <w:jc w:val="center"/>
        <w:rPr>
          <w:rFonts w:eastAsia="华文中宋"/>
          <w:b/>
          <w:kern w:val="0"/>
          <w:sz w:val="52"/>
          <w:szCs w:val="52"/>
        </w:rPr>
      </w:pPr>
    </w:p>
    <w:p w14:paraId="474C476F">
      <w:pPr>
        <w:spacing w:line="540" w:lineRule="exact"/>
        <w:jc w:val="center"/>
        <w:rPr>
          <w:rFonts w:eastAsia="华文中宋"/>
          <w:b/>
          <w:kern w:val="0"/>
          <w:sz w:val="52"/>
          <w:szCs w:val="52"/>
        </w:rPr>
      </w:pPr>
    </w:p>
    <w:p w14:paraId="0A7837DC">
      <w:pPr>
        <w:spacing w:line="540" w:lineRule="exact"/>
        <w:jc w:val="center"/>
        <w:rPr>
          <w:rFonts w:eastAsia="华文中宋"/>
          <w:b/>
          <w:kern w:val="0"/>
          <w:sz w:val="52"/>
          <w:szCs w:val="52"/>
        </w:rPr>
      </w:pPr>
    </w:p>
    <w:p w14:paraId="4F51D67C">
      <w:pPr>
        <w:spacing w:line="540" w:lineRule="exact"/>
        <w:jc w:val="center"/>
        <w:rPr>
          <w:rFonts w:eastAsia="方正小标宋_GBK"/>
          <w:kern w:val="0"/>
          <w:sz w:val="48"/>
          <w:szCs w:val="48"/>
        </w:rPr>
      </w:pPr>
      <w:r>
        <w:rPr>
          <w:rFonts w:hint="eastAsia" w:eastAsia="方正小标宋_GBK"/>
          <w:kern w:val="0"/>
          <w:sz w:val="48"/>
          <w:szCs w:val="48"/>
          <w:lang w:val="en-US" w:eastAsia="zh-CN"/>
        </w:rPr>
        <w:t>耕地地力保护补贴</w:t>
      </w:r>
      <w:r>
        <w:rPr>
          <w:rFonts w:eastAsia="方正小标宋_GBK"/>
          <w:kern w:val="0"/>
          <w:sz w:val="48"/>
          <w:szCs w:val="48"/>
        </w:rPr>
        <w:t>资金项目支出绩效</w:t>
      </w:r>
    </w:p>
    <w:p w14:paraId="584526E6">
      <w:pPr>
        <w:spacing w:line="540" w:lineRule="exact"/>
        <w:jc w:val="center"/>
        <w:rPr>
          <w:rFonts w:eastAsia="方正小标宋_GBK"/>
          <w:kern w:val="0"/>
          <w:sz w:val="48"/>
          <w:szCs w:val="48"/>
        </w:rPr>
      </w:pPr>
      <w:r>
        <w:rPr>
          <w:rFonts w:eastAsia="方正小标宋_GBK"/>
          <w:kern w:val="0"/>
          <w:sz w:val="48"/>
          <w:szCs w:val="48"/>
        </w:rPr>
        <w:t>评价报告</w:t>
      </w:r>
    </w:p>
    <w:p w14:paraId="6AF54FF5">
      <w:pPr>
        <w:spacing w:line="540" w:lineRule="exact"/>
        <w:jc w:val="center"/>
        <w:rPr>
          <w:rFonts w:eastAsia="华文中宋"/>
          <w:b/>
          <w:kern w:val="0"/>
          <w:sz w:val="52"/>
          <w:szCs w:val="52"/>
        </w:rPr>
      </w:pPr>
    </w:p>
    <w:p w14:paraId="7D8F641D">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4</w:t>
      </w:r>
      <w:r>
        <w:rPr>
          <w:rFonts w:eastAsia="仿宋_GB2312"/>
          <w:kern w:val="0"/>
          <w:sz w:val="36"/>
          <w:szCs w:val="36"/>
        </w:rPr>
        <w:t>年度）</w:t>
      </w:r>
    </w:p>
    <w:p w14:paraId="6013FDE0">
      <w:pPr>
        <w:spacing w:line="540" w:lineRule="exact"/>
        <w:jc w:val="center"/>
        <w:rPr>
          <w:rFonts w:eastAsia="仿宋_GB2312"/>
          <w:kern w:val="0"/>
          <w:sz w:val="30"/>
          <w:szCs w:val="30"/>
        </w:rPr>
      </w:pPr>
    </w:p>
    <w:p w14:paraId="42C12612">
      <w:pPr>
        <w:spacing w:line="540" w:lineRule="exact"/>
        <w:jc w:val="center"/>
        <w:rPr>
          <w:rFonts w:eastAsia="仿宋_GB2312"/>
          <w:kern w:val="0"/>
          <w:sz w:val="30"/>
          <w:szCs w:val="30"/>
        </w:rPr>
      </w:pPr>
    </w:p>
    <w:p w14:paraId="045ECA43">
      <w:pPr>
        <w:spacing w:line="540" w:lineRule="exact"/>
        <w:jc w:val="center"/>
        <w:rPr>
          <w:rFonts w:eastAsia="仿宋_GB2312"/>
          <w:kern w:val="0"/>
          <w:sz w:val="30"/>
          <w:szCs w:val="30"/>
        </w:rPr>
      </w:pPr>
    </w:p>
    <w:p w14:paraId="2770D38F">
      <w:pPr>
        <w:pStyle w:val="7"/>
      </w:pPr>
    </w:p>
    <w:p w14:paraId="500FFF50">
      <w:pPr>
        <w:spacing w:line="540" w:lineRule="exact"/>
        <w:jc w:val="center"/>
        <w:rPr>
          <w:rFonts w:eastAsia="仿宋_GB2312"/>
          <w:kern w:val="0"/>
          <w:sz w:val="30"/>
          <w:szCs w:val="30"/>
        </w:rPr>
      </w:pPr>
    </w:p>
    <w:p w14:paraId="13E738EC">
      <w:pPr>
        <w:spacing w:line="540" w:lineRule="exact"/>
        <w:rPr>
          <w:rFonts w:eastAsia="仿宋_GB2312"/>
          <w:kern w:val="0"/>
          <w:sz w:val="30"/>
          <w:szCs w:val="30"/>
        </w:rPr>
      </w:pPr>
    </w:p>
    <w:p w14:paraId="624B304E">
      <w:pPr>
        <w:spacing w:line="240" w:lineRule="auto"/>
        <w:ind w:left="3236" w:leftChars="684" w:hanging="1800" w:hangingChars="500"/>
        <w:jc w:val="left"/>
        <w:rPr>
          <w:rFonts w:hint="default" w:eastAsia="仿宋_GB2312"/>
          <w:kern w:val="0"/>
          <w:sz w:val="36"/>
          <w:szCs w:val="36"/>
          <w:lang w:val="en-US" w:eastAsia="zh-CN"/>
        </w:rPr>
      </w:pPr>
      <w:r>
        <w:rPr>
          <w:rFonts w:eastAsia="仿宋_GB2312"/>
          <w:kern w:val="0"/>
          <w:sz w:val="36"/>
          <w:szCs w:val="36"/>
        </w:rPr>
        <w:t>项目名称：</w:t>
      </w:r>
      <w:r>
        <w:rPr>
          <w:rFonts w:hint="eastAsia" w:eastAsia="仿宋_GB2312"/>
          <w:kern w:val="0"/>
          <w:sz w:val="36"/>
          <w:szCs w:val="36"/>
          <w:lang w:val="en-US" w:eastAsia="zh-CN"/>
        </w:rPr>
        <w:t>耕地地力保护补贴资金</w:t>
      </w:r>
    </w:p>
    <w:p w14:paraId="41D80696">
      <w:pPr>
        <w:spacing w:line="700" w:lineRule="exact"/>
        <w:ind w:firstLine="1440" w:firstLineChars="400"/>
        <w:jc w:val="left"/>
        <w:rPr>
          <w:rFonts w:hint="default" w:eastAsia="仿宋_GB2312"/>
          <w:kern w:val="0"/>
          <w:sz w:val="36"/>
          <w:szCs w:val="36"/>
          <w:lang w:val="en-US" w:eastAsia="zh-CN"/>
        </w:rPr>
      </w:pPr>
      <w:r>
        <w:rPr>
          <w:rFonts w:eastAsia="仿宋_GB2312"/>
          <w:kern w:val="0"/>
          <w:sz w:val="36"/>
          <w:szCs w:val="36"/>
        </w:rPr>
        <w:t>实施单位（公章）：</w:t>
      </w:r>
      <w:r>
        <w:rPr>
          <w:rFonts w:hint="eastAsia" w:eastAsia="仿宋_GB2312"/>
          <w:kern w:val="0"/>
          <w:sz w:val="36"/>
          <w:szCs w:val="36"/>
          <w:lang w:val="en-US" w:eastAsia="zh-CN"/>
        </w:rPr>
        <w:t>奇台县农业农村局</w:t>
      </w:r>
    </w:p>
    <w:p w14:paraId="6A5BFC33">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rPr>
        <w:t>奇台县</w:t>
      </w:r>
      <w:r>
        <w:rPr>
          <w:rFonts w:hint="eastAsia" w:eastAsia="仿宋_GB2312"/>
          <w:kern w:val="0"/>
          <w:sz w:val="36"/>
          <w:szCs w:val="36"/>
          <w:lang w:val="en-US" w:eastAsia="zh-CN"/>
        </w:rPr>
        <w:t>农业农村局</w:t>
      </w:r>
    </w:p>
    <w:p w14:paraId="36578CA0">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陈伯文</w:t>
      </w:r>
    </w:p>
    <w:p w14:paraId="7086CD70">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default" w:eastAsia="仿宋_GB2312"/>
          <w:kern w:val="0"/>
          <w:sz w:val="36"/>
          <w:szCs w:val="36"/>
          <w:lang w:val="en-US"/>
        </w:rPr>
        <w:t>202</w:t>
      </w:r>
      <w:r>
        <w:rPr>
          <w:rFonts w:hint="eastAsia" w:eastAsia="仿宋_GB2312"/>
          <w:kern w:val="0"/>
          <w:sz w:val="36"/>
          <w:szCs w:val="36"/>
          <w:lang w:val="en-US" w:eastAsia="zh-CN"/>
        </w:rPr>
        <w:t>5</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27</w:t>
      </w:r>
      <w:r>
        <w:rPr>
          <w:rFonts w:eastAsia="仿宋_GB2312"/>
          <w:kern w:val="0"/>
          <w:sz w:val="36"/>
          <w:szCs w:val="36"/>
        </w:rPr>
        <w:t>日</w:t>
      </w:r>
    </w:p>
    <w:p w14:paraId="6E4C3FB1">
      <w:pPr>
        <w:spacing w:line="540" w:lineRule="exact"/>
        <w:jc w:val="center"/>
        <w:rPr>
          <w:rFonts w:eastAsia="仿宋_GB2312"/>
          <w:kern w:val="0"/>
          <w:sz w:val="30"/>
          <w:szCs w:val="30"/>
        </w:rPr>
      </w:pPr>
    </w:p>
    <w:p w14:paraId="60F045AD">
      <w:pPr>
        <w:spacing w:line="540" w:lineRule="exact"/>
        <w:rPr>
          <w:rStyle w:val="12"/>
          <w:rFonts w:eastAsia="黑体"/>
          <w:b w:val="0"/>
          <w:spacing w:val="-4"/>
          <w:sz w:val="32"/>
          <w:szCs w:val="32"/>
        </w:rPr>
      </w:pPr>
    </w:p>
    <w:p w14:paraId="7D1EA0CF">
      <w:pPr>
        <w:spacing w:line="560" w:lineRule="exact"/>
        <w:ind w:firstLine="640" w:firstLineChars="200"/>
        <w:rPr>
          <w:rFonts w:eastAsia="黑体"/>
          <w:bCs/>
          <w:sz w:val="32"/>
          <w:szCs w:val="32"/>
        </w:rPr>
        <w:sectPr>
          <w:footerReference r:id="rId3" w:type="default"/>
          <w:pgSz w:w="11906" w:h="16838"/>
          <w:pgMar w:top="2098" w:right="1531" w:bottom="1984" w:left="1531" w:header="851" w:footer="992" w:gutter="0"/>
          <w:cols w:space="425" w:num="1"/>
          <w:docGrid w:type="lines" w:linePitch="312" w:charSpace="0"/>
        </w:sectPr>
      </w:pPr>
    </w:p>
    <w:p w14:paraId="014C2FC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14:paraId="0FFB110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（一）项目概况</w:t>
      </w:r>
    </w:p>
    <w:p w14:paraId="5FE09653">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1、项目背景</w:t>
      </w:r>
    </w:p>
    <w:p w14:paraId="0581313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根</w:t>
      </w:r>
      <w:r>
        <w:rPr>
          <w:rFonts w:hint="default" w:ascii="Times New Roman" w:hAnsi="Times New Roman" w:eastAsia="仿宋_GB2312" w:cs="Times New Roman"/>
          <w:sz w:val="32"/>
          <w:szCs w:val="32"/>
        </w:rPr>
        <w:t>据《2024年昌吉州耕地地力保护补贴实施方案》(</w:t>
      </w:r>
      <w:r>
        <w:rPr>
          <w:rFonts w:hint="default" w:ascii="Times New Roman" w:hAnsi="Times New Roman" w:eastAsia="仿宋_GB2312" w:cs="Times New Roman"/>
          <w:sz w:val="32"/>
          <w:szCs w:val="32"/>
          <w:lang w:val="en-US" w:eastAsia="zh-CN"/>
        </w:rPr>
        <w:t>昌州农函</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41</w:t>
      </w:r>
      <w:r>
        <w:rPr>
          <w:rFonts w:hint="default" w:ascii="Times New Roman" w:hAnsi="Times New Roman" w:eastAsia="仿宋_GB2312" w:cs="Times New Roman"/>
          <w:sz w:val="32"/>
          <w:szCs w:val="32"/>
        </w:rPr>
        <w:t>号)</w:t>
      </w:r>
      <w:r>
        <w:rPr>
          <w:rFonts w:hint="default" w:ascii="Times New Roman" w:hAnsi="Times New Roman" w:eastAsia="仿宋_GB2312" w:cs="Times New Roman"/>
          <w:sz w:val="32"/>
          <w:szCs w:val="32"/>
          <w:lang w:val="en-US" w:eastAsia="zh-CN"/>
        </w:rPr>
        <w:t>文件</w:t>
      </w:r>
      <w:r>
        <w:rPr>
          <w:rFonts w:hint="default" w:ascii="Times New Roman" w:hAnsi="Times New Roman" w:eastAsia="仿宋_GB2312" w:cs="Times New Roman"/>
          <w:sz w:val="32"/>
          <w:szCs w:val="32"/>
        </w:rPr>
        <w:t>精神，促进粮食安全生产和农民持续增收，</w:t>
      </w:r>
      <w:r>
        <w:rPr>
          <w:rFonts w:hint="default"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rPr>
        <w:t>障粮食等重要农产品有效供给，落实好耕地地力保护补贴政策</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扎实推进202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年耕地地力保护补贴工作，提高种粮农民积极性，确保粮食安全</w:t>
      </w:r>
      <w:r>
        <w:rPr>
          <w:rFonts w:hint="default" w:ascii="Times New Roman" w:hAnsi="Times New Roman" w:eastAsia="仿宋_GB2312" w:cs="Times New Roman"/>
          <w:sz w:val="32"/>
          <w:szCs w:val="32"/>
          <w:lang w:eastAsia="zh-CN"/>
        </w:rPr>
        <w:t>。</w:t>
      </w:r>
    </w:p>
    <w:p w14:paraId="2C761BC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default" w:ascii="Times New Roman" w:hAnsi="Times New Roman" w:eastAsia="仿宋_GB2312" w:cs="Times New Roman"/>
          <w:b/>
          <w:bCs/>
          <w:sz w:val="32"/>
          <w:szCs w:val="32"/>
        </w:rPr>
        <w:t>项目主要内容</w:t>
      </w:r>
    </w:p>
    <w:p w14:paraId="237990D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主要内容：完成2024年耕地地力保护补贴保护补贴及时发放，提高种粮积极性，保障粮食安全完成发放冬小麦补贴面积56.15万亩，春小麦补贴面积7.5万亩。</w:t>
      </w:r>
    </w:p>
    <w:p w14:paraId="0EFD758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实施情况：2024年核实登记冬小麦补贴面积56.15万亩，标准230元/亩，补贴总资金12915.44元，春小麦补贴面积7.5万亩，标准230元/亩，补贴资金1724.2</w:t>
      </w:r>
      <w:r>
        <w:rPr>
          <w:rFonts w:hint="eastAsia"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万元。小麦合计63.65万亩，补贴资金14639.68万元。补贴户数5943户。补贴资金拨付及时率、发放准确率均为100%，并严格执行资金预算管理，无违纪使用资金问题。耕地地力保护补贴种粮农民小麦亩均补贴收益230元,占小麦种植收益30%,达到预期效益100%。进一步增强了农民的种粮积极性，有效提高了粮食安全保障能力。</w:t>
      </w:r>
    </w:p>
    <w:p w14:paraId="2353CD6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3、资金投入和使用情况</w:t>
      </w:r>
    </w:p>
    <w:p w14:paraId="7ADFCD3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（1）资金投入情况</w:t>
      </w:r>
    </w:p>
    <w:p w14:paraId="5555B40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该项目年初预算数13950.1万元，全年预算数14640.24万元，实际总投入14639.68万元，该项目资金已全部落实到位，资金来源为财政拨款。</w:t>
      </w:r>
    </w:p>
    <w:p w14:paraId="1BB80DC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（2）资金使用情况</w:t>
      </w:r>
    </w:p>
    <w:p w14:paraId="4C9BBBC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该项目年初预算数13950.1万元，</w:t>
      </w:r>
      <w:r>
        <w:rPr>
          <w:rFonts w:hint="eastAsia" w:eastAsia="仿宋_GB2312" w:cs="Times New Roman"/>
          <w:sz w:val="32"/>
          <w:szCs w:val="32"/>
          <w:lang w:val="en-US" w:eastAsia="zh-CN"/>
        </w:rPr>
        <w:t>年中追加数690.14万元，</w:t>
      </w:r>
      <w:r>
        <w:rPr>
          <w:rFonts w:hint="default" w:ascii="Times New Roman" w:hAnsi="Times New Roman" w:eastAsia="仿宋_GB2312" w:cs="Times New Roman"/>
          <w:sz w:val="32"/>
          <w:szCs w:val="32"/>
          <w:lang w:val="en-US" w:eastAsia="zh-CN"/>
        </w:rPr>
        <w:t>全年预算数14640.24万元。全年执行数14639.68万元，预算执行率为100%，主要用于：2024年耕地地力保护补贴。</w:t>
      </w:r>
    </w:p>
    <w:p w14:paraId="0F59056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（二）项目绩效目标</w:t>
      </w:r>
    </w:p>
    <w:p w14:paraId="2FCFCEB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总体目标</w:t>
      </w:r>
    </w:p>
    <w:p w14:paraId="414BDBC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小麦补贴进一步促进农村农业的发展，助力农民增收致富，同时是对农民努力付出的认可，也是对我国种植业的积极推动。截至目前，我县总共补贴冬小麦56.15万亩，春小麦7.5万亩，，粮食安全保障能力有效提高，补贴发放及时率、准确率均达到100%，群众满意度达到90以上。</w:t>
      </w:r>
    </w:p>
    <w:p w14:paraId="072AD35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阶段性目标</w:t>
      </w:r>
    </w:p>
    <w:p w14:paraId="31FBE1D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截至2024年6月30日发放耕地地力保护补贴13655.0</w:t>
      </w:r>
      <w:r>
        <w:rPr>
          <w:rFonts w:hint="eastAsia"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万元，发放春小麦补贴面积7.5万亩，冬小麦56.0618万亩。2023年7月1日-2023年12月31日剩余补贴小麦面积和金额全部发放完毕。共发放14639.68万元，补贴面积共计63.65万亩，补贴资金拨付及时率、发放准确率均为100%。</w:t>
      </w:r>
    </w:p>
    <w:p w14:paraId="0F82B53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14:paraId="1855FFC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14:paraId="0E5FEDC7">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1.绩效评价完整性</w:t>
      </w:r>
    </w:p>
    <w:p w14:paraId="08C8FF1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本项目预算绩效评价报告在编制过程中，严格遵循相关法规与标准，确保评价内容的全面性与准确性。在评价指标体系的构建上，充分考虑了项目的性质、目标以及预期成果，选取了具有代表性和可衡量性的关键指标，涵盖项目产出数量、产出质量、产出时效和产出成本、项目效益等多个维度，力求全方位反映项目的绩效状况。同时，对于每个指标的评价标准和数据来源均进行了明确说明，确保评价结果的客观性和可追溯性。</w:t>
      </w:r>
    </w:p>
    <w:p w14:paraId="410D909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在数据收集与分析环节，</w:t>
      </w:r>
      <w:r>
        <w:rPr>
          <w:rFonts w:hint="eastAsia" w:eastAsia="仿宋_GB2312" w:cs="Times New Roman"/>
          <w:sz w:val="32"/>
          <w:szCs w:val="32"/>
          <w:lang w:val="en-US" w:eastAsia="zh-CN"/>
        </w:rPr>
        <w:t>农户自报数据，然后县级、乡镇进行抽查核实，最终确定补贴面积，发放资金，结合卫星遥感技术定位补贴地块，分析种植结构。</w:t>
      </w:r>
    </w:p>
    <w:p w14:paraId="01DA00A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本项目预算绩效评价报告在内容、方法和数据等方面均具备较高的完整性，能够真实、客观地反映项目的绩效情况，为项目管理决策提供了有价值的参考依据。</w:t>
      </w:r>
    </w:p>
    <w:p w14:paraId="6364FD1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绩效评价的目的</w:t>
      </w:r>
    </w:p>
    <w:p w14:paraId="2A39F52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3E3EE5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项目在实施前向项目负责人提供财政支出绩效方面的资金管理信息，促进项目支出严格按照资金管理规定进行。</w:t>
      </w:r>
    </w:p>
    <w:p w14:paraId="3FFEC2A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（2）项目绩效管理财政支出运行提供及时、有效的信息。</w:t>
      </w:r>
    </w:p>
    <w:p w14:paraId="57394A2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23309BA5">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3.</w:t>
      </w:r>
      <w:r>
        <w:rPr>
          <w:rFonts w:hint="default" w:ascii="Times New Roman" w:hAnsi="Times New Roman" w:eastAsia="仿宋_GB2312" w:cs="Times New Roman"/>
          <w:b/>
          <w:bCs/>
          <w:sz w:val="32"/>
          <w:szCs w:val="32"/>
        </w:rPr>
        <w:t>绩效评价的对象</w:t>
      </w:r>
    </w:p>
    <w:p w14:paraId="7922EA1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本项目预算绩效评价报告的评价对象是2024年度耕地地力保护补贴及其预算执行情况。该项目由</w:t>
      </w:r>
      <w:r>
        <w:rPr>
          <w:rFonts w:hint="default" w:ascii="Times New Roman" w:hAnsi="Times New Roman" w:eastAsia="仿宋_GB2312" w:cs="Times New Roman"/>
          <w:sz w:val="32"/>
          <w:szCs w:val="32"/>
          <w:lang w:val="en-US" w:eastAsia="zh-CN"/>
        </w:rPr>
        <w:t>奇台县农业农村局</w:t>
      </w:r>
      <w:r>
        <w:rPr>
          <w:rFonts w:hint="default" w:ascii="Times New Roman" w:hAnsi="Times New Roman" w:eastAsia="仿宋_GB2312" w:cs="Times New Roman"/>
          <w:sz w:val="32"/>
          <w:szCs w:val="32"/>
        </w:rPr>
        <w:t>负责实施，旨在</w:t>
      </w:r>
      <w:r>
        <w:rPr>
          <w:rFonts w:hint="default" w:ascii="Times New Roman" w:hAnsi="Times New Roman" w:eastAsia="仿宋_GB2312" w:cs="Times New Roman"/>
          <w:sz w:val="32"/>
          <w:szCs w:val="32"/>
          <w:lang w:val="en-US" w:eastAsia="zh-CN"/>
        </w:rPr>
        <w:t>保障粮食安全，提高农民种植收益</w:t>
      </w:r>
      <w:r>
        <w:rPr>
          <w:rFonts w:hint="default" w:ascii="Times New Roman" w:hAnsi="Times New Roman" w:eastAsia="仿宋_GB2312" w:cs="Times New Roman"/>
          <w:sz w:val="32"/>
          <w:szCs w:val="32"/>
        </w:rPr>
        <w:t>。项目预算涵盖从</w:t>
      </w:r>
      <w:r>
        <w:rPr>
          <w:rFonts w:hint="default" w:ascii="Times New Roman" w:hAnsi="Times New Roman" w:eastAsia="仿宋_GB2312" w:cs="Times New Roman"/>
          <w:sz w:val="32"/>
          <w:szCs w:val="32"/>
          <w:lang w:val="en-US" w:eastAsia="zh-CN"/>
        </w:rPr>
        <w:t>2024年1月1日</w:t>
      </w:r>
      <w:r>
        <w:rPr>
          <w:rFonts w:hint="default" w:ascii="Times New Roman" w:hAnsi="Times New Roman" w:eastAsia="仿宋_GB2312" w:cs="Times New Roman"/>
          <w:sz w:val="32"/>
          <w:szCs w:val="32"/>
        </w:rPr>
        <w:t>至</w:t>
      </w:r>
      <w:r>
        <w:rPr>
          <w:rFonts w:hint="default" w:ascii="Times New Roman" w:hAnsi="Times New Roman" w:eastAsia="仿宋_GB2312" w:cs="Times New Roman"/>
          <w:sz w:val="32"/>
          <w:szCs w:val="32"/>
          <w:lang w:val="en-US" w:eastAsia="zh-CN"/>
        </w:rPr>
        <w:t>2024年12月31日</w:t>
      </w:r>
      <w:r>
        <w:rPr>
          <w:rFonts w:hint="default" w:ascii="Times New Roman" w:hAnsi="Times New Roman" w:eastAsia="仿宋_GB2312" w:cs="Times New Roman"/>
          <w:sz w:val="32"/>
          <w:szCs w:val="32"/>
        </w:rPr>
        <w:t>的全部资金投入与支出，涉及资金总额为14639.68万元。</w:t>
      </w:r>
    </w:p>
    <w:p w14:paraId="51F6544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eastAsia" w:ascii="Times New Roman" w:hAnsi="Times New Roman" w:eastAsia="仿宋_GB2312" w:cs="Times New Roman"/>
          <w:b/>
          <w:bCs/>
          <w:sz w:val="32"/>
          <w:szCs w:val="32"/>
          <w:lang w:val="en-US" w:eastAsia="zh-CN"/>
        </w:rPr>
        <w:t>4.</w:t>
      </w:r>
      <w:r>
        <w:rPr>
          <w:rFonts w:hint="default" w:ascii="Times New Roman" w:hAnsi="Times New Roman" w:eastAsia="仿宋_GB2312" w:cs="Times New Roman"/>
          <w:b/>
          <w:bCs/>
          <w:sz w:val="32"/>
          <w:szCs w:val="32"/>
        </w:rPr>
        <w:t>绩效评价的范围</w:t>
      </w:r>
    </w:p>
    <w:p w14:paraId="1D088D1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本次评价从项目决策（包括绩效目标、决策过程）、项目管理（包括项目资金、项目实施）、项目产出（包括项目产出数量、产出质量、产出时效和产出成本）项目效益四个维度对奇台县202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年度耕地地力保护补贴</w:t>
      </w:r>
      <w:r>
        <w:rPr>
          <w:rFonts w:hint="default" w:ascii="Times New Roman" w:hAnsi="Times New Roman" w:eastAsia="仿宋_GB2312" w:cs="Times New Roman"/>
          <w:sz w:val="32"/>
          <w:szCs w:val="32"/>
          <w:lang w:val="en-US" w:eastAsia="zh-CN"/>
        </w:rPr>
        <w:t>目</w:t>
      </w:r>
      <w:r>
        <w:rPr>
          <w:rFonts w:hint="default" w:ascii="Times New Roman" w:hAnsi="Times New Roman" w:eastAsia="仿宋_GB2312" w:cs="Times New Roman"/>
          <w:sz w:val="32"/>
          <w:szCs w:val="32"/>
        </w:rPr>
        <w:t>进行评价，评价核心为专项资金的支出完成情况和效果。</w:t>
      </w:r>
    </w:p>
    <w:p w14:paraId="72D347D7">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（二）绩效评价原则、评价指标体系（详情见表1）、评价方法、评价标准。</w:t>
      </w:r>
    </w:p>
    <w:p w14:paraId="70D3B56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绩效评价原则</w:t>
      </w:r>
    </w:p>
    <w:p w14:paraId="08E468A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本次项目绩效评价遵循以下基本原则：</w:t>
      </w:r>
    </w:p>
    <w:p w14:paraId="4B1DA64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（1）科学公正。绩效评价应当运用科学合理的方法，按照规范的程序，对项目绩效进行客观、公正的反映。</w:t>
      </w:r>
    </w:p>
    <w:p w14:paraId="2DCF476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（2）统筹兼顾。单位自评、部门评价和财政评价应职责明确，各有侧重，相互衔接。单位自评应由项目单位自主实施，即“谁支出、谁自评”。部门评价和财政评价应在单位自评的基础上开展。</w:t>
      </w:r>
    </w:p>
    <w:p w14:paraId="4443B25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（3）激励约束。绩效评价结果应与预算安排、政策调整、改进管理实质性挂钩，体现奖优罚劣和激励相容导向，有效要安排、低效要压减、无效要问责。</w:t>
      </w:r>
    </w:p>
    <w:p w14:paraId="655D4D2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（4）公开透明。绩效评价结果应依法依规公开，并自觉接受社会监督。</w:t>
      </w:r>
    </w:p>
    <w:p w14:paraId="68F806F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评价指标体系</w:t>
      </w:r>
    </w:p>
    <w:p w14:paraId="02D36CD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绩效评价框架是开展绩效评价的核心。绩效评价框架包括评价准则、关键评价问题、评价指标、数据来源、数据收集方法等。指标体系建立过程如下：</w:t>
      </w:r>
    </w:p>
    <w:p w14:paraId="62748FD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（1）确定评价指标</w:t>
      </w:r>
    </w:p>
    <w:p w14:paraId="68C6BF3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7A0456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（2）确定权重</w:t>
      </w:r>
    </w:p>
    <w:p w14:paraId="4D594908">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确定各个指标相对于项目总体绩效的权重分值。在绩效评价指标体系中，项目决策权重为20分，项目过程权重为20分，项目产出权重为40分，项目效益权重为20分。</w:t>
      </w:r>
    </w:p>
    <w:p w14:paraId="0EBC7C5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14:paraId="3431A34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14:paraId="23FF6E9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kern w:val="2"/>
          <w:sz w:val="32"/>
          <w:szCs w:val="32"/>
          <w:lang w:val="en-US" w:eastAsia="zh-CN" w:bidi="ar-SA"/>
        </w:rPr>
        <w:t>绩效评价总分值100分，根据综合评分结果，90（含）-100分为优、80（含）-90分为良、60（含）-80分为中、60分以下为差</w:t>
      </w:r>
    </w:p>
    <w:p w14:paraId="0B20032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具体评价指标体系详情见附件1</w:t>
      </w:r>
    </w:p>
    <w:p w14:paraId="570DCA6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绩效评价方法</w:t>
      </w:r>
    </w:p>
    <w:p w14:paraId="6ADB533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绩效评价从项目决策、项目过程、项目产出、项目效益四个维度进行评价。评价对象为项目目标实施情况，评价核心为资金的支出完成情况和项目的产出效益。</w:t>
      </w:r>
    </w:p>
    <w:p w14:paraId="767F342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本次评价指标中，既有定性指标又有定量指标，各类指标因考核内容不同和客观标准不同存在较大差异，因此核定具体指标时采用了不同方法，具体评价方法如下：</w:t>
      </w:r>
    </w:p>
    <w:p w14:paraId="531A2FB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（1）比较法</w:t>
      </w:r>
    </w:p>
    <w:p w14:paraId="47B4DAE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通过对绩效目标与实施效果、历史与当期情况，综合分析绩效目标实现程度。对项目最终验收情况与年度绩效目标对比、预算资金执行情况等相关因素进行比较。</w:t>
      </w:r>
    </w:p>
    <w:p w14:paraId="4E6C911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（2）因素分析法</w:t>
      </w:r>
    </w:p>
    <w:p w14:paraId="4AEF6EA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2B610BA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评价标准</w:t>
      </w:r>
    </w:p>
    <w:p w14:paraId="64C8710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sz w:val="32"/>
          <w:szCs w:val="32"/>
          <w:lang w:val="en-US" w:eastAsia="zh-CN"/>
        </w:rPr>
        <w:t>计划</w:t>
      </w:r>
      <w:r>
        <w:rPr>
          <w:rFonts w:hint="default" w:ascii="Times New Roman" w:hAnsi="Times New Roman" w:eastAsia="仿宋_GB2312" w:cs="Times New Roman"/>
          <w:sz w:val="32"/>
          <w:szCs w:val="32"/>
        </w:rPr>
        <w:t>标准。</w:t>
      </w:r>
    </w:p>
    <w:p w14:paraId="7226CA3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绩效评价工作过程</w:t>
      </w:r>
    </w:p>
    <w:p w14:paraId="3082C8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2F798A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501A19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7695CBD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综合评价情况及评价结论（附相关评分表）</w:t>
      </w:r>
    </w:p>
    <w:p w14:paraId="3405157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评价情况</w:t>
      </w:r>
    </w:p>
    <w:p w14:paraId="153AB5C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本项目的综合评价基于对项目各方面绩效的深入分析与评估。从项目目标的达成情况来看，</w:t>
      </w:r>
      <w:r>
        <w:rPr>
          <w:rFonts w:hint="default" w:ascii="Times New Roman" w:hAnsi="Times New Roman" w:eastAsia="仿宋_GB2312" w:cs="Times New Roman"/>
          <w:sz w:val="32"/>
          <w:szCs w:val="32"/>
          <w:lang w:val="en-US" w:eastAsia="zh-CN"/>
        </w:rPr>
        <w:t>2024年耕地地力保护补贴项目</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val="en-US" w:eastAsia="zh-CN"/>
        </w:rPr>
        <w:t>冬小麦补贴面积</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春小麦补贴面积</w:t>
      </w:r>
      <w:r>
        <w:rPr>
          <w:rFonts w:hint="default" w:ascii="Times New Roman" w:hAnsi="Times New Roman" w:eastAsia="仿宋_GB2312" w:cs="Times New Roman"/>
          <w:sz w:val="32"/>
          <w:szCs w:val="32"/>
        </w:rPr>
        <w:t>]等方面表现出色，达到了预期的标准与要求。同时，项目也在</w:t>
      </w:r>
      <w:r>
        <w:rPr>
          <w:rFonts w:hint="default" w:ascii="Times New Roman" w:hAnsi="Times New Roman" w:eastAsia="仿宋_GB2312" w:cs="Times New Roman"/>
          <w:sz w:val="32"/>
          <w:szCs w:val="32"/>
          <w:lang w:val="en-US" w:eastAsia="zh-CN"/>
        </w:rPr>
        <w:t>保障粮食安全，促进农民收益，</w:t>
      </w:r>
      <w:r>
        <w:rPr>
          <w:rFonts w:hint="default" w:ascii="Times New Roman" w:hAnsi="Times New Roman" w:eastAsia="仿宋_GB2312" w:cs="Times New Roman"/>
          <w:sz w:val="32"/>
          <w:szCs w:val="32"/>
        </w:rPr>
        <w:t>取得了显著的成效，如</w:t>
      </w:r>
      <w:r>
        <w:rPr>
          <w:rFonts w:hint="default" w:ascii="Times New Roman" w:hAnsi="Times New Roman" w:eastAsia="仿宋_GB2312" w:cs="Times New Roman"/>
          <w:sz w:val="32"/>
          <w:szCs w:val="32"/>
          <w:lang w:val="en-US" w:eastAsia="zh-CN"/>
        </w:rPr>
        <w:t>小麦每亩补贴230元</w:t>
      </w:r>
      <w:r>
        <w:rPr>
          <w:rFonts w:hint="default" w:ascii="Times New Roman" w:hAnsi="Times New Roman" w:eastAsia="仿宋_GB2312" w:cs="Times New Roman"/>
          <w:sz w:val="32"/>
          <w:szCs w:val="32"/>
        </w:rPr>
        <w:t>。</w:t>
      </w:r>
    </w:p>
    <w:p w14:paraId="738D9CE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在项目管理方面，[</w:t>
      </w:r>
      <w:r>
        <w:rPr>
          <w:rFonts w:hint="default" w:ascii="Times New Roman" w:hAnsi="Times New Roman" w:eastAsia="仿宋_GB2312" w:cs="Times New Roman"/>
          <w:sz w:val="32"/>
          <w:szCs w:val="32"/>
          <w:lang w:val="en-US" w:eastAsia="zh-CN"/>
        </w:rPr>
        <w:t>奇台县农业农村局</w:t>
      </w:r>
      <w:r>
        <w:rPr>
          <w:rFonts w:hint="default" w:ascii="Times New Roman" w:hAnsi="Times New Roman" w:eastAsia="仿宋_GB2312" w:cs="Times New Roman"/>
          <w:sz w:val="32"/>
          <w:szCs w:val="32"/>
        </w:rPr>
        <w:t>]通过有效的规划、组织与协调，项目得以顺利实施，并在预算与时间上保持了良好的控制。</w:t>
      </w:r>
    </w:p>
    <w:p w14:paraId="0CF3569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从项目效益的角度来看，本项目不仅实现了预期的社会效益方面产生了积极的影响。具体而言，</w:t>
      </w:r>
      <w:r>
        <w:rPr>
          <w:rFonts w:hint="default" w:ascii="Times New Roman" w:hAnsi="Times New Roman" w:eastAsia="仿宋_GB2312" w:cs="Times New Roman"/>
          <w:sz w:val="32"/>
          <w:szCs w:val="32"/>
          <w:lang w:val="en-US" w:eastAsia="zh-CN"/>
        </w:rPr>
        <w:t>粮食安全保障能力</w:t>
      </w:r>
      <w:r>
        <w:rPr>
          <w:rFonts w:hint="default" w:ascii="Times New Roman" w:hAnsi="Times New Roman" w:eastAsia="仿宋_GB2312" w:cs="Times New Roman"/>
          <w:sz w:val="32"/>
          <w:szCs w:val="32"/>
        </w:rPr>
        <w:t>方面的提升，为项目的利益相关者带来了实实在在的利益。</w:t>
      </w:r>
    </w:p>
    <w:p w14:paraId="7AEB83F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综上所述，</w:t>
      </w:r>
      <w:r>
        <w:rPr>
          <w:rFonts w:hint="default" w:ascii="Times New Roman" w:hAnsi="Times New Roman" w:eastAsia="仿宋_GB2312" w:cs="Times New Roman"/>
          <w:sz w:val="32"/>
          <w:szCs w:val="32"/>
          <w:lang w:val="en-US" w:eastAsia="zh-CN"/>
        </w:rPr>
        <w:t>2024年耕地地力保护补贴项目</w:t>
      </w:r>
      <w:r>
        <w:rPr>
          <w:rFonts w:hint="default" w:ascii="Times New Roman" w:hAnsi="Times New Roman" w:eastAsia="仿宋_GB2312" w:cs="Times New Roman"/>
          <w:sz w:val="32"/>
          <w:szCs w:val="32"/>
        </w:rPr>
        <w:t>在绩效评价中表现出色，达到了项目的预期目标，并在多个方面取得了显著的成效。</w:t>
      </w:r>
    </w:p>
    <w:p w14:paraId="2B96039D">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评价结论</w:t>
      </w:r>
    </w:p>
    <w:p w14:paraId="3BB1EC3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分，属于“优”。其中，项目决策类指标权重为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rPr>
        <w:t>100</w:t>
      </w:r>
      <w:r>
        <w:rPr>
          <w:rFonts w:hint="default" w:ascii="Times New Roman" w:hAnsi="Times New Roman" w:eastAsia="仿宋_GB2312" w:cs="Times New Roman"/>
          <w:sz w:val="32"/>
          <w:szCs w:val="32"/>
        </w:rPr>
        <w:t>%。项目过程类指标权重为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分，得分为</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rPr>
        <w:t>100</w:t>
      </w:r>
      <w:r>
        <w:rPr>
          <w:rFonts w:hint="default" w:ascii="Times New Roman" w:hAnsi="Times New Roman" w:eastAsia="仿宋_GB2312" w:cs="Times New Roman"/>
          <w:sz w:val="32"/>
          <w:szCs w:val="32"/>
        </w:rPr>
        <w:t>%。项目产出类指标权重为</w:t>
      </w:r>
      <w:r>
        <w:rPr>
          <w:rFonts w:hint="default"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rPr>
        <w:t>分，得分为</w:t>
      </w:r>
      <w:r>
        <w:rPr>
          <w:rFonts w:hint="default"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%。项目效益类指标权重为</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0分，得分为</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rPr>
        <w:t>0</w:t>
      </w:r>
      <w:r>
        <w:rPr>
          <w:rFonts w:hint="default" w:ascii="Times New Roman" w:hAnsi="Times New Roman" w:eastAsia="仿宋_GB2312" w:cs="Times New Roman"/>
          <w:sz w:val="32"/>
          <w:szCs w:val="32"/>
        </w:rPr>
        <w:t>分，得分率为</w:t>
      </w:r>
      <w:r>
        <w:rPr>
          <w:rFonts w:hint="default" w:ascii="Times New Roman" w:hAnsi="Times New Roman" w:eastAsia="仿宋_GB2312" w:cs="Times New Roman"/>
          <w:sz w:val="32"/>
          <w:szCs w:val="32"/>
          <w:lang w:val="en-US"/>
        </w:rPr>
        <w:t>100</w:t>
      </w:r>
      <w:r>
        <w:rPr>
          <w:rFonts w:hint="default" w:ascii="Times New Roman" w:hAnsi="Times New Roman" w:eastAsia="仿宋_GB2312" w:cs="Times New Roman"/>
          <w:sz w:val="32"/>
          <w:szCs w:val="32"/>
        </w:rPr>
        <w:t>%。具体打分情况详见：附件1综合评分表</w:t>
      </w:r>
      <w:r>
        <w:rPr>
          <w:rFonts w:hint="default" w:ascii="Times New Roman" w:hAnsi="Times New Roman" w:eastAsia="仿宋_GB2312" w:cs="Times New Roman"/>
          <w:sz w:val="32"/>
          <w:szCs w:val="32"/>
          <w:lang w:eastAsia="zh-CN"/>
        </w:rPr>
        <w:t>。</w:t>
      </w:r>
    </w:p>
    <w:p w14:paraId="1375343A">
      <w:pPr>
        <w:pStyle w:val="7"/>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14:paraId="79EC0FA2">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B0E17C6">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CFD5286">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F3254C5">
            <w:pPr>
              <w:jc w:val="center"/>
              <w:rPr>
                <w:b/>
                <w:bCs/>
                <w:color w:val="000000"/>
                <w:sz w:val="22"/>
              </w:rPr>
            </w:pPr>
            <w:r>
              <w:rPr>
                <w:rFonts w:hint="eastAsia"/>
                <w:b/>
                <w:bCs/>
                <w:color w:val="000000"/>
                <w:sz w:val="22"/>
              </w:rPr>
              <w:t>得分</w:t>
            </w:r>
          </w:p>
        </w:tc>
      </w:tr>
      <w:tr w14:paraId="6FCB625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BD5AF04">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72E0780A">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D948889">
            <w:pPr>
              <w:jc w:val="center"/>
              <w:rPr>
                <w:rFonts w:hint="default" w:eastAsia="宋体"/>
                <w:color w:val="000000"/>
                <w:sz w:val="22"/>
                <w:lang w:val="en-US" w:eastAsia="zh-CN"/>
              </w:rPr>
            </w:pPr>
            <w:r>
              <w:rPr>
                <w:rFonts w:hint="eastAsia"/>
                <w:color w:val="000000"/>
                <w:sz w:val="22"/>
                <w:lang w:val="en-US" w:eastAsia="zh-CN"/>
              </w:rPr>
              <w:t>20%</w:t>
            </w:r>
          </w:p>
        </w:tc>
      </w:tr>
      <w:tr w14:paraId="423641D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E5A9D42">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2F72E6F7">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3479924">
            <w:pPr>
              <w:jc w:val="center"/>
              <w:rPr>
                <w:rFonts w:hint="default" w:eastAsia="宋体"/>
                <w:color w:val="000000"/>
                <w:sz w:val="22"/>
                <w:lang w:val="en-US" w:eastAsia="zh-CN"/>
              </w:rPr>
            </w:pPr>
            <w:r>
              <w:rPr>
                <w:rFonts w:hint="eastAsia"/>
                <w:color w:val="000000"/>
                <w:sz w:val="22"/>
                <w:lang w:val="en-US" w:eastAsia="zh-CN"/>
              </w:rPr>
              <w:t>20%</w:t>
            </w:r>
          </w:p>
        </w:tc>
      </w:tr>
      <w:tr w14:paraId="60AC4F8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83F8EA4">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3C2B10C1">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42480192">
            <w:pPr>
              <w:jc w:val="center"/>
              <w:rPr>
                <w:rFonts w:hint="default" w:eastAsia="宋体"/>
                <w:color w:val="000000"/>
                <w:sz w:val="22"/>
                <w:lang w:val="en-US" w:eastAsia="zh-CN"/>
              </w:rPr>
            </w:pPr>
            <w:r>
              <w:rPr>
                <w:rFonts w:hint="eastAsia"/>
                <w:color w:val="000000"/>
                <w:sz w:val="22"/>
                <w:lang w:val="en-US" w:eastAsia="zh-CN"/>
              </w:rPr>
              <w:t>40%</w:t>
            </w:r>
          </w:p>
        </w:tc>
      </w:tr>
      <w:tr w14:paraId="514547A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0E395E1">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32970DEA">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95B3E96">
            <w:pPr>
              <w:jc w:val="center"/>
              <w:rPr>
                <w:rFonts w:hint="default" w:eastAsia="宋体"/>
                <w:color w:val="000000"/>
                <w:sz w:val="22"/>
                <w:lang w:val="en-US" w:eastAsia="zh-CN"/>
              </w:rPr>
            </w:pPr>
            <w:r>
              <w:rPr>
                <w:rFonts w:hint="eastAsia"/>
                <w:color w:val="000000"/>
                <w:sz w:val="22"/>
                <w:lang w:val="en-US" w:eastAsia="zh-CN"/>
              </w:rPr>
              <w:t>20%</w:t>
            </w:r>
          </w:p>
        </w:tc>
      </w:tr>
      <w:tr w14:paraId="249CCA1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54729A4">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68AC928C">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4470D75">
            <w:pPr>
              <w:jc w:val="center"/>
              <w:rPr>
                <w:rFonts w:hint="default" w:eastAsia="宋体"/>
                <w:b/>
                <w:bCs/>
                <w:color w:val="000000"/>
                <w:sz w:val="22"/>
                <w:lang w:val="en-US" w:eastAsia="zh-CN"/>
              </w:rPr>
            </w:pPr>
            <w:r>
              <w:rPr>
                <w:rFonts w:hint="eastAsia"/>
                <w:b/>
                <w:bCs/>
                <w:color w:val="000000"/>
                <w:sz w:val="22"/>
                <w:lang w:val="en-US" w:eastAsia="zh-CN"/>
              </w:rPr>
              <w:t>100%</w:t>
            </w:r>
          </w:p>
        </w:tc>
      </w:tr>
    </w:tbl>
    <w:p w14:paraId="3723353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14:paraId="27A81BD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（一）项目决策情况</w:t>
      </w:r>
    </w:p>
    <w:p w14:paraId="4F2B5AC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项目决策类指标包括项目立项、绩效目标和资金投入三方面的内容，由6个三级指标构成，权重分值为20分，实际得分20分，得分率为100%。</w:t>
      </w:r>
    </w:p>
    <w:p w14:paraId="17281547">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33AB244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21A5333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0951F4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946A9E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风险评估、绩效评估、集体决策，保障了程序的规范性。</w:t>
      </w:r>
    </w:p>
    <w:p w14:paraId="21FFF478">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20497EF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07CB8D0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48FB71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70C73D2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B02824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7036757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28057D5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预算编制经过科学论证，提供充分的测算依据佐证资料，预算内容与项目内容相匹配。项目投资额与工作任务相匹配。</w:t>
      </w:r>
    </w:p>
    <w:p w14:paraId="3F86B31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（2）资金分配合理性</w:t>
      </w:r>
    </w:p>
    <w:p w14:paraId="43798D3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资金分配额度与项目单位实际工作内容相适应，资金分配额度合理，资金分配依据充分。</w:t>
      </w:r>
    </w:p>
    <w:p w14:paraId="0B93E9EC">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rPr>
        <w:t>项目过程情况</w:t>
      </w:r>
    </w:p>
    <w:p w14:paraId="2386196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项目过程类指标包括资金管理和组织实施两方面的内容，由5个三级指标构成，权重分值为20分，实际得分20分，得分率为100%。</w:t>
      </w:r>
    </w:p>
    <w:p w14:paraId="5A440A10">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4EFD86C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EA8C1E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本项目总投资14640.24万元，财政资金及时足额到位，到位率100%，预算资金按计划进度执行。</w:t>
      </w:r>
    </w:p>
    <w:p w14:paraId="23218B6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53FF883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预算编制较为详细，项目资金支出总体能够按照预算执行，预算资金支出14639.68元，预算执行率为100%。</w:t>
      </w:r>
    </w:p>
    <w:p w14:paraId="2920019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资金使用合规性</w:t>
      </w:r>
    </w:p>
    <w:p w14:paraId="77A0EF9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的资金使用严格遵循了国家相关法律法规与财务制度，确保了资金的合规性与安全性。在资金使用过程中，我们建立了完善的财务管理体系，对资金的流动进行了全程监控与记录。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955A22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294C89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5A61998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3302869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374B1F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52250A3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3FAD010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lang w:eastAsia="zh-CN"/>
        </w:rPr>
        <w:t>）</w:t>
      </w:r>
      <w:r>
        <w:rPr>
          <w:rFonts w:hint="eastAsia" w:ascii="楷体" w:hAnsi="楷体" w:eastAsia="楷体" w:cs="楷体"/>
          <w:b/>
          <w:bCs/>
          <w:sz w:val="32"/>
          <w:szCs w:val="32"/>
        </w:rPr>
        <w:t>项目产出</w:t>
      </w:r>
      <w:r>
        <w:rPr>
          <w:rFonts w:hint="eastAsia" w:ascii="楷体" w:hAnsi="楷体" w:eastAsia="楷体" w:cs="楷体"/>
          <w:b/>
          <w:bCs/>
          <w:sz w:val="32"/>
          <w:szCs w:val="32"/>
          <w:lang w:val="en-US" w:eastAsia="zh-CN"/>
        </w:rPr>
        <w:t>情况</w:t>
      </w:r>
    </w:p>
    <w:p w14:paraId="37BA4E5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项目产出类指标包括产出数量、产出质量、产出时效、产出成本四方面的内容，由5个三级指标构成，权重分为40分，实际得分</w:t>
      </w:r>
      <w:r>
        <w:rPr>
          <w:rFonts w:hint="default" w:ascii="Times New Roman" w:hAnsi="Times New Roman" w:eastAsia="仿宋_GB2312" w:cs="Times New Roman"/>
          <w:sz w:val="32"/>
          <w:szCs w:val="32"/>
          <w:lang w:eastAsia="zh-CN"/>
        </w:rPr>
        <w:t>40</w:t>
      </w:r>
      <w:r>
        <w:rPr>
          <w:rFonts w:hint="default" w:ascii="Times New Roman" w:hAnsi="Times New Roman" w:eastAsia="仿宋_GB2312" w:cs="Times New Roman"/>
          <w:sz w:val="32"/>
          <w:szCs w:val="32"/>
          <w:lang w:val="en-US" w:eastAsia="zh-CN"/>
        </w:rPr>
        <w:t>分，得分率为</w:t>
      </w:r>
      <w:r>
        <w:rPr>
          <w:rFonts w:hint="default" w:ascii="Times New Roman" w:hAnsi="Times New Roman" w:eastAsia="仿宋_GB2312" w:cs="Times New Roman"/>
          <w:sz w:val="32"/>
          <w:szCs w:val="32"/>
          <w:lang w:eastAsia="zh-CN"/>
        </w:rPr>
        <w:t>100</w:t>
      </w:r>
      <w:r>
        <w:rPr>
          <w:rFonts w:hint="default" w:ascii="Times New Roman" w:hAnsi="Times New Roman" w:eastAsia="仿宋_GB2312" w:cs="Times New Roman"/>
          <w:sz w:val="32"/>
          <w:szCs w:val="32"/>
          <w:lang w:val="en-US" w:eastAsia="zh-CN"/>
        </w:rPr>
        <w:t>%。具体产出指标完成情况如下：</w:t>
      </w:r>
    </w:p>
    <w:p w14:paraId="3764359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fldChar w:fldCharType="begin"/>
      </w:r>
      <w:r>
        <w:rPr>
          <w:rFonts w:hint="default" w:ascii="Times New Roman" w:hAnsi="Times New Roman" w:eastAsia="仿宋_GB2312" w:cs="Times New Roman"/>
          <w:sz w:val="32"/>
          <w:szCs w:val="32"/>
          <w:lang w:val="en-US" w:eastAsia="zh-CN"/>
        </w:rPr>
        <w:instrText xml:space="preserve"> = 1 \* GB3 </w:instrText>
      </w:r>
      <w:r>
        <w:rPr>
          <w:rFonts w:hint="default" w:ascii="Times New Roman" w:hAnsi="Times New Roman" w:eastAsia="仿宋_GB2312" w:cs="Times New Roman"/>
          <w:sz w:val="32"/>
          <w:szCs w:val="32"/>
          <w:lang w:val="en-US" w:eastAsia="zh-CN"/>
        </w:rPr>
        <w:fldChar w:fldCharType="separate"/>
      </w:r>
      <w:r>
        <w:rPr>
          <w:rFonts w:hint="default" w:ascii="Times New Roman" w:hAnsi="Times New Roman" w:eastAsia="仿宋_GB2312" w:cs="Times New Roman"/>
          <w:sz w:val="32"/>
          <w:szCs w:val="32"/>
          <w:lang w:val="en-US" w:eastAsia="zh-CN"/>
        </w:rPr>
        <w:t>①</w:t>
      </w:r>
      <w:r>
        <w:rPr>
          <w:rFonts w:hint="default" w:ascii="Times New Roman" w:hAnsi="Times New Roman" w:eastAsia="仿宋_GB2312" w:cs="Times New Roman"/>
          <w:sz w:val="32"/>
          <w:szCs w:val="32"/>
          <w:lang w:val="en-US" w:eastAsia="zh-CN"/>
        </w:rPr>
        <w:fldChar w:fldCharType="end"/>
      </w:r>
      <w:r>
        <w:rPr>
          <w:rFonts w:hint="default" w:ascii="Times New Roman" w:hAnsi="Times New Roman" w:eastAsia="仿宋_GB2312" w:cs="Times New Roman"/>
          <w:sz w:val="32"/>
          <w:szCs w:val="32"/>
          <w:lang w:val="en-US" w:eastAsia="zh-CN"/>
        </w:rPr>
        <w:t>数量指标：</w:t>
      </w:r>
    </w:p>
    <w:p w14:paraId="434E274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指标1：</w:t>
      </w:r>
      <w:r>
        <w:rPr>
          <w:rFonts w:hint="default" w:ascii="Times New Roman" w:hAnsi="Times New Roman" w:eastAsia="仿宋_GB2312" w:cs="Times New Roman"/>
          <w:sz w:val="32"/>
          <w:szCs w:val="32"/>
          <w:lang w:val="en-US" w:eastAsia="zh-CN"/>
        </w:rPr>
        <w:t>冬小麦补贴面积</w:t>
      </w:r>
      <w:r>
        <w:rPr>
          <w:rFonts w:hint="default" w:ascii="Times New Roman" w:hAnsi="Times New Roman" w:eastAsia="仿宋_GB2312" w:cs="Times New Roman"/>
          <w:sz w:val="32"/>
          <w:szCs w:val="32"/>
        </w:rPr>
        <w:t>：&gt;</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rPr>
        <w:t>56.15</w:t>
      </w:r>
      <w:r>
        <w:rPr>
          <w:rFonts w:hint="default" w:ascii="Times New Roman" w:hAnsi="Times New Roman" w:eastAsia="仿宋_GB2312" w:cs="Times New Roman"/>
          <w:sz w:val="32"/>
          <w:szCs w:val="32"/>
          <w:lang w:val="en-US" w:eastAsia="zh-CN"/>
        </w:rPr>
        <w:t>万亩</w:t>
      </w:r>
      <w:r>
        <w:rPr>
          <w:rFonts w:hint="default" w:ascii="Times New Roman" w:hAnsi="Times New Roman" w:eastAsia="仿宋_GB2312" w:cs="Times New Roman"/>
          <w:sz w:val="32"/>
          <w:szCs w:val="32"/>
        </w:rPr>
        <w:t>，实际完成值：56.15</w:t>
      </w:r>
      <w:r>
        <w:rPr>
          <w:rFonts w:hint="default" w:ascii="Times New Roman" w:hAnsi="Times New Roman" w:eastAsia="仿宋_GB2312" w:cs="Times New Roman"/>
          <w:sz w:val="32"/>
          <w:szCs w:val="32"/>
          <w:lang w:val="en-US" w:eastAsia="zh-CN"/>
        </w:rPr>
        <w:t>万亩</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rPr>
        <w:t>100</w:t>
      </w:r>
      <w:r>
        <w:rPr>
          <w:rFonts w:hint="default" w:ascii="Times New Roman" w:hAnsi="Times New Roman" w:eastAsia="仿宋_GB2312" w:cs="Times New Roman"/>
          <w:sz w:val="32"/>
          <w:szCs w:val="32"/>
        </w:rPr>
        <w:t>%。</w:t>
      </w:r>
    </w:p>
    <w:p w14:paraId="1D2CE9A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指标2：春小麦补贴面积：&gt;=</w:t>
      </w:r>
      <w:r>
        <w:rPr>
          <w:rFonts w:hint="default" w:ascii="Times New Roman" w:hAnsi="Times New Roman" w:eastAsia="仿宋_GB2312" w:cs="Times New Roman"/>
          <w:sz w:val="32"/>
          <w:szCs w:val="32"/>
          <w:lang w:eastAsia="zh-CN"/>
        </w:rPr>
        <w:t>7.5</w:t>
      </w:r>
      <w:r>
        <w:rPr>
          <w:rFonts w:hint="default" w:ascii="Times New Roman" w:hAnsi="Times New Roman" w:eastAsia="仿宋_GB2312" w:cs="Times New Roman"/>
          <w:sz w:val="32"/>
          <w:szCs w:val="32"/>
          <w:lang w:val="en-US" w:eastAsia="zh-CN"/>
        </w:rPr>
        <w:t>万亩，实际完成值：</w:t>
      </w:r>
      <w:r>
        <w:rPr>
          <w:rFonts w:hint="default" w:ascii="Times New Roman" w:hAnsi="Times New Roman" w:eastAsia="仿宋_GB2312" w:cs="Times New Roman"/>
          <w:sz w:val="32"/>
          <w:szCs w:val="32"/>
          <w:lang w:eastAsia="zh-CN"/>
        </w:rPr>
        <w:t>7.5</w:t>
      </w:r>
      <w:r>
        <w:rPr>
          <w:rFonts w:hint="default" w:ascii="Times New Roman" w:hAnsi="Times New Roman" w:eastAsia="仿宋_GB2312" w:cs="Times New Roman"/>
          <w:sz w:val="32"/>
          <w:szCs w:val="32"/>
          <w:lang w:val="en-US" w:eastAsia="zh-CN"/>
        </w:rPr>
        <w:t>万亩，指标完成率</w:t>
      </w:r>
      <w:r>
        <w:rPr>
          <w:rFonts w:hint="default" w:ascii="Times New Roman" w:hAnsi="Times New Roman" w:eastAsia="仿宋_GB2312" w:cs="Times New Roman"/>
          <w:sz w:val="32"/>
          <w:szCs w:val="32"/>
          <w:lang w:eastAsia="zh-CN"/>
        </w:rPr>
        <w:t>100</w:t>
      </w:r>
      <w:r>
        <w:rPr>
          <w:rFonts w:hint="default" w:ascii="Times New Roman" w:hAnsi="Times New Roman" w:eastAsia="仿宋_GB2312" w:cs="Times New Roman"/>
          <w:sz w:val="32"/>
          <w:szCs w:val="32"/>
          <w:lang w:val="en-US" w:eastAsia="zh-CN"/>
        </w:rPr>
        <w:t>%。</w:t>
      </w:r>
    </w:p>
    <w:p w14:paraId="7472196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2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②</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质量指标：</w:t>
      </w:r>
    </w:p>
    <w:p w14:paraId="6913E3E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指标1：</w:t>
      </w:r>
      <w:r>
        <w:rPr>
          <w:rFonts w:hint="default" w:ascii="Times New Roman" w:hAnsi="Times New Roman" w:eastAsia="仿宋_GB2312" w:cs="Times New Roman"/>
          <w:sz w:val="32"/>
          <w:szCs w:val="32"/>
          <w:lang w:val="en-US" w:eastAsia="zh-CN"/>
        </w:rPr>
        <w:t>补贴发放准确率（%）</w:t>
      </w:r>
      <w:r>
        <w:rPr>
          <w:rFonts w:hint="default" w:ascii="Times New Roman" w:hAnsi="Times New Roman" w:eastAsia="仿宋_GB2312" w:cs="Times New Roman"/>
          <w:sz w:val="32"/>
          <w:szCs w:val="32"/>
        </w:rPr>
        <w:t>，指标值：=100%，实际完成值：100%，指标完成率</w:t>
      </w:r>
      <w:r>
        <w:rPr>
          <w:rFonts w:hint="default" w:ascii="Times New Roman" w:hAnsi="Times New Roman" w:eastAsia="仿宋_GB2312" w:cs="Times New Roman"/>
          <w:sz w:val="32"/>
          <w:szCs w:val="32"/>
          <w:lang w:val="en-US"/>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47D9494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3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③</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时效指标：</w:t>
      </w:r>
    </w:p>
    <w:p w14:paraId="5383691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指标1：补贴发放及时率，</w:t>
      </w:r>
      <w:r>
        <w:rPr>
          <w:rFonts w:hint="default" w:ascii="Times New Roman" w:hAnsi="Times New Roman" w:eastAsia="仿宋_GB2312" w:cs="Times New Roman"/>
          <w:sz w:val="32"/>
          <w:szCs w:val="32"/>
        </w:rPr>
        <w:t>指标值：=100%，实际完成值：100%，指标完成率</w:t>
      </w:r>
      <w:r>
        <w:rPr>
          <w:rFonts w:hint="default" w:ascii="Times New Roman" w:hAnsi="Times New Roman" w:eastAsia="仿宋_GB2312" w:cs="Times New Roman"/>
          <w:sz w:val="32"/>
          <w:szCs w:val="32"/>
          <w:lang w:val="en-US"/>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146AA3C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 4 \* GB3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④</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sz w:val="32"/>
          <w:szCs w:val="32"/>
        </w:rPr>
        <w:t>成本指标：</w:t>
      </w:r>
    </w:p>
    <w:p w14:paraId="309F101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指标1：项目预算控制率，</w:t>
      </w:r>
      <w:r>
        <w:rPr>
          <w:rFonts w:hint="default" w:ascii="Times New Roman" w:hAnsi="Times New Roman" w:eastAsia="仿宋_GB2312" w:cs="Times New Roman"/>
          <w:sz w:val="32"/>
          <w:szCs w:val="32"/>
        </w:rPr>
        <w:t>指标值：&lt;=100%，实际完成值：100%，指标完成率100%</w:t>
      </w:r>
      <w:r>
        <w:rPr>
          <w:rFonts w:hint="default" w:ascii="Times New Roman" w:hAnsi="Times New Roman" w:eastAsia="仿宋_GB2312" w:cs="Times New Roman"/>
          <w:sz w:val="32"/>
          <w:szCs w:val="32"/>
          <w:lang w:eastAsia="zh-CN"/>
        </w:rPr>
        <w:t>。</w:t>
      </w:r>
    </w:p>
    <w:p w14:paraId="07653CA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（四）项目效益情况</w:t>
      </w:r>
    </w:p>
    <w:p w14:paraId="4A816BF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项目效益类指标包括项目实施效益和满意度两方面的内容，由2个三级指标构成，权重分为20分，实际得分20分，得分率为100%。具体效益指标及满意度指标完成情况如下：</w:t>
      </w:r>
    </w:p>
    <w:p w14:paraId="05A66102">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1.实施效益</w:t>
      </w:r>
    </w:p>
    <w:p w14:paraId="20D3940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w:t>
      </w:r>
    </w:p>
    <w:p w14:paraId="26C65D6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2024年本项目未设置经济效益指标</w:t>
      </w:r>
    </w:p>
    <w:p w14:paraId="5EC70ED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r>
        <w:rPr>
          <w:rFonts w:hint="default" w:ascii="Times New Roman" w:hAnsi="Times New Roman" w:eastAsia="仿宋_GB2312" w:cs="Times New Roman"/>
          <w:sz w:val="32"/>
          <w:szCs w:val="32"/>
          <w:highlight w:val="none"/>
          <w:lang w:val="en-US" w:eastAsia="zh-CN"/>
        </w:rPr>
        <w:t>提高粮食安全保障能力，指标值：有效提高，实际完成值：有效提高</w:t>
      </w:r>
    </w:p>
    <w:p w14:paraId="1667FD9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③生态效益指标：</w:t>
      </w:r>
    </w:p>
    <w:p w14:paraId="0769235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lang w:val="en-US" w:eastAsia="zh-CN"/>
        </w:rPr>
      </w:pPr>
      <w:r>
        <w:rPr>
          <w:rFonts w:hint="eastAsia" w:eastAsia="仿宋_GB2312" w:cs="Times New Roman"/>
          <w:sz w:val="32"/>
          <w:szCs w:val="32"/>
          <w:highlight w:val="none"/>
          <w:lang w:val="en-US" w:eastAsia="zh-CN"/>
        </w:rPr>
        <w:t>2024年本项目未设置生态效益指标</w:t>
      </w:r>
    </w:p>
    <w:p w14:paraId="197EFEFB">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2.满意度</w:t>
      </w:r>
    </w:p>
    <w:p w14:paraId="199EC53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指标1：收益群众满意度，</w:t>
      </w:r>
      <w:r>
        <w:rPr>
          <w:rFonts w:hint="default" w:ascii="Times New Roman" w:hAnsi="Times New Roman" w:eastAsia="仿宋_GB2312" w:cs="Times New Roman"/>
          <w:sz w:val="32"/>
          <w:szCs w:val="32"/>
        </w:rPr>
        <w:t>指标值：&gt;=9</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%，实际完成值：=9</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%，指标完成率</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p>
    <w:p w14:paraId="0EF173BC">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eastAsia="zh-Hans"/>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五）</w:t>
      </w:r>
      <w:r>
        <w:rPr>
          <w:rFonts w:hint="eastAsia" w:ascii="楷体" w:hAnsi="楷体" w:eastAsia="楷体" w:cs="楷体"/>
          <w:b/>
          <w:bCs/>
          <w:sz w:val="32"/>
          <w:szCs w:val="32"/>
          <w:lang w:eastAsia="zh-Hans"/>
        </w:rPr>
        <w:t>预算执行进度与绩效指标总体完成率偏差</w:t>
      </w:r>
    </w:p>
    <w:p w14:paraId="4D6E1BE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default" w:ascii="Times New Roman" w:hAnsi="Times New Roman" w:eastAsia="仿宋_GB2312" w:cs="Times New Roman"/>
          <w:sz w:val="32"/>
          <w:szCs w:val="32"/>
          <w:lang w:eastAsia="zh-CN"/>
        </w:rPr>
        <w:t>4</w:t>
      </w:r>
      <w:r>
        <w:rPr>
          <w:rFonts w:hint="default" w:ascii="Times New Roman" w:hAnsi="Times New Roman" w:eastAsia="仿宋_GB2312" w:cs="Times New Roman"/>
          <w:sz w:val="32"/>
          <w:szCs w:val="32"/>
          <w:lang w:val="en-US" w:eastAsia="zh-CN"/>
        </w:rPr>
        <w:t>年耕地地力保护补贴项目</w:t>
      </w:r>
      <w:r>
        <w:rPr>
          <w:rFonts w:hint="default" w:ascii="Times New Roman" w:hAnsi="Times New Roman" w:eastAsia="仿宋_GB2312" w:cs="Times New Roman"/>
          <w:sz w:val="32"/>
          <w:szCs w:val="32"/>
        </w:rPr>
        <w:t>年初预算13950.1万元，全年预算14640.24万元。</w:t>
      </w:r>
      <w:r>
        <w:rPr>
          <w:rFonts w:hint="default" w:ascii="Times New Roman" w:hAnsi="Times New Roman" w:eastAsia="仿宋_GB2312" w:cs="Times New Roman"/>
          <w:sz w:val="32"/>
          <w:szCs w:val="32"/>
          <w:lang w:val="en-US" w:eastAsia="zh-CN"/>
        </w:rPr>
        <w:t>实际支出14639.68</w:t>
      </w:r>
      <w:r>
        <w:rPr>
          <w:rFonts w:hint="default" w:ascii="Times New Roman" w:hAnsi="Times New Roman" w:eastAsia="仿宋_GB2312" w:cs="Times New Roman"/>
          <w:sz w:val="32"/>
          <w:szCs w:val="32"/>
        </w:rPr>
        <w:t>万元，预算执行率为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Hans"/>
        </w:rPr>
        <w:t>项目绩效指标总体完成率为</w:t>
      </w:r>
      <w:r>
        <w:rPr>
          <w:rFonts w:hint="default"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Hans"/>
        </w:rPr>
        <w:t>%</w:t>
      </w:r>
      <w:r>
        <w:rPr>
          <w:rFonts w:hint="default" w:ascii="Times New Roman" w:hAnsi="Times New Roman" w:eastAsia="仿宋_GB2312" w:cs="Times New Roman"/>
          <w:sz w:val="32"/>
          <w:szCs w:val="32"/>
          <w:lang w:val="en-US" w:eastAsia="zh-CN"/>
        </w:rPr>
        <w:t>。</w:t>
      </w:r>
    </w:p>
    <w:p w14:paraId="77491A7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、主要经验及做法、存在的问题及原因分析</w:t>
      </w:r>
    </w:p>
    <w:p w14:paraId="6EABC256">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rPr>
        <w:t>（一）主要经验及做法</w:t>
      </w:r>
    </w:p>
    <w:p w14:paraId="17A6E8E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完成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年耕地地力保护补贴保护补贴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通过</w:t>
      </w:r>
      <w:r>
        <w:rPr>
          <w:rFonts w:hint="default" w:ascii="Times New Roman" w:hAnsi="Times New Roman" w:eastAsia="仿宋_GB2312" w:cs="Times New Roman"/>
          <w:sz w:val="32"/>
          <w:szCs w:val="32"/>
          <w:lang w:val="en-US" w:eastAsia="zh-CN"/>
        </w:rPr>
        <w:t>此项目，大力提升农民种粮积极性，保障粮食安全。</w:t>
      </w:r>
    </w:p>
    <w:p w14:paraId="40DE0267">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val="en-US" w:eastAsia="zh-CN"/>
        </w:rPr>
        <w:t>（二）</w:t>
      </w:r>
      <w:r>
        <w:rPr>
          <w:rFonts w:hint="eastAsia" w:ascii="楷体" w:hAnsi="楷体" w:eastAsia="楷体" w:cs="楷体"/>
          <w:b/>
          <w:bCs/>
          <w:sz w:val="32"/>
          <w:szCs w:val="32"/>
        </w:rPr>
        <w:t>存在的问题及原因分析</w:t>
      </w:r>
    </w:p>
    <w:p w14:paraId="714D8A9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2A06785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2.因轮岗、调动、等因素使我单位绩效工作人员流动频繁，造成了工作衔接不到位的情况。</w:t>
      </w:r>
    </w:p>
    <w:p w14:paraId="4511321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加强乡镇、村领导干部对耕地地力保护补贴政策学习。利用村民大会、农牧民培训会，学习宣传耕地地力保护惠民政策，加强村民对耕地地力保护政策了解，提高群众知晓率。充分利用村、组微信群等网络，加大耕地地力保护补贴公开、公示，提高透明度。</w:t>
      </w:r>
    </w:p>
    <w:p w14:paraId="3B46E78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乡镇领导干部要充分认识耕地地力保护补贴工作重要性，要充分组织抽调骨干力量加强耕地地力保护补贴面积登记、核实，按规定时间要求高质量完成补贴面积核实、登记和发放工作，及时将补贴资金发放到农户手中。</w:t>
      </w:r>
    </w:p>
    <w:p w14:paraId="5629B0C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有关建议</w:t>
      </w:r>
    </w:p>
    <w:p w14:paraId="0246130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一是控制预算，加强预算执行力，执行项目决策时，规范使用每笔资金，更好的完成各项绩效指标。二是建立健全管理制度，完善财政内部控制体系，进一步明确监督机构等职权，责任，监督程序，监督方法，建立健全财政资金等问责机制。</w:t>
      </w:r>
    </w:p>
    <w:p w14:paraId="43C514C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执行项目决策时，预算监控管理的基础数据、基础信息的搜集、整理、分析工作需要进一步加强，加强财政资金使用等监管力度，完善项目等预算。项目绩效目标设定时基础数据、基础信息的搜集、整理、分析工作需要进一步加强。</w:t>
      </w:r>
    </w:p>
    <w:p w14:paraId="6F0B564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3.需要努力提高社会公众对绩效管理的认知度，鼓励社会公众积极参与，主动接受社会监督，努力营造开展绩效管理工作的浓厚氛围和良好环境。</w:t>
      </w:r>
    </w:p>
    <w:p w14:paraId="0DD4654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4.多进行有关绩效管理工作方面的培训。积极组织第三方开展绩效管理工作培训，进一步夯实业务基础，提高我单位绩效人员水平。</w:t>
      </w:r>
    </w:p>
    <w:p w14:paraId="6D6D323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5.专门设定对绩效工作人员定职、定岗、定责等相关制度措施，进一步提升我单位绩效管理工作业务水平，扎实做好绩效管理工作。</w:t>
      </w:r>
    </w:p>
    <w:p w14:paraId="3633F89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3493A7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rPr>
        <w:t>。</w:t>
      </w:r>
    </w:p>
    <w:p w14:paraId="51ECEC7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A52E03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Hans"/>
        </w:rPr>
        <w:t>、</w:t>
      </w:r>
      <w:r>
        <w:rPr>
          <w:rFonts w:hint="eastAsia" w:ascii="黑体" w:hAnsi="黑体" w:eastAsia="黑体" w:cs="黑体"/>
          <w:sz w:val="32"/>
          <w:szCs w:val="32"/>
        </w:rPr>
        <w:t>其他需要说</w:t>
      </w:r>
      <w:bookmarkStart w:id="0" w:name="page8"/>
      <w:bookmarkEnd w:id="0"/>
      <w:r>
        <w:rPr>
          <w:rFonts w:hint="eastAsia" w:ascii="黑体" w:hAnsi="黑体" w:eastAsia="黑体" w:cs="黑体"/>
          <w:sz w:val="32"/>
          <w:szCs w:val="32"/>
        </w:rPr>
        <w:t>明的问题</w:t>
      </w:r>
    </w:p>
    <w:p w14:paraId="6E9A7D0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本项目无其他需说明的问题。</w:t>
      </w:r>
    </w:p>
    <w:p w14:paraId="251E8EF7">
      <w:pPr>
        <w:pStyle w:val="9"/>
        <w:spacing w:after="0" w:line="560" w:lineRule="exact"/>
        <w:ind w:left="0" w:leftChars="0" w:firstLine="640"/>
        <w:rPr>
          <w:rFonts w:ascii="仿宋_GB2312" w:hAnsi="仿宋_GB2312" w:eastAsia="仿宋_GB2312" w:cs="仿宋_GB2312"/>
          <w:sz w:val="32"/>
          <w:szCs w:val="32"/>
        </w:rPr>
      </w:pPr>
    </w:p>
    <w:p w14:paraId="71D06D70">
      <w:pPr>
        <w:widowControl/>
        <w:jc w:val="center"/>
        <w:textAlignment w:val="center"/>
        <w:rPr>
          <w:rFonts w:eastAsia="方正小标宋简体"/>
          <w:b/>
          <w:kern w:val="0"/>
          <w:sz w:val="32"/>
          <w:szCs w:val="32"/>
          <w:lang w:bidi="ar"/>
        </w:rPr>
        <w:sectPr>
          <w:pgSz w:w="11906" w:h="16838"/>
          <w:pgMar w:top="2098" w:right="1531" w:bottom="1984" w:left="1531" w:header="851" w:footer="992" w:gutter="0"/>
          <w:cols w:space="425" w:num="1"/>
          <w:docGrid w:type="lines" w:linePitch="312" w:charSpace="0"/>
        </w:sectPr>
      </w:pPr>
    </w:p>
    <w:p w14:paraId="7E90D87A">
      <w:pPr>
        <w:spacing w:line="600" w:lineRule="exact"/>
        <w:rPr>
          <w:rFonts w:hint="eastAsia" w:ascii="黑体" w:hAnsi="黑体" w:eastAsia="黑体" w:cs="黑体"/>
        </w:rPr>
      </w:pPr>
      <w:r>
        <w:rPr>
          <w:rFonts w:hint="eastAsia" w:ascii="黑体" w:hAnsi="黑体" w:eastAsia="黑体" w:cs="黑体"/>
          <w:bCs/>
          <w:sz w:val="32"/>
          <w:szCs w:val="32"/>
        </w:rPr>
        <w:t>附件1</w:t>
      </w:r>
    </w:p>
    <w:p w14:paraId="5612625C">
      <w:pPr>
        <w:pStyle w:val="13"/>
        <w:ind w:firstLine="562"/>
        <w:jc w:val="center"/>
        <w:rPr>
          <w:sz w:val="28"/>
          <w:szCs w:val="40"/>
        </w:rPr>
      </w:pPr>
      <w:bookmarkStart w:id="1" w:name="_Toc30064_WPSOffice_Level1"/>
      <w:bookmarkStart w:id="2" w:name="_Toc26499_WPSOffice_Level2"/>
      <w:r>
        <w:rPr>
          <w:rFonts w:hint="eastAsia"/>
          <w:b/>
          <w:bCs/>
          <w:sz w:val="28"/>
          <w:szCs w:val="40"/>
          <w:lang w:val="en-US" w:eastAsia="zh-CN"/>
        </w:rPr>
        <w:t>奇台县2024年耕地地力保护补贴项目</w:t>
      </w:r>
      <w:r>
        <w:rPr>
          <w:rFonts w:hint="eastAsia"/>
          <w:b/>
          <w:bCs/>
          <w:sz w:val="28"/>
          <w:szCs w:val="40"/>
        </w:rPr>
        <w:t>绩效评价指标体系及综合评分表</w:t>
      </w:r>
      <w:bookmarkEnd w:id="1"/>
      <w:bookmarkEnd w:id="2"/>
    </w:p>
    <w:tbl>
      <w:tblPr>
        <w:tblStyle w:val="10"/>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27"/>
        <w:gridCol w:w="764"/>
        <w:gridCol w:w="873"/>
        <w:gridCol w:w="2352"/>
        <w:gridCol w:w="5207"/>
        <w:gridCol w:w="1299"/>
        <w:gridCol w:w="1361"/>
      </w:tblGrid>
      <w:tr w14:paraId="41A36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6" w:type="pct"/>
            <w:shd w:val="clear" w:color="auto" w:fill="FFFFFF"/>
            <w:vAlign w:val="center"/>
          </w:tcPr>
          <w:p w14:paraId="2299D16B">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14:paraId="625CAA3C">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5B8B86DB">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51271007">
            <w:pPr>
              <w:widowControl/>
              <w:spacing w:line="0" w:lineRule="atLeast"/>
              <w:jc w:val="center"/>
              <w:rPr>
                <w:b/>
                <w:bCs/>
                <w:color w:val="000000"/>
                <w:kern w:val="0"/>
                <w:sz w:val="22"/>
                <w:szCs w:val="22"/>
              </w:rPr>
            </w:pPr>
            <w:r>
              <w:rPr>
                <w:b/>
                <w:bCs/>
                <w:color w:val="000000"/>
                <w:kern w:val="0"/>
                <w:sz w:val="22"/>
                <w:szCs w:val="22"/>
              </w:rPr>
              <w:t>指标解释</w:t>
            </w:r>
          </w:p>
        </w:tc>
        <w:tc>
          <w:tcPr>
            <w:tcW w:w="2051" w:type="pct"/>
            <w:shd w:val="clear" w:color="auto" w:fill="FFFFFF"/>
            <w:vAlign w:val="center"/>
          </w:tcPr>
          <w:p w14:paraId="3E76348C">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57CC2FAE">
            <w:pPr>
              <w:widowControl/>
              <w:spacing w:line="0" w:lineRule="atLeast"/>
              <w:jc w:val="center"/>
              <w:rPr>
                <w:b/>
                <w:bCs/>
                <w:color w:val="000000"/>
                <w:kern w:val="0"/>
                <w:sz w:val="22"/>
                <w:szCs w:val="22"/>
              </w:rPr>
            </w:pPr>
            <w:r>
              <w:rPr>
                <w:b/>
                <w:bCs/>
                <w:color w:val="000000"/>
                <w:kern w:val="0"/>
                <w:sz w:val="22"/>
                <w:szCs w:val="22"/>
              </w:rPr>
              <w:t>权重</w:t>
            </w:r>
          </w:p>
        </w:tc>
        <w:tc>
          <w:tcPr>
            <w:tcW w:w="536" w:type="pct"/>
            <w:shd w:val="clear" w:color="auto" w:fill="FFFFFF"/>
            <w:vAlign w:val="center"/>
          </w:tcPr>
          <w:p w14:paraId="265A91C3">
            <w:pPr>
              <w:widowControl/>
              <w:spacing w:line="0" w:lineRule="atLeast"/>
              <w:jc w:val="center"/>
              <w:rPr>
                <w:b/>
                <w:bCs/>
                <w:color w:val="000000"/>
                <w:kern w:val="0"/>
                <w:sz w:val="22"/>
                <w:szCs w:val="22"/>
              </w:rPr>
            </w:pPr>
            <w:r>
              <w:rPr>
                <w:b/>
                <w:bCs/>
                <w:color w:val="000000"/>
                <w:kern w:val="0"/>
                <w:sz w:val="22"/>
                <w:szCs w:val="22"/>
              </w:rPr>
              <w:t>得分</w:t>
            </w:r>
          </w:p>
        </w:tc>
      </w:tr>
      <w:tr w14:paraId="44FE05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6" w:type="pct"/>
            <w:vMerge w:val="restart"/>
            <w:shd w:val="clear" w:color="auto" w:fill="FFFFFF"/>
            <w:vAlign w:val="center"/>
          </w:tcPr>
          <w:p w14:paraId="65DD3682">
            <w:pPr>
              <w:widowControl/>
              <w:spacing w:line="0" w:lineRule="atLeast"/>
              <w:jc w:val="center"/>
              <w:rPr>
                <w:color w:val="000000"/>
                <w:kern w:val="0"/>
                <w:sz w:val="18"/>
                <w:szCs w:val="18"/>
              </w:rPr>
            </w:pPr>
          </w:p>
          <w:p w14:paraId="57D6F466">
            <w:pPr>
              <w:widowControl/>
              <w:spacing w:line="0" w:lineRule="atLeast"/>
              <w:jc w:val="center"/>
              <w:rPr>
                <w:color w:val="000000"/>
                <w:kern w:val="0"/>
                <w:sz w:val="18"/>
                <w:szCs w:val="18"/>
              </w:rPr>
            </w:pPr>
          </w:p>
          <w:p w14:paraId="2D73FAFA">
            <w:pPr>
              <w:widowControl/>
              <w:spacing w:line="0" w:lineRule="atLeast"/>
              <w:jc w:val="center"/>
              <w:rPr>
                <w:color w:val="000000"/>
                <w:kern w:val="0"/>
                <w:sz w:val="18"/>
                <w:szCs w:val="18"/>
              </w:rPr>
            </w:pPr>
          </w:p>
          <w:p w14:paraId="411BE853">
            <w:pPr>
              <w:widowControl/>
              <w:spacing w:line="0" w:lineRule="atLeast"/>
              <w:jc w:val="center"/>
              <w:rPr>
                <w:color w:val="000000"/>
                <w:kern w:val="0"/>
                <w:sz w:val="18"/>
                <w:szCs w:val="18"/>
              </w:rPr>
            </w:pPr>
          </w:p>
          <w:p w14:paraId="415E7B6A">
            <w:pPr>
              <w:widowControl/>
              <w:spacing w:line="0" w:lineRule="atLeast"/>
              <w:jc w:val="center"/>
              <w:rPr>
                <w:color w:val="000000"/>
                <w:kern w:val="0"/>
                <w:sz w:val="18"/>
                <w:szCs w:val="18"/>
              </w:rPr>
            </w:pPr>
          </w:p>
          <w:p w14:paraId="559E451C">
            <w:pPr>
              <w:widowControl/>
              <w:spacing w:line="0" w:lineRule="atLeast"/>
              <w:jc w:val="center"/>
              <w:rPr>
                <w:color w:val="000000"/>
                <w:kern w:val="0"/>
                <w:sz w:val="18"/>
                <w:szCs w:val="18"/>
              </w:rPr>
            </w:pPr>
          </w:p>
          <w:p w14:paraId="43796917">
            <w:pPr>
              <w:widowControl/>
              <w:spacing w:line="0" w:lineRule="atLeast"/>
              <w:jc w:val="center"/>
              <w:rPr>
                <w:color w:val="000000"/>
                <w:kern w:val="0"/>
                <w:sz w:val="18"/>
                <w:szCs w:val="18"/>
              </w:rPr>
            </w:pPr>
            <w:r>
              <w:rPr>
                <w:color w:val="000000"/>
                <w:kern w:val="0"/>
                <w:sz w:val="18"/>
                <w:szCs w:val="18"/>
              </w:rPr>
              <w:t>决策　</w:t>
            </w:r>
          </w:p>
        </w:tc>
        <w:tc>
          <w:tcPr>
            <w:tcW w:w="301" w:type="pct"/>
            <w:vMerge w:val="restart"/>
            <w:shd w:val="clear" w:color="auto" w:fill="FFFFFF"/>
            <w:vAlign w:val="center"/>
          </w:tcPr>
          <w:p w14:paraId="67E4D0A0">
            <w:pPr>
              <w:widowControl/>
              <w:spacing w:line="0" w:lineRule="atLeast"/>
              <w:jc w:val="center"/>
              <w:rPr>
                <w:color w:val="000000"/>
                <w:kern w:val="0"/>
                <w:sz w:val="18"/>
                <w:szCs w:val="18"/>
              </w:rPr>
            </w:pPr>
            <w:r>
              <w:rPr>
                <w:color w:val="000000"/>
                <w:kern w:val="0"/>
                <w:sz w:val="18"/>
                <w:szCs w:val="18"/>
              </w:rPr>
              <w:t>项目立项　</w:t>
            </w:r>
          </w:p>
        </w:tc>
        <w:tc>
          <w:tcPr>
            <w:tcW w:w="344" w:type="pct"/>
            <w:shd w:val="clear" w:color="auto" w:fill="FFFFFF"/>
            <w:vAlign w:val="center"/>
          </w:tcPr>
          <w:p w14:paraId="5FFF05D0">
            <w:pPr>
              <w:widowControl/>
              <w:spacing w:line="0" w:lineRule="atLeast"/>
              <w:jc w:val="center"/>
              <w:rPr>
                <w:color w:val="000000"/>
                <w:kern w:val="0"/>
                <w:sz w:val="18"/>
                <w:szCs w:val="18"/>
              </w:rPr>
            </w:pPr>
            <w:r>
              <w:rPr>
                <w:color w:val="000000"/>
                <w:kern w:val="0"/>
                <w:sz w:val="18"/>
                <w:szCs w:val="18"/>
              </w:rPr>
              <w:t>立项依据</w:t>
            </w:r>
          </w:p>
          <w:p w14:paraId="5A84248D">
            <w:pPr>
              <w:widowControl/>
              <w:spacing w:line="0" w:lineRule="atLeast"/>
              <w:jc w:val="center"/>
              <w:rPr>
                <w:color w:val="000000"/>
                <w:kern w:val="0"/>
                <w:sz w:val="18"/>
                <w:szCs w:val="18"/>
              </w:rPr>
            </w:pPr>
            <w:r>
              <w:rPr>
                <w:color w:val="000000"/>
                <w:kern w:val="0"/>
                <w:sz w:val="18"/>
                <w:szCs w:val="18"/>
              </w:rPr>
              <w:t>充分性</w:t>
            </w:r>
          </w:p>
        </w:tc>
        <w:tc>
          <w:tcPr>
            <w:tcW w:w="927" w:type="pct"/>
            <w:shd w:val="clear" w:color="auto" w:fill="FFFFFF"/>
            <w:vAlign w:val="center"/>
          </w:tcPr>
          <w:p w14:paraId="049A9FD8">
            <w:pPr>
              <w:widowControl/>
              <w:spacing w:line="0" w:lineRule="atLeast"/>
              <w:rPr>
                <w:color w:val="000000"/>
                <w:kern w:val="0"/>
                <w:sz w:val="18"/>
                <w:szCs w:val="18"/>
              </w:rPr>
            </w:pPr>
            <w:r>
              <w:rPr>
                <w:color w:val="000000"/>
                <w:kern w:val="0"/>
                <w:sz w:val="18"/>
                <w:szCs w:val="18"/>
              </w:rPr>
              <w:t>项目立项是否符合法律法规、相关政策、发展规划以及部门职责，用以反映和考核项目立项依据情况。</w:t>
            </w:r>
          </w:p>
        </w:tc>
        <w:tc>
          <w:tcPr>
            <w:tcW w:w="2051" w:type="pct"/>
            <w:shd w:val="clear" w:color="auto" w:fill="FFFFFF"/>
            <w:vAlign w:val="center"/>
          </w:tcPr>
          <w:p w14:paraId="3BC92C4F">
            <w:pPr>
              <w:widowControl/>
              <w:spacing w:line="0" w:lineRule="atLeast"/>
              <w:jc w:val="lef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①项目立项是否符合国家法律法规、国民经济发展规划和相关政策；</w:t>
            </w:r>
            <w:r>
              <w:rPr>
                <w:color w:val="000000"/>
                <w:kern w:val="0"/>
                <w:sz w:val="18"/>
                <w:szCs w:val="18"/>
              </w:rPr>
              <w:br w:type="textWrapping"/>
            </w:r>
            <w:r>
              <w:rPr>
                <w:color w:val="000000"/>
                <w:kern w:val="0"/>
                <w:sz w:val="18"/>
                <w:szCs w:val="18"/>
              </w:rPr>
              <w:t>②项目立项是否符合行业发展规划和政策要求；</w:t>
            </w:r>
            <w:r>
              <w:rPr>
                <w:color w:val="000000"/>
                <w:kern w:val="0"/>
                <w:sz w:val="18"/>
                <w:szCs w:val="18"/>
              </w:rPr>
              <w:br w:type="textWrapping"/>
            </w:r>
            <w:r>
              <w:rPr>
                <w:color w:val="000000"/>
                <w:kern w:val="0"/>
                <w:sz w:val="18"/>
                <w:szCs w:val="18"/>
              </w:rPr>
              <w:t>③项目立项是否与部门职责范围相符，属于部门履职所需；</w:t>
            </w:r>
            <w:r>
              <w:rPr>
                <w:color w:val="000000"/>
                <w:kern w:val="0"/>
                <w:sz w:val="18"/>
                <w:szCs w:val="18"/>
              </w:rPr>
              <w:br w:type="textWrapping"/>
            </w:r>
            <w:r>
              <w:rPr>
                <w:color w:val="000000"/>
                <w:kern w:val="0"/>
                <w:sz w:val="18"/>
                <w:szCs w:val="18"/>
              </w:rPr>
              <w:t>④项目是否属于公共财政支持范围，是否符合中央、地方事权支出责任划分原则；</w:t>
            </w:r>
            <w:r>
              <w:rPr>
                <w:color w:val="000000"/>
                <w:kern w:val="0"/>
                <w:sz w:val="18"/>
                <w:szCs w:val="18"/>
              </w:rPr>
              <w:br w:type="textWrapping"/>
            </w:r>
            <w:r>
              <w:rPr>
                <w:color w:val="000000"/>
                <w:kern w:val="0"/>
                <w:sz w:val="18"/>
                <w:szCs w:val="18"/>
              </w:rPr>
              <w:t>⑤项目是否与相关部门同类项目或部门内部相关项目重复。</w:t>
            </w:r>
          </w:p>
        </w:tc>
        <w:tc>
          <w:tcPr>
            <w:tcW w:w="512" w:type="pct"/>
            <w:shd w:val="clear" w:color="auto" w:fill="FFFFFF"/>
            <w:vAlign w:val="center"/>
          </w:tcPr>
          <w:p w14:paraId="00ED7BF9">
            <w:pPr>
              <w:widowControl/>
              <w:spacing w:line="0" w:lineRule="atLeast"/>
              <w:jc w:val="center"/>
              <w:rPr>
                <w:b/>
                <w:bCs/>
                <w:color w:val="000000"/>
                <w:kern w:val="0"/>
                <w:sz w:val="18"/>
                <w:szCs w:val="18"/>
              </w:rPr>
            </w:pPr>
            <w:r>
              <w:rPr>
                <w:b/>
                <w:bCs/>
                <w:color w:val="000000"/>
                <w:kern w:val="0"/>
                <w:sz w:val="18"/>
                <w:szCs w:val="18"/>
              </w:rPr>
              <w:t>3</w:t>
            </w:r>
          </w:p>
        </w:tc>
        <w:tc>
          <w:tcPr>
            <w:tcW w:w="536" w:type="pct"/>
            <w:shd w:val="clear" w:color="auto" w:fill="FFFFFF"/>
            <w:vAlign w:val="center"/>
          </w:tcPr>
          <w:p w14:paraId="3275D96B">
            <w:pPr>
              <w:widowControl/>
              <w:spacing w:line="0" w:lineRule="atLeast"/>
              <w:jc w:val="center"/>
              <w:rPr>
                <w:b/>
                <w:bCs/>
                <w:color w:val="000000"/>
                <w:kern w:val="0"/>
                <w:sz w:val="18"/>
                <w:szCs w:val="18"/>
              </w:rPr>
            </w:pPr>
            <w:r>
              <w:rPr>
                <w:b/>
                <w:bCs/>
                <w:color w:val="000000"/>
                <w:kern w:val="0"/>
                <w:sz w:val="18"/>
                <w:szCs w:val="18"/>
              </w:rPr>
              <w:t>3</w:t>
            </w:r>
          </w:p>
        </w:tc>
      </w:tr>
      <w:tr w14:paraId="63065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6" w:type="pct"/>
            <w:vMerge w:val="continue"/>
            <w:shd w:val="clear" w:color="auto" w:fill="FFFFFF"/>
            <w:vAlign w:val="center"/>
          </w:tcPr>
          <w:p w14:paraId="59386B0C">
            <w:pPr>
              <w:spacing w:line="0" w:lineRule="atLeast"/>
              <w:jc w:val="center"/>
              <w:rPr>
                <w:color w:val="000000"/>
                <w:kern w:val="0"/>
                <w:sz w:val="18"/>
                <w:szCs w:val="18"/>
              </w:rPr>
            </w:pPr>
          </w:p>
        </w:tc>
        <w:tc>
          <w:tcPr>
            <w:tcW w:w="301" w:type="pct"/>
            <w:vMerge w:val="continue"/>
            <w:shd w:val="clear" w:color="auto" w:fill="FFFFFF"/>
            <w:vAlign w:val="center"/>
          </w:tcPr>
          <w:p w14:paraId="480FF434">
            <w:pPr>
              <w:widowControl/>
              <w:spacing w:line="0" w:lineRule="atLeast"/>
              <w:jc w:val="center"/>
              <w:rPr>
                <w:color w:val="000000"/>
                <w:kern w:val="0"/>
                <w:sz w:val="18"/>
                <w:szCs w:val="18"/>
              </w:rPr>
            </w:pPr>
          </w:p>
        </w:tc>
        <w:tc>
          <w:tcPr>
            <w:tcW w:w="344" w:type="pct"/>
            <w:shd w:val="clear" w:color="auto" w:fill="FFFFFF"/>
            <w:vAlign w:val="center"/>
          </w:tcPr>
          <w:p w14:paraId="71BEF002">
            <w:pPr>
              <w:widowControl/>
              <w:spacing w:line="0" w:lineRule="atLeast"/>
              <w:jc w:val="center"/>
              <w:rPr>
                <w:color w:val="000000"/>
                <w:kern w:val="0"/>
                <w:sz w:val="18"/>
                <w:szCs w:val="18"/>
              </w:rPr>
            </w:pPr>
            <w:r>
              <w:rPr>
                <w:color w:val="000000"/>
                <w:kern w:val="0"/>
                <w:sz w:val="18"/>
                <w:szCs w:val="18"/>
              </w:rPr>
              <w:t>立项程序</w:t>
            </w:r>
          </w:p>
          <w:p w14:paraId="294CC3EB">
            <w:pPr>
              <w:widowControl/>
              <w:spacing w:line="0" w:lineRule="atLeast"/>
              <w:jc w:val="center"/>
              <w:rPr>
                <w:color w:val="000000"/>
                <w:kern w:val="0"/>
                <w:sz w:val="18"/>
                <w:szCs w:val="18"/>
              </w:rPr>
            </w:pPr>
            <w:r>
              <w:rPr>
                <w:color w:val="000000"/>
                <w:kern w:val="0"/>
                <w:sz w:val="18"/>
                <w:szCs w:val="18"/>
              </w:rPr>
              <w:t>规范性</w:t>
            </w:r>
          </w:p>
        </w:tc>
        <w:tc>
          <w:tcPr>
            <w:tcW w:w="927" w:type="pct"/>
            <w:shd w:val="clear" w:color="auto" w:fill="FFFFFF"/>
            <w:vAlign w:val="center"/>
          </w:tcPr>
          <w:p w14:paraId="51411029">
            <w:pPr>
              <w:widowControl/>
              <w:spacing w:line="0" w:lineRule="atLeast"/>
              <w:rPr>
                <w:color w:val="000000"/>
                <w:kern w:val="0"/>
                <w:sz w:val="18"/>
                <w:szCs w:val="18"/>
              </w:rPr>
            </w:pPr>
            <w:r>
              <w:rPr>
                <w:color w:val="000000"/>
                <w:kern w:val="0"/>
                <w:sz w:val="18"/>
                <w:szCs w:val="18"/>
              </w:rPr>
              <w:t>项目申请、设立过程是否符合相关要求，用以反映和考核项目立项的规范情况。</w:t>
            </w:r>
          </w:p>
        </w:tc>
        <w:tc>
          <w:tcPr>
            <w:tcW w:w="2051" w:type="pct"/>
            <w:shd w:val="clear" w:color="auto" w:fill="FFFFFF"/>
            <w:vAlign w:val="center"/>
          </w:tcPr>
          <w:p w14:paraId="67713CA0">
            <w:pPr>
              <w:widowControl/>
              <w:spacing w:line="0" w:lineRule="atLeast"/>
              <w:jc w:val="lef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①项目是否按照规定的程序申请设立；</w:t>
            </w:r>
            <w:r>
              <w:rPr>
                <w:color w:val="000000"/>
                <w:kern w:val="0"/>
                <w:sz w:val="18"/>
                <w:szCs w:val="18"/>
              </w:rPr>
              <w:br w:type="textWrapping"/>
            </w:r>
            <w:r>
              <w:rPr>
                <w:color w:val="000000"/>
                <w:kern w:val="0"/>
                <w:sz w:val="18"/>
                <w:szCs w:val="18"/>
              </w:rPr>
              <w:t>②审批文件、材料是否符合相关要求；</w:t>
            </w:r>
            <w:r>
              <w:rPr>
                <w:color w:val="000000"/>
                <w:kern w:val="0"/>
                <w:sz w:val="18"/>
                <w:szCs w:val="18"/>
              </w:rPr>
              <w:br w:type="textWrapping"/>
            </w:r>
            <w:r>
              <w:rPr>
                <w:color w:val="000000"/>
                <w:kern w:val="0"/>
                <w:sz w:val="18"/>
                <w:szCs w:val="18"/>
              </w:rPr>
              <w:t>③事前是否已经过必要的可行性研究、专家论证、风险评估、绩效评估、集体决策。</w:t>
            </w:r>
          </w:p>
        </w:tc>
        <w:tc>
          <w:tcPr>
            <w:tcW w:w="512" w:type="pct"/>
            <w:shd w:val="clear" w:color="auto" w:fill="FFFFFF"/>
            <w:vAlign w:val="center"/>
          </w:tcPr>
          <w:p w14:paraId="59BCC73D">
            <w:pPr>
              <w:widowControl/>
              <w:spacing w:line="0" w:lineRule="atLeast"/>
              <w:jc w:val="center"/>
              <w:rPr>
                <w:b/>
                <w:bCs/>
                <w:color w:val="000000"/>
                <w:kern w:val="0"/>
                <w:sz w:val="18"/>
                <w:szCs w:val="18"/>
              </w:rPr>
            </w:pPr>
            <w:r>
              <w:rPr>
                <w:b/>
                <w:bCs/>
                <w:color w:val="000000"/>
                <w:kern w:val="0"/>
                <w:sz w:val="18"/>
                <w:szCs w:val="18"/>
              </w:rPr>
              <w:t>3</w:t>
            </w:r>
          </w:p>
        </w:tc>
        <w:tc>
          <w:tcPr>
            <w:tcW w:w="536" w:type="pct"/>
            <w:shd w:val="clear" w:color="auto" w:fill="FFFFFF"/>
            <w:vAlign w:val="center"/>
          </w:tcPr>
          <w:p w14:paraId="02A9E552">
            <w:pPr>
              <w:widowControl/>
              <w:spacing w:line="0" w:lineRule="atLeast"/>
              <w:jc w:val="center"/>
              <w:rPr>
                <w:b/>
                <w:bCs/>
                <w:color w:val="000000"/>
                <w:kern w:val="0"/>
                <w:sz w:val="18"/>
                <w:szCs w:val="18"/>
              </w:rPr>
            </w:pPr>
            <w:r>
              <w:rPr>
                <w:b/>
                <w:bCs/>
                <w:color w:val="000000"/>
                <w:kern w:val="0"/>
                <w:sz w:val="18"/>
                <w:szCs w:val="18"/>
              </w:rPr>
              <w:t>3</w:t>
            </w:r>
          </w:p>
        </w:tc>
      </w:tr>
      <w:tr w14:paraId="16BF2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6" w:type="pct"/>
            <w:vMerge w:val="continue"/>
            <w:shd w:val="clear" w:color="auto" w:fill="FFFFFF"/>
            <w:vAlign w:val="center"/>
          </w:tcPr>
          <w:p w14:paraId="5FFDB72C">
            <w:pPr>
              <w:spacing w:line="0" w:lineRule="atLeast"/>
              <w:jc w:val="center"/>
              <w:rPr>
                <w:color w:val="000000"/>
                <w:kern w:val="0"/>
                <w:sz w:val="18"/>
                <w:szCs w:val="18"/>
              </w:rPr>
            </w:pPr>
          </w:p>
        </w:tc>
        <w:tc>
          <w:tcPr>
            <w:tcW w:w="301" w:type="pct"/>
            <w:vMerge w:val="restart"/>
            <w:shd w:val="clear" w:color="auto" w:fill="FFFFFF"/>
            <w:vAlign w:val="center"/>
          </w:tcPr>
          <w:p w14:paraId="41C5F73B">
            <w:pPr>
              <w:widowControl/>
              <w:spacing w:line="0" w:lineRule="atLeast"/>
              <w:jc w:val="center"/>
              <w:rPr>
                <w:color w:val="000000"/>
                <w:kern w:val="0"/>
                <w:sz w:val="18"/>
                <w:szCs w:val="18"/>
              </w:rPr>
            </w:pPr>
            <w:r>
              <w:rPr>
                <w:color w:val="000000"/>
                <w:kern w:val="0"/>
                <w:sz w:val="18"/>
                <w:szCs w:val="18"/>
              </w:rPr>
              <w:t>绩效目标　</w:t>
            </w:r>
          </w:p>
        </w:tc>
        <w:tc>
          <w:tcPr>
            <w:tcW w:w="344" w:type="pct"/>
            <w:shd w:val="clear" w:color="auto" w:fill="FFFFFF"/>
            <w:vAlign w:val="center"/>
          </w:tcPr>
          <w:p w14:paraId="4BEB3AE1">
            <w:pPr>
              <w:widowControl/>
              <w:spacing w:line="0" w:lineRule="atLeast"/>
              <w:jc w:val="center"/>
              <w:rPr>
                <w:color w:val="000000"/>
                <w:kern w:val="0"/>
                <w:sz w:val="18"/>
                <w:szCs w:val="18"/>
              </w:rPr>
            </w:pPr>
            <w:r>
              <w:rPr>
                <w:color w:val="000000"/>
                <w:kern w:val="0"/>
                <w:sz w:val="18"/>
                <w:szCs w:val="18"/>
              </w:rPr>
              <w:t>绩效目标</w:t>
            </w:r>
          </w:p>
          <w:p w14:paraId="3BBB0043">
            <w:pPr>
              <w:widowControl/>
              <w:spacing w:line="0" w:lineRule="atLeast"/>
              <w:jc w:val="center"/>
              <w:rPr>
                <w:color w:val="000000"/>
                <w:kern w:val="0"/>
                <w:sz w:val="18"/>
                <w:szCs w:val="18"/>
              </w:rPr>
            </w:pPr>
            <w:r>
              <w:rPr>
                <w:color w:val="000000"/>
                <w:kern w:val="0"/>
                <w:sz w:val="18"/>
                <w:szCs w:val="18"/>
              </w:rPr>
              <w:t>合理性</w:t>
            </w:r>
          </w:p>
        </w:tc>
        <w:tc>
          <w:tcPr>
            <w:tcW w:w="927" w:type="pct"/>
            <w:shd w:val="clear" w:color="000000" w:fill="FFFFFF"/>
            <w:vAlign w:val="center"/>
          </w:tcPr>
          <w:p w14:paraId="342D1B7A">
            <w:pPr>
              <w:widowControl/>
              <w:spacing w:line="0" w:lineRule="atLeast"/>
              <w:rPr>
                <w:color w:val="000000"/>
                <w:kern w:val="0"/>
                <w:sz w:val="18"/>
                <w:szCs w:val="18"/>
              </w:rPr>
            </w:pPr>
            <w:r>
              <w:rPr>
                <w:color w:val="000000"/>
                <w:kern w:val="0"/>
                <w:sz w:val="18"/>
                <w:szCs w:val="18"/>
              </w:rPr>
              <w:t>项目所设定的绩效目标是否依据充分，是否符合客观实际，用以反映和考核项目绩效目标与项目实施的相符情况。</w:t>
            </w:r>
          </w:p>
        </w:tc>
        <w:tc>
          <w:tcPr>
            <w:tcW w:w="2051" w:type="pct"/>
            <w:shd w:val="clear" w:color="000000" w:fill="FFFFFF"/>
            <w:vAlign w:val="center"/>
          </w:tcPr>
          <w:p w14:paraId="38B431A5">
            <w:pPr>
              <w:widowControl/>
              <w:spacing w:line="0" w:lineRule="atLeast"/>
              <w:jc w:val="lef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（如未设定预算绩效目标，也可考核其他工作任务目标）</w:t>
            </w:r>
            <w:r>
              <w:rPr>
                <w:color w:val="000000"/>
                <w:kern w:val="0"/>
                <w:sz w:val="18"/>
                <w:szCs w:val="18"/>
              </w:rPr>
              <w:br w:type="textWrapping"/>
            </w:r>
            <w:r>
              <w:rPr>
                <w:color w:val="000000"/>
                <w:kern w:val="0"/>
                <w:sz w:val="18"/>
                <w:szCs w:val="18"/>
              </w:rPr>
              <w:t>①项目是否有绩效目标；</w:t>
            </w:r>
            <w:r>
              <w:rPr>
                <w:color w:val="000000"/>
                <w:kern w:val="0"/>
                <w:sz w:val="18"/>
                <w:szCs w:val="18"/>
              </w:rPr>
              <w:br w:type="textWrapping"/>
            </w:r>
            <w:r>
              <w:rPr>
                <w:color w:val="000000"/>
                <w:kern w:val="0"/>
                <w:sz w:val="18"/>
                <w:szCs w:val="18"/>
              </w:rPr>
              <w:t>②项目绩效目标与实际工作内容是否具有相关性；</w:t>
            </w:r>
            <w:r>
              <w:rPr>
                <w:color w:val="000000"/>
                <w:kern w:val="0"/>
                <w:sz w:val="18"/>
                <w:szCs w:val="18"/>
              </w:rPr>
              <w:br w:type="textWrapping"/>
            </w:r>
            <w:r>
              <w:rPr>
                <w:color w:val="000000"/>
                <w:kern w:val="0"/>
                <w:sz w:val="18"/>
                <w:szCs w:val="18"/>
              </w:rPr>
              <w:t>③项目预期产出效益和效果是否符合正常的业绩水平；</w:t>
            </w:r>
          </w:p>
          <w:p w14:paraId="14E03FEF">
            <w:pPr>
              <w:widowControl/>
              <w:spacing w:line="0" w:lineRule="atLeast"/>
              <w:jc w:val="left"/>
              <w:rPr>
                <w:color w:val="000000"/>
                <w:kern w:val="0"/>
                <w:sz w:val="18"/>
                <w:szCs w:val="18"/>
              </w:rPr>
            </w:pPr>
            <w:r>
              <w:rPr>
                <w:color w:val="000000"/>
                <w:kern w:val="0"/>
                <w:sz w:val="18"/>
                <w:szCs w:val="18"/>
              </w:rPr>
              <w:t>④是否与预算确定的项目投资额或资金量相匹配。</w:t>
            </w:r>
          </w:p>
        </w:tc>
        <w:tc>
          <w:tcPr>
            <w:tcW w:w="512" w:type="pct"/>
            <w:shd w:val="clear" w:color="000000" w:fill="FFFFFF"/>
            <w:vAlign w:val="center"/>
          </w:tcPr>
          <w:p w14:paraId="4175E458">
            <w:pPr>
              <w:widowControl/>
              <w:spacing w:line="0" w:lineRule="atLeast"/>
              <w:jc w:val="center"/>
              <w:rPr>
                <w:b/>
                <w:bCs/>
                <w:color w:val="000000"/>
                <w:kern w:val="0"/>
                <w:sz w:val="18"/>
                <w:szCs w:val="18"/>
              </w:rPr>
            </w:pPr>
            <w:r>
              <w:rPr>
                <w:b/>
                <w:bCs/>
                <w:color w:val="000000"/>
                <w:kern w:val="0"/>
                <w:sz w:val="18"/>
                <w:szCs w:val="18"/>
              </w:rPr>
              <w:t>3</w:t>
            </w:r>
          </w:p>
        </w:tc>
        <w:tc>
          <w:tcPr>
            <w:tcW w:w="536" w:type="pct"/>
            <w:shd w:val="clear" w:color="000000" w:fill="FFFFFF"/>
            <w:vAlign w:val="center"/>
          </w:tcPr>
          <w:p w14:paraId="6F7BB280">
            <w:pPr>
              <w:widowControl/>
              <w:spacing w:line="0" w:lineRule="atLeast"/>
              <w:jc w:val="center"/>
              <w:rPr>
                <w:b/>
                <w:bCs/>
                <w:color w:val="000000"/>
                <w:kern w:val="0"/>
                <w:sz w:val="18"/>
                <w:szCs w:val="18"/>
              </w:rPr>
            </w:pPr>
            <w:r>
              <w:rPr>
                <w:b/>
                <w:bCs/>
                <w:color w:val="000000"/>
                <w:kern w:val="0"/>
                <w:sz w:val="18"/>
                <w:szCs w:val="18"/>
              </w:rPr>
              <w:t>3</w:t>
            </w:r>
          </w:p>
        </w:tc>
      </w:tr>
      <w:tr w14:paraId="53D07B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6" w:type="pct"/>
            <w:vMerge w:val="continue"/>
            <w:shd w:val="clear" w:color="auto" w:fill="FFFFFF"/>
            <w:vAlign w:val="center"/>
          </w:tcPr>
          <w:p w14:paraId="44080960">
            <w:pPr>
              <w:widowControl/>
              <w:spacing w:line="0" w:lineRule="atLeast"/>
              <w:jc w:val="center"/>
              <w:rPr>
                <w:color w:val="000000"/>
                <w:kern w:val="0"/>
                <w:sz w:val="18"/>
                <w:szCs w:val="18"/>
              </w:rPr>
            </w:pPr>
          </w:p>
        </w:tc>
        <w:tc>
          <w:tcPr>
            <w:tcW w:w="301" w:type="pct"/>
            <w:vMerge w:val="continue"/>
            <w:shd w:val="clear" w:color="auto" w:fill="FFFFFF"/>
            <w:vAlign w:val="center"/>
          </w:tcPr>
          <w:p w14:paraId="5E46AB4A">
            <w:pPr>
              <w:widowControl/>
              <w:spacing w:line="0" w:lineRule="atLeast"/>
              <w:jc w:val="center"/>
              <w:rPr>
                <w:color w:val="000000"/>
                <w:kern w:val="0"/>
                <w:sz w:val="18"/>
                <w:szCs w:val="18"/>
              </w:rPr>
            </w:pPr>
          </w:p>
        </w:tc>
        <w:tc>
          <w:tcPr>
            <w:tcW w:w="344" w:type="pct"/>
            <w:shd w:val="clear" w:color="auto" w:fill="FFFFFF"/>
            <w:vAlign w:val="center"/>
          </w:tcPr>
          <w:p w14:paraId="1D5A5379">
            <w:pPr>
              <w:widowControl/>
              <w:spacing w:line="0" w:lineRule="atLeast"/>
              <w:jc w:val="center"/>
              <w:rPr>
                <w:color w:val="000000"/>
                <w:kern w:val="0"/>
                <w:sz w:val="18"/>
                <w:szCs w:val="18"/>
              </w:rPr>
            </w:pPr>
            <w:r>
              <w:rPr>
                <w:color w:val="000000"/>
                <w:kern w:val="0"/>
                <w:sz w:val="18"/>
                <w:szCs w:val="18"/>
              </w:rPr>
              <w:t>绩效指标</w:t>
            </w:r>
          </w:p>
          <w:p w14:paraId="3D074B36">
            <w:pPr>
              <w:widowControl/>
              <w:spacing w:line="0" w:lineRule="atLeast"/>
              <w:jc w:val="center"/>
              <w:rPr>
                <w:color w:val="000000"/>
                <w:kern w:val="0"/>
                <w:sz w:val="18"/>
                <w:szCs w:val="18"/>
              </w:rPr>
            </w:pPr>
            <w:r>
              <w:rPr>
                <w:color w:val="000000"/>
                <w:kern w:val="0"/>
                <w:sz w:val="18"/>
                <w:szCs w:val="18"/>
              </w:rPr>
              <w:t>明确性</w:t>
            </w:r>
          </w:p>
        </w:tc>
        <w:tc>
          <w:tcPr>
            <w:tcW w:w="927" w:type="pct"/>
            <w:shd w:val="clear" w:color="000000" w:fill="FFFFFF"/>
            <w:vAlign w:val="center"/>
          </w:tcPr>
          <w:p w14:paraId="6D3515EB">
            <w:pPr>
              <w:widowControl/>
              <w:spacing w:line="0" w:lineRule="atLeast"/>
              <w:rPr>
                <w:color w:val="000000"/>
                <w:kern w:val="0"/>
                <w:sz w:val="18"/>
                <w:szCs w:val="18"/>
              </w:rPr>
            </w:pPr>
            <w:r>
              <w:rPr>
                <w:color w:val="000000"/>
                <w:kern w:val="0"/>
                <w:sz w:val="18"/>
                <w:szCs w:val="18"/>
              </w:rPr>
              <w:t>依据绩效目标设定的绩效指标是否清晰、细化、可衡量等，用以反映和考核项目绩效目标的明细化情况。</w:t>
            </w:r>
          </w:p>
        </w:tc>
        <w:tc>
          <w:tcPr>
            <w:tcW w:w="2051" w:type="pct"/>
            <w:shd w:val="clear" w:color="000000" w:fill="FFFFFF"/>
            <w:vAlign w:val="center"/>
          </w:tcPr>
          <w:p w14:paraId="563A1E19">
            <w:pPr>
              <w:widowControl/>
              <w:spacing w:line="0" w:lineRule="atLeas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①是否将项目绩效目标细化分解为具体的绩效指标；</w:t>
            </w:r>
            <w:r>
              <w:rPr>
                <w:color w:val="000000"/>
                <w:kern w:val="0"/>
                <w:sz w:val="18"/>
                <w:szCs w:val="18"/>
              </w:rPr>
              <w:br w:type="textWrapping"/>
            </w:r>
            <w:r>
              <w:rPr>
                <w:color w:val="000000"/>
                <w:kern w:val="0"/>
                <w:sz w:val="18"/>
                <w:szCs w:val="18"/>
              </w:rPr>
              <w:t>②是否通过清晰、可衡量的指标值予以体现；</w:t>
            </w:r>
            <w:r>
              <w:rPr>
                <w:color w:val="000000"/>
                <w:kern w:val="0"/>
                <w:sz w:val="18"/>
                <w:szCs w:val="18"/>
              </w:rPr>
              <w:br w:type="textWrapping"/>
            </w:r>
            <w:r>
              <w:rPr>
                <w:color w:val="000000"/>
                <w:kern w:val="0"/>
                <w:sz w:val="18"/>
                <w:szCs w:val="18"/>
              </w:rPr>
              <w:t>③是否与项目目标任务数或计划数相对应。</w:t>
            </w:r>
            <w:r>
              <w:rPr>
                <w:color w:val="000000"/>
                <w:kern w:val="0"/>
                <w:sz w:val="18"/>
                <w:szCs w:val="18"/>
              </w:rPr>
              <w:br w:type="textWrapping"/>
            </w:r>
          </w:p>
        </w:tc>
        <w:tc>
          <w:tcPr>
            <w:tcW w:w="512" w:type="pct"/>
            <w:shd w:val="clear" w:color="000000" w:fill="FFFFFF"/>
            <w:vAlign w:val="center"/>
          </w:tcPr>
          <w:p w14:paraId="0FC951D6">
            <w:pPr>
              <w:widowControl/>
              <w:spacing w:line="0" w:lineRule="atLeast"/>
              <w:jc w:val="center"/>
              <w:rPr>
                <w:b/>
                <w:bCs/>
                <w:color w:val="000000"/>
                <w:kern w:val="0"/>
                <w:sz w:val="18"/>
                <w:szCs w:val="18"/>
              </w:rPr>
            </w:pPr>
            <w:r>
              <w:rPr>
                <w:b/>
                <w:bCs/>
                <w:color w:val="000000"/>
                <w:kern w:val="0"/>
                <w:sz w:val="18"/>
                <w:szCs w:val="18"/>
              </w:rPr>
              <w:t>3</w:t>
            </w:r>
          </w:p>
        </w:tc>
        <w:tc>
          <w:tcPr>
            <w:tcW w:w="536" w:type="pct"/>
            <w:shd w:val="clear" w:color="000000" w:fill="FFFFFF"/>
            <w:vAlign w:val="center"/>
          </w:tcPr>
          <w:p w14:paraId="636DC2E6">
            <w:pPr>
              <w:widowControl/>
              <w:spacing w:line="0" w:lineRule="atLeast"/>
              <w:jc w:val="center"/>
              <w:rPr>
                <w:b/>
                <w:bCs/>
                <w:color w:val="000000"/>
                <w:kern w:val="0"/>
                <w:sz w:val="18"/>
                <w:szCs w:val="18"/>
              </w:rPr>
            </w:pPr>
            <w:r>
              <w:rPr>
                <w:b/>
                <w:bCs/>
                <w:color w:val="000000"/>
                <w:kern w:val="0"/>
                <w:sz w:val="18"/>
                <w:szCs w:val="18"/>
              </w:rPr>
              <w:t>3</w:t>
            </w:r>
          </w:p>
        </w:tc>
      </w:tr>
      <w:tr w14:paraId="0D24E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6" w:type="pct"/>
            <w:vMerge w:val="continue"/>
            <w:shd w:val="clear" w:color="auto" w:fill="FFFFFF"/>
            <w:vAlign w:val="center"/>
          </w:tcPr>
          <w:p w14:paraId="56D100BB">
            <w:pPr>
              <w:spacing w:line="0" w:lineRule="atLeast"/>
              <w:jc w:val="center"/>
              <w:rPr>
                <w:color w:val="000000"/>
                <w:kern w:val="0"/>
                <w:sz w:val="18"/>
                <w:szCs w:val="18"/>
              </w:rPr>
            </w:pPr>
          </w:p>
        </w:tc>
        <w:tc>
          <w:tcPr>
            <w:tcW w:w="301" w:type="pct"/>
            <w:vMerge w:val="restart"/>
            <w:shd w:val="clear" w:color="auto" w:fill="FFFFFF"/>
            <w:vAlign w:val="center"/>
          </w:tcPr>
          <w:p w14:paraId="49D3AD0B">
            <w:pPr>
              <w:widowControl/>
              <w:spacing w:line="0" w:lineRule="atLeast"/>
              <w:jc w:val="center"/>
              <w:rPr>
                <w:color w:val="000000"/>
                <w:kern w:val="0"/>
                <w:sz w:val="18"/>
                <w:szCs w:val="18"/>
              </w:rPr>
            </w:pPr>
            <w:r>
              <w:rPr>
                <w:color w:val="000000"/>
                <w:kern w:val="0"/>
                <w:sz w:val="18"/>
                <w:szCs w:val="18"/>
              </w:rPr>
              <w:t>资金投入</w:t>
            </w:r>
          </w:p>
          <w:p w14:paraId="3479F04C">
            <w:pPr>
              <w:spacing w:line="0" w:lineRule="atLeast"/>
              <w:jc w:val="center"/>
              <w:rPr>
                <w:color w:val="000000"/>
                <w:kern w:val="0"/>
                <w:sz w:val="18"/>
                <w:szCs w:val="18"/>
              </w:rPr>
            </w:pPr>
            <w:r>
              <w:rPr>
                <w:color w:val="000000"/>
                <w:kern w:val="0"/>
                <w:sz w:val="18"/>
                <w:szCs w:val="18"/>
              </w:rPr>
              <w:t>　</w:t>
            </w:r>
          </w:p>
        </w:tc>
        <w:tc>
          <w:tcPr>
            <w:tcW w:w="344" w:type="pct"/>
            <w:shd w:val="clear" w:color="auto" w:fill="FFFFFF"/>
            <w:vAlign w:val="center"/>
          </w:tcPr>
          <w:p w14:paraId="741A9C6A">
            <w:pPr>
              <w:widowControl/>
              <w:spacing w:line="0" w:lineRule="atLeast"/>
              <w:jc w:val="center"/>
              <w:rPr>
                <w:color w:val="000000"/>
                <w:kern w:val="0"/>
                <w:sz w:val="18"/>
                <w:szCs w:val="18"/>
              </w:rPr>
            </w:pPr>
            <w:r>
              <w:rPr>
                <w:color w:val="000000"/>
                <w:kern w:val="0"/>
                <w:sz w:val="18"/>
                <w:szCs w:val="18"/>
              </w:rPr>
              <w:t>预算编制</w:t>
            </w:r>
          </w:p>
          <w:p w14:paraId="7BD47748">
            <w:pPr>
              <w:widowControl/>
              <w:spacing w:line="0" w:lineRule="atLeast"/>
              <w:jc w:val="center"/>
              <w:rPr>
                <w:color w:val="000000"/>
                <w:kern w:val="0"/>
                <w:sz w:val="18"/>
                <w:szCs w:val="18"/>
              </w:rPr>
            </w:pPr>
            <w:r>
              <w:rPr>
                <w:color w:val="000000"/>
                <w:kern w:val="0"/>
                <w:sz w:val="18"/>
                <w:szCs w:val="18"/>
              </w:rPr>
              <w:t>科学性</w:t>
            </w:r>
          </w:p>
        </w:tc>
        <w:tc>
          <w:tcPr>
            <w:tcW w:w="927" w:type="pct"/>
            <w:shd w:val="clear" w:color="auto" w:fill="FFFFFF"/>
            <w:vAlign w:val="center"/>
          </w:tcPr>
          <w:p w14:paraId="24033634">
            <w:pPr>
              <w:widowControl/>
              <w:spacing w:line="0" w:lineRule="atLeast"/>
              <w:rPr>
                <w:color w:val="000000"/>
                <w:kern w:val="0"/>
                <w:sz w:val="18"/>
                <w:szCs w:val="18"/>
              </w:rPr>
            </w:pPr>
            <w:r>
              <w:rPr>
                <w:color w:val="000000"/>
                <w:kern w:val="0"/>
                <w:sz w:val="18"/>
                <w:szCs w:val="18"/>
              </w:rPr>
              <w:t>项目预算编制是否经过科学论证、有明确标准，资金额度与年度目标是否相适应，用以反映和考核项目预算编制的科学性、合理性情况。</w:t>
            </w:r>
          </w:p>
        </w:tc>
        <w:tc>
          <w:tcPr>
            <w:tcW w:w="2051" w:type="pct"/>
            <w:shd w:val="clear" w:color="auto" w:fill="FFFFFF"/>
            <w:vAlign w:val="center"/>
          </w:tcPr>
          <w:p w14:paraId="230237E2">
            <w:pPr>
              <w:widowControl/>
              <w:spacing w:line="0" w:lineRule="atLeas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①预算编制是否经过科学论证；</w:t>
            </w:r>
            <w:r>
              <w:rPr>
                <w:color w:val="000000"/>
                <w:kern w:val="0"/>
                <w:sz w:val="18"/>
                <w:szCs w:val="18"/>
              </w:rPr>
              <w:br w:type="textWrapping"/>
            </w:r>
            <w:r>
              <w:rPr>
                <w:color w:val="000000"/>
                <w:kern w:val="0"/>
                <w:sz w:val="18"/>
                <w:szCs w:val="18"/>
              </w:rPr>
              <w:t>②预算内容与项目内容是否匹配；</w:t>
            </w:r>
            <w:r>
              <w:rPr>
                <w:color w:val="000000"/>
                <w:kern w:val="0"/>
                <w:sz w:val="18"/>
                <w:szCs w:val="18"/>
              </w:rPr>
              <w:br w:type="textWrapping"/>
            </w:r>
            <w:r>
              <w:rPr>
                <w:color w:val="000000"/>
                <w:kern w:val="0"/>
                <w:sz w:val="18"/>
                <w:szCs w:val="18"/>
              </w:rPr>
              <w:t>③预算额度测算依据是否充分，是否按照标准编制；</w:t>
            </w:r>
            <w:r>
              <w:rPr>
                <w:color w:val="000000"/>
                <w:kern w:val="0"/>
                <w:sz w:val="18"/>
                <w:szCs w:val="18"/>
              </w:rPr>
              <w:br w:type="textWrapping"/>
            </w:r>
            <w:r>
              <w:rPr>
                <w:color w:val="000000"/>
                <w:kern w:val="0"/>
                <w:sz w:val="18"/>
                <w:szCs w:val="18"/>
              </w:rPr>
              <w:t>④预算确定的项目投资额或资金量是否与工作任务相匹配。</w:t>
            </w:r>
          </w:p>
        </w:tc>
        <w:tc>
          <w:tcPr>
            <w:tcW w:w="512" w:type="pct"/>
            <w:shd w:val="clear" w:color="auto" w:fill="FFFFFF"/>
            <w:vAlign w:val="center"/>
          </w:tcPr>
          <w:p w14:paraId="13794F4B">
            <w:pPr>
              <w:widowControl/>
              <w:spacing w:line="0" w:lineRule="atLeast"/>
              <w:jc w:val="center"/>
              <w:rPr>
                <w:b/>
                <w:bCs/>
                <w:color w:val="000000"/>
                <w:kern w:val="0"/>
                <w:sz w:val="18"/>
                <w:szCs w:val="18"/>
              </w:rPr>
            </w:pPr>
            <w:r>
              <w:rPr>
                <w:b/>
                <w:bCs/>
                <w:color w:val="000000"/>
                <w:kern w:val="0"/>
                <w:sz w:val="18"/>
                <w:szCs w:val="18"/>
              </w:rPr>
              <w:t>4</w:t>
            </w:r>
          </w:p>
        </w:tc>
        <w:tc>
          <w:tcPr>
            <w:tcW w:w="536" w:type="pct"/>
            <w:shd w:val="clear" w:color="auto" w:fill="FFFFFF"/>
            <w:vAlign w:val="center"/>
          </w:tcPr>
          <w:p w14:paraId="6269A886">
            <w:pPr>
              <w:widowControl/>
              <w:spacing w:line="0" w:lineRule="atLeast"/>
              <w:jc w:val="center"/>
              <w:rPr>
                <w:b/>
                <w:bCs/>
                <w:color w:val="000000"/>
                <w:kern w:val="0"/>
                <w:sz w:val="18"/>
                <w:szCs w:val="18"/>
              </w:rPr>
            </w:pPr>
            <w:r>
              <w:rPr>
                <w:b/>
                <w:bCs/>
                <w:color w:val="000000"/>
                <w:kern w:val="0"/>
                <w:sz w:val="18"/>
                <w:szCs w:val="18"/>
              </w:rPr>
              <w:t>4</w:t>
            </w:r>
          </w:p>
        </w:tc>
      </w:tr>
      <w:tr w14:paraId="60EEB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6" w:type="pct"/>
            <w:vMerge w:val="continue"/>
            <w:shd w:val="clear" w:color="auto" w:fill="FFFFFF"/>
            <w:vAlign w:val="center"/>
          </w:tcPr>
          <w:p w14:paraId="440CBBA0">
            <w:pPr>
              <w:widowControl/>
              <w:spacing w:line="0" w:lineRule="atLeast"/>
              <w:jc w:val="center"/>
              <w:rPr>
                <w:color w:val="000000"/>
                <w:kern w:val="0"/>
                <w:sz w:val="18"/>
                <w:szCs w:val="18"/>
              </w:rPr>
            </w:pPr>
          </w:p>
        </w:tc>
        <w:tc>
          <w:tcPr>
            <w:tcW w:w="301" w:type="pct"/>
            <w:vMerge w:val="continue"/>
            <w:shd w:val="clear" w:color="auto" w:fill="FFFFFF"/>
            <w:vAlign w:val="center"/>
          </w:tcPr>
          <w:p w14:paraId="3155EF3A">
            <w:pPr>
              <w:widowControl/>
              <w:spacing w:line="0" w:lineRule="atLeast"/>
              <w:jc w:val="center"/>
              <w:rPr>
                <w:color w:val="000000"/>
                <w:kern w:val="0"/>
                <w:sz w:val="18"/>
                <w:szCs w:val="18"/>
              </w:rPr>
            </w:pPr>
          </w:p>
        </w:tc>
        <w:tc>
          <w:tcPr>
            <w:tcW w:w="344" w:type="pct"/>
            <w:shd w:val="clear" w:color="auto" w:fill="FFFFFF"/>
            <w:vAlign w:val="center"/>
          </w:tcPr>
          <w:p w14:paraId="7E499D2D">
            <w:pPr>
              <w:widowControl/>
              <w:spacing w:line="0" w:lineRule="atLeast"/>
              <w:jc w:val="center"/>
              <w:rPr>
                <w:color w:val="000000"/>
                <w:kern w:val="0"/>
                <w:sz w:val="18"/>
                <w:szCs w:val="18"/>
              </w:rPr>
            </w:pPr>
            <w:r>
              <w:rPr>
                <w:color w:val="000000"/>
                <w:kern w:val="0"/>
                <w:sz w:val="18"/>
                <w:szCs w:val="18"/>
              </w:rPr>
              <w:t>资金分配</w:t>
            </w:r>
          </w:p>
          <w:p w14:paraId="69785E88">
            <w:pPr>
              <w:widowControl/>
              <w:spacing w:line="0" w:lineRule="atLeast"/>
              <w:jc w:val="center"/>
              <w:rPr>
                <w:color w:val="000000"/>
                <w:kern w:val="0"/>
                <w:sz w:val="18"/>
                <w:szCs w:val="18"/>
              </w:rPr>
            </w:pPr>
            <w:r>
              <w:rPr>
                <w:color w:val="000000"/>
                <w:kern w:val="0"/>
                <w:sz w:val="18"/>
                <w:szCs w:val="18"/>
              </w:rPr>
              <w:t>合理性</w:t>
            </w:r>
          </w:p>
        </w:tc>
        <w:tc>
          <w:tcPr>
            <w:tcW w:w="927" w:type="pct"/>
            <w:shd w:val="clear" w:color="auto" w:fill="FFFFFF"/>
            <w:vAlign w:val="center"/>
          </w:tcPr>
          <w:p w14:paraId="0B725D7C">
            <w:pPr>
              <w:widowControl/>
              <w:spacing w:line="0" w:lineRule="atLeast"/>
              <w:rPr>
                <w:color w:val="000000"/>
                <w:kern w:val="0"/>
                <w:sz w:val="18"/>
                <w:szCs w:val="18"/>
              </w:rPr>
            </w:pPr>
            <w:r>
              <w:rPr>
                <w:color w:val="000000"/>
                <w:kern w:val="0"/>
                <w:sz w:val="18"/>
                <w:szCs w:val="18"/>
              </w:rPr>
              <w:t>项目预算资金分配是否有测算依据，与补助单位或地方实际是否相适应，用以反映和考核项目预算资金分配的科学性、合理性情况。</w:t>
            </w:r>
          </w:p>
        </w:tc>
        <w:tc>
          <w:tcPr>
            <w:tcW w:w="2051" w:type="pct"/>
            <w:shd w:val="clear" w:color="auto" w:fill="FFFFFF"/>
            <w:vAlign w:val="center"/>
          </w:tcPr>
          <w:p w14:paraId="5E553EA4">
            <w:pPr>
              <w:widowControl/>
              <w:spacing w:line="0" w:lineRule="atLeas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①预算资金分配依据是否充分；</w:t>
            </w:r>
            <w:r>
              <w:rPr>
                <w:color w:val="000000"/>
                <w:kern w:val="0"/>
                <w:sz w:val="18"/>
                <w:szCs w:val="18"/>
              </w:rPr>
              <w:br w:type="textWrapping"/>
            </w:r>
            <w:r>
              <w:rPr>
                <w:color w:val="000000"/>
                <w:kern w:val="0"/>
                <w:sz w:val="18"/>
                <w:szCs w:val="18"/>
              </w:rPr>
              <w:t>②资金分配额度是否合理，与项目单位或地方实际是否相适应。</w:t>
            </w:r>
          </w:p>
        </w:tc>
        <w:tc>
          <w:tcPr>
            <w:tcW w:w="512" w:type="pct"/>
            <w:shd w:val="clear" w:color="auto" w:fill="FFFFFF"/>
            <w:vAlign w:val="center"/>
          </w:tcPr>
          <w:p w14:paraId="56D67016">
            <w:pPr>
              <w:widowControl/>
              <w:spacing w:line="0" w:lineRule="atLeast"/>
              <w:jc w:val="center"/>
              <w:rPr>
                <w:b/>
                <w:bCs/>
                <w:color w:val="000000"/>
                <w:kern w:val="0"/>
                <w:sz w:val="18"/>
                <w:szCs w:val="18"/>
              </w:rPr>
            </w:pPr>
            <w:r>
              <w:rPr>
                <w:b/>
                <w:bCs/>
                <w:color w:val="000000"/>
                <w:kern w:val="0"/>
                <w:sz w:val="18"/>
                <w:szCs w:val="18"/>
              </w:rPr>
              <w:t>4</w:t>
            </w:r>
          </w:p>
        </w:tc>
        <w:tc>
          <w:tcPr>
            <w:tcW w:w="536" w:type="pct"/>
            <w:shd w:val="clear" w:color="auto" w:fill="FFFFFF"/>
            <w:vAlign w:val="center"/>
          </w:tcPr>
          <w:p w14:paraId="607C95B7">
            <w:pPr>
              <w:widowControl/>
              <w:spacing w:line="0" w:lineRule="atLeast"/>
              <w:jc w:val="center"/>
              <w:rPr>
                <w:b/>
                <w:bCs/>
                <w:color w:val="000000"/>
                <w:kern w:val="0"/>
                <w:sz w:val="18"/>
                <w:szCs w:val="18"/>
              </w:rPr>
            </w:pPr>
            <w:r>
              <w:rPr>
                <w:b/>
                <w:bCs/>
                <w:color w:val="000000"/>
                <w:kern w:val="0"/>
                <w:sz w:val="18"/>
                <w:szCs w:val="18"/>
              </w:rPr>
              <w:t>4</w:t>
            </w:r>
          </w:p>
        </w:tc>
      </w:tr>
      <w:tr w14:paraId="3FA2BC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6" w:type="pct"/>
            <w:vMerge w:val="restart"/>
            <w:shd w:val="clear" w:color="auto" w:fill="FFFFFF"/>
            <w:vAlign w:val="center"/>
          </w:tcPr>
          <w:p w14:paraId="34AC7C8D">
            <w:pPr>
              <w:spacing w:line="0" w:lineRule="atLeast"/>
              <w:jc w:val="center"/>
              <w:rPr>
                <w:color w:val="000000"/>
                <w:kern w:val="0"/>
                <w:sz w:val="18"/>
                <w:szCs w:val="18"/>
              </w:rPr>
            </w:pPr>
          </w:p>
          <w:p w14:paraId="4F414284">
            <w:pPr>
              <w:spacing w:line="0" w:lineRule="atLeast"/>
              <w:jc w:val="center"/>
              <w:rPr>
                <w:color w:val="000000"/>
                <w:kern w:val="0"/>
                <w:sz w:val="18"/>
                <w:szCs w:val="18"/>
              </w:rPr>
            </w:pPr>
          </w:p>
          <w:p w14:paraId="3570430A">
            <w:pPr>
              <w:spacing w:line="0" w:lineRule="atLeast"/>
              <w:jc w:val="center"/>
              <w:rPr>
                <w:color w:val="000000"/>
                <w:kern w:val="0"/>
                <w:sz w:val="18"/>
                <w:szCs w:val="18"/>
              </w:rPr>
            </w:pPr>
          </w:p>
          <w:p w14:paraId="42CCB5D8">
            <w:pPr>
              <w:spacing w:line="0" w:lineRule="atLeast"/>
              <w:jc w:val="center"/>
              <w:rPr>
                <w:color w:val="000000"/>
                <w:kern w:val="0"/>
                <w:sz w:val="18"/>
                <w:szCs w:val="18"/>
              </w:rPr>
            </w:pPr>
          </w:p>
          <w:p w14:paraId="1719685B">
            <w:pPr>
              <w:spacing w:line="0" w:lineRule="atLeast"/>
              <w:jc w:val="center"/>
              <w:rPr>
                <w:color w:val="000000"/>
                <w:kern w:val="0"/>
                <w:sz w:val="18"/>
                <w:szCs w:val="18"/>
              </w:rPr>
            </w:pPr>
          </w:p>
          <w:p w14:paraId="4B01A12E">
            <w:pPr>
              <w:spacing w:line="0" w:lineRule="atLeast"/>
              <w:jc w:val="center"/>
              <w:rPr>
                <w:color w:val="000000"/>
                <w:kern w:val="0"/>
                <w:sz w:val="18"/>
                <w:szCs w:val="18"/>
              </w:rPr>
            </w:pPr>
          </w:p>
          <w:p w14:paraId="396DE223">
            <w:pPr>
              <w:spacing w:line="0" w:lineRule="atLeast"/>
              <w:jc w:val="center"/>
              <w:rPr>
                <w:color w:val="000000"/>
                <w:kern w:val="0"/>
                <w:sz w:val="18"/>
                <w:szCs w:val="18"/>
              </w:rPr>
            </w:pPr>
          </w:p>
          <w:p w14:paraId="486E2FE6">
            <w:pPr>
              <w:spacing w:line="0" w:lineRule="atLeast"/>
              <w:jc w:val="center"/>
              <w:rPr>
                <w:color w:val="000000"/>
                <w:kern w:val="0"/>
                <w:sz w:val="18"/>
                <w:szCs w:val="18"/>
              </w:rPr>
            </w:pPr>
          </w:p>
          <w:p w14:paraId="1108EF14">
            <w:pPr>
              <w:spacing w:line="0" w:lineRule="atLeast"/>
              <w:jc w:val="center"/>
              <w:rPr>
                <w:color w:val="000000"/>
                <w:kern w:val="0"/>
                <w:sz w:val="18"/>
                <w:szCs w:val="18"/>
              </w:rPr>
            </w:pPr>
          </w:p>
          <w:p w14:paraId="31EAC06F">
            <w:pPr>
              <w:spacing w:line="0" w:lineRule="atLeast"/>
              <w:jc w:val="center"/>
              <w:rPr>
                <w:color w:val="000000"/>
                <w:kern w:val="0"/>
                <w:sz w:val="18"/>
                <w:szCs w:val="18"/>
              </w:rPr>
            </w:pPr>
          </w:p>
          <w:p w14:paraId="494248A8">
            <w:pPr>
              <w:spacing w:line="0" w:lineRule="atLeast"/>
              <w:jc w:val="center"/>
              <w:rPr>
                <w:color w:val="000000"/>
                <w:kern w:val="0"/>
                <w:sz w:val="18"/>
                <w:szCs w:val="18"/>
              </w:rPr>
            </w:pPr>
          </w:p>
          <w:p w14:paraId="6D17B0B5">
            <w:pPr>
              <w:spacing w:line="0" w:lineRule="atLeast"/>
              <w:jc w:val="center"/>
              <w:rPr>
                <w:color w:val="000000"/>
                <w:kern w:val="0"/>
                <w:sz w:val="18"/>
                <w:szCs w:val="18"/>
              </w:rPr>
            </w:pPr>
          </w:p>
          <w:p w14:paraId="65C1A163">
            <w:pPr>
              <w:spacing w:line="0" w:lineRule="atLeast"/>
              <w:jc w:val="center"/>
              <w:rPr>
                <w:color w:val="000000"/>
                <w:kern w:val="0"/>
                <w:sz w:val="18"/>
                <w:szCs w:val="18"/>
              </w:rPr>
            </w:pPr>
          </w:p>
          <w:p w14:paraId="35C32C2B">
            <w:pPr>
              <w:spacing w:line="0" w:lineRule="atLeast"/>
              <w:jc w:val="center"/>
              <w:rPr>
                <w:color w:val="000000"/>
                <w:kern w:val="0"/>
                <w:sz w:val="18"/>
                <w:szCs w:val="18"/>
              </w:rPr>
            </w:pPr>
          </w:p>
          <w:p w14:paraId="3A2386A1">
            <w:pPr>
              <w:spacing w:line="0" w:lineRule="atLeast"/>
              <w:jc w:val="center"/>
              <w:rPr>
                <w:color w:val="000000"/>
                <w:kern w:val="0"/>
                <w:sz w:val="18"/>
                <w:szCs w:val="18"/>
              </w:rPr>
            </w:pPr>
          </w:p>
          <w:p w14:paraId="1CC1488D">
            <w:pPr>
              <w:spacing w:line="0" w:lineRule="atLeast"/>
              <w:jc w:val="center"/>
              <w:rPr>
                <w:color w:val="000000"/>
                <w:kern w:val="0"/>
                <w:sz w:val="18"/>
                <w:szCs w:val="18"/>
              </w:rPr>
            </w:pPr>
            <w:r>
              <w:rPr>
                <w:color w:val="000000"/>
                <w:kern w:val="0"/>
                <w:sz w:val="18"/>
                <w:szCs w:val="18"/>
              </w:rPr>
              <w:t>过程</w:t>
            </w:r>
          </w:p>
          <w:p w14:paraId="154E513B">
            <w:pPr>
              <w:widowControl/>
              <w:spacing w:line="0" w:lineRule="atLeast"/>
              <w:jc w:val="center"/>
              <w:rPr>
                <w:color w:val="000000"/>
                <w:kern w:val="0"/>
                <w:sz w:val="18"/>
                <w:szCs w:val="18"/>
              </w:rPr>
            </w:pPr>
            <w:r>
              <w:rPr>
                <w:color w:val="000000"/>
                <w:kern w:val="0"/>
                <w:sz w:val="18"/>
                <w:szCs w:val="18"/>
              </w:rPr>
              <w:t>　　</w:t>
            </w:r>
          </w:p>
        </w:tc>
        <w:tc>
          <w:tcPr>
            <w:tcW w:w="301" w:type="pct"/>
            <w:vMerge w:val="restart"/>
            <w:shd w:val="clear" w:color="auto" w:fill="FFFFFF"/>
            <w:vAlign w:val="center"/>
          </w:tcPr>
          <w:p w14:paraId="01215133">
            <w:pPr>
              <w:widowControl/>
              <w:spacing w:line="0" w:lineRule="atLeast"/>
              <w:jc w:val="center"/>
              <w:rPr>
                <w:color w:val="000000"/>
                <w:kern w:val="0"/>
                <w:sz w:val="18"/>
                <w:szCs w:val="18"/>
              </w:rPr>
            </w:pPr>
            <w:r>
              <w:rPr>
                <w:color w:val="000000"/>
                <w:kern w:val="0"/>
                <w:sz w:val="18"/>
                <w:szCs w:val="18"/>
              </w:rPr>
              <w:t>资金管理</w:t>
            </w:r>
          </w:p>
        </w:tc>
        <w:tc>
          <w:tcPr>
            <w:tcW w:w="344" w:type="pct"/>
            <w:shd w:val="clear" w:color="auto" w:fill="FFFFFF"/>
            <w:vAlign w:val="center"/>
          </w:tcPr>
          <w:p w14:paraId="26AE3949">
            <w:pPr>
              <w:widowControl/>
              <w:spacing w:line="0" w:lineRule="atLeast"/>
              <w:jc w:val="center"/>
              <w:rPr>
                <w:color w:val="000000"/>
                <w:kern w:val="0"/>
                <w:sz w:val="18"/>
                <w:szCs w:val="18"/>
              </w:rPr>
            </w:pPr>
            <w:r>
              <w:rPr>
                <w:color w:val="000000"/>
                <w:kern w:val="0"/>
                <w:sz w:val="18"/>
                <w:szCs w:val="18"/>
              </w:rPr>
              <w:t>资金到位率</w:t>
            </w:r>
          </w:p>
        </w:tc>
        <w:tc>
          <w:tcPr>
            <w:tcW w:w="927" w:type="pct"/>
            <w:shd w:val="clear" w:color="000000" w:fill="FFFFFF"/>
            <w:vAlign w:val="center"/>
          </w:tcPr>
          <w:p w14:paraId="33B335B0">
            <w:pPr>
              <w:widowControl/>
              <w:spacing w:line="0" w:lineRule="atLeast"/>
              <w:rPr>
                <w:color w:val="000000"/>
                <w:kern w:val="0"/>
                <w:sz w:val="18"/>
                <w:szCs w:val="18"/>
              </w:rPr>
            </w:pPr>
            <w:r>
              <w:rPr>
                <w:color w:val="000000"/>
                <w:kern w:val="0"/>
                <w:sz w:val="18"/>
                <w:szCs w:val="18"/>
              </w:rPr>
              <w:t>实际到位资金与预算资金的比率，用以反映和考核资金落实情况对项目实施的总体保障程度。</w:t>
            </w:r>
          </w:p>
        </w:tc>
        <w:tc>
          <w:tcPr>
            <w:tcW w:w="2051" w:type="pct"/>
            <w:shd w:val="clear" w:color="000000" w:fill="FFFFFF"/>
            <w:vAlign w:val="center"/>
          </w:tcPr>
          <w:p w14:paraId="287AB824">
            <w:pPr>
              <w:widowControl/>
              <w:spacing w:line="0" w:lineRule="atLeast"/>
              <w:rPr>
                <w:color w:val="000000"/>
                <w:kern w:val="0"/>
                <w:sz w:val="18"/>
                <w:szCs w:val="18"/>
              </w:rPr>
            </w:pPr>
            <w:r>
              <w:rPr>
                <w:color w:val="000000"/>
                <w:kern w:val="0"/>
                <w:sz w:val="18"/>
                <w:szCs w:val="18"/>
              </w:rPr>
              <w:t>资金到位率=（实际到位资金/预算资金）×100%。</w:t>
            </w:r>
          </w:p>
          <w:p w14:paraId="40B066E6">
            <w:pPr>
              <w:widowControl/>
              <w:spacing w:line="0" w:lineRule="atLeast"/>
              <w:rPr>
                <w:color w:val="000000"/>
                <w:kern w:val="0"/>
                <w:sz w:val="18"/>
                <w:szCs w:val="18"/>
              </w:rPr>
            </w:pPr>
            <w:r>
              <w:rPr>
                <w:color w:val="000000"/>
                <w:kern w:val="0"/>
                <w:sz w:val="18"/>
                <w:szCs w:val="18"/>
              </w:rPr>
              <w:t>实际到位资金：一定时期（本年度或项目期）内落实到具体项目的资金。</w:t>
            </w:r>
          </w:p>
          <w:p w14:paraId="153FC832">
            <w:pPr>
              <w:widowControl/>
              <w:spacing w:line="0" w:lineRule="atLeast"/>
              <w:rPr>
                <w:color w:val="000000"/>
                <w:kern w:val="0"/>
                <w:sz w:val="18"/>
                <w:szCs w:val="18"/>
              </w:rPr>
            </w:pPr>
            <w:r>
              <w:rPr>
                <w:color w:val="000000"/>
                <w:kern w:val="0"/>
                <w:sz w:val="18"/>
                <w:szCs w:val="18"/>
              </w:rPr>
              <w:t>预算资金：一定时期（本年度或项目期）内预算安排到具体项目的资金。</w:t>
            </w:r>
          </w:p>
        </w:tc>
        <w:tc>
          <w:tcPr>
            <w:tcW w:w="512" w:type="pct"/>
            <w:shd w:val="clear" w:color="000000" w:fill="FFFFFF"/>
            <w:vAlign w:val="center"/>
          </w:tcPr>
          <w:p w14:paraId="778BEFD0">
            <w:pPr>
              <w:widowControl/>
              <w:spacing w:line="0" w:lineRule="atLeast"/>
              <w:jc w:val="center"/>
              <w:rPr>
                <w:b/>
                <w:bCs/>
                <w:color w:val="000000"/>
                <w:kern w:val="0"/>
                <w:sz w:val="18"/>
                <w:szCs w:val="18"/>
              </w:rPr>
            </w:pPr>
            <w:r>
              <w:rPr>
                <w:b/>
                <w:bCs/>
                <w:color w:val="000000"/>
                <w:kern w:val="0"/>
                <w:sz w:val="18"/>
                <w:szCs w:val="18"/>
              </w:rPr>
              <w:t>4</w:t>
            </w:r>
          </w:p>
        </w:tc>
        <w:tc>
          <w:tcPr>
            <w:tcW w:w="536" w:type="pct"/>
            <w:shd w:val="clear" w:color="000000" w:fill="FFFFFF"/>
            <w:vAlign w:val="center"/>
          </w:tcPr>
          <w:p w14:paraId="4066ADC1">
            <w:pPr>
              <w:widowControl/>
              <w:spacing w:line="0" w:lineRule="atLeast"/>
              <w:jc w:val="center"/>
              <w:rPr>
                <w:b/>
                <w:bCs/>
                <w:color w:val="000000"/>
                <w:kern w:val="0"/>
                <w:sz w:val="18"/>
                <w:szCs w:val="18"/>
              </w:rPr>
            </w:pPr>
            <w:r>
              <w:rPr>
                <w:b/>
                <w:bCs/>
                <w:color w:val="000000"/>
                <w:kern w:val="0"/>
                <w:sz w:val="18"/>
                <w:szCs w:val="18"/>
              </w:rPr>
              <w:t>4</w:t>
            </w:r>
          </w:p>
        </w:tc>
      </w:tr>
      <w:tr w14:paraId="07B55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6" w:type="pct"/>
            <w:vMerge w:val="continue"/>
            <w:shd w:val="clear" w:color="auto" w:fill="FFFFFF"/>
            <w:vAlign w:val="center"/>
          </w:tcPr>
          <w:p w14:paraId="496DF972">
            <w:pPr>
              <w:spacing w:line="0" w:lineRule="atLeast"/>
              <w:jc w:val="center"/>
              <w:rPr>
                <w:color w:val="000000"/>
                <w:kern w:val="0"/>
                <w:sz w:val="18"/>
                <w:szCs w:val="18"/>
              </w:rPr>
            </w:pPr>
          </w:p>
        </w:tc>
        <w:tc>
          <w:tcPr>
            <w:tcW w:w="301" w:type="pct"/>
            <w:vMerge w:val="continue"/>
            <w:shd w:val="clear" w:color="auto" w:fill="FFFFFF"/>
            <w:vAlign w:val="center"/>
          </w:tcPr>
          <w:p w14:paraId="6B940F27">
            <w:pPr>
              <w:spacing w:line="0" w:lineRule="atLeast"/>
              <w:jc w:val="center"/>
              <w:rPr>
                <w:color w:val="000000"/>
                <w:kern w:val="0"/>
                <w:sz w:val="18"/>
                <w:szCs w:val="18"/>
              </w:rPr>
            </w:pPr>
          </w:p>
        </w:tc>
        <w:tc>
          <w:tcPr>
            <w:tcW w:w="344" w:type="pct"/>
            <w:shd w:val="clear" w:color="auto" w:fill="FFFFFF"/>
            <w:vAlign w:val="center"/>
          </w:tcPr>
          <w:p w14:paraId="73F23B24">
            <w:pPr>
              <w:widowControl/>
              <w:spacing w:line="0" w:lineRule="atLeast"/>
              <w:jc w:val="center"/>
              <w:rPr>
                <w:color w:val="000000"/>
                <w:kern w:val="0"/>
                <w:sz w:val="18"/>
                <w:szCs w:val="18"/>
              </w:rPr>
            </w:pPr>
            <w:r>
              <w:rPr>
                <w:color w:val="000000"/>
                <w:kern w:val="0"/>
                <w:sz w:val="18"/>
                <w:szCs w:val="18"/>
              </w:rPr>
              <w:t>预算执行率</w:t>
            </w:r>
          </w:p>
        </w:tc>
        <w:tc>
          <w:tcPr>
            <w:tcW w:w="927" w:type="pct"/>
            <w:shd w:val="clear" w:color="auto" w:fill="FFFFFF"/>
            <w:vAlign w:val="center"/>
          </w:tcPr>
          <w:p w14:paraId="4074F383">
            <w:pPr>
              <w:widowControl/>
              <w:spacing w:line="0" w:lineRule="atLeast"/>
              <w:rPr>
                <w:color w:val="000000"/>
                <w:kern w:val="0"/>
                <w:sz w:val="18"/>
                <w:szCs w:val="18"/>
              </w:rPr>
            </w:pPr>
            <w:r>
              <w:rPr>
                <w:color w:val="000000"/>
                <w:kern w:val="0"/>
                <w:sz w:val="18"/>
                <w:szCs w:val="18"/>
              </w:rPr>
              <w:t>项目预算资金是否按照计划执行，用以反映或考核项目预算执行情况。</w:t>
            </w:r>
          </w:p>
        </w:tc>
        <w:tc>
          <w:tcPr>
            <w:tcW w:w="2051" w:type="pct"/>
            <w:shd w:val="clear" w:color="auto" w:fill="FFFFFF"/>
            <w:vAlign w:val="center"/>
          </w:tcPr>
          <w:p w14:paraId="40EFA05F">
            <w:pPr>
              <w:widowControl/>
              <w:spacing w:line="0" w:lineRule="atLeast"/>
              <w:rPr>
                <w:color w:val="000000"/>
                <w:kern w:val="0"/>
                <w:sz w:val="18"/>
                <w:szCs w:val="18"/>
              </w:rPr>
            </w:pPr>
            <w:r>
              <w:rPr>
                <w:color w:val="000000"/>
                <w:kern w:val="0"/>
                <w:sz w:val="18"/>
                <w:szCs w:val="18"/>
              </w:rPr>
              <w:t>预算执行率=（实际支出资金/实际到位资金）×100%。</w:t>
            </w:r>
            <w:r>
              <w:rPr>
                <w:color w:val="000000"/>
                <w:kern w:val="0"/>
                <w:sz w:val="18"/>
                <w:szCs w:val="18"/>
              </w:rPr>
              <w:br w:type="textWrapping"/>
            </w:r>
            <w:r>
              <w:rPr>
                <w:color w:val="000000"/>
                <w:kern w:val="0"/>
                <w:sz w:val="18"/>
                <w:szCs w:val="18"/>
              </w:rPr>
              <w:t>实际支出资金：一定时期（本年度或项目期）内项目实际拨付的资金。</w:t>
            </w:r>
          </w:p>
        </w:tc>
        <w:tc>
          <w:tcPr>
            <w:tcW w:w="512" w:type="pct"/>
            <w:shd w:val="clear" w:color="auto" w:fill="FFFFFF"/>
            <w:vAlign w:val="center"/>
          </w:tcPr>
          <w:p w14:paraId="2B310063">
            <w:pPr>
              <w:widowControl/>
              <w:spacing w:line="0" w:lineRule="atLeast"/>
              <w:jc w:val="center"/>
              <w:rPr>
                <w:b/>
                <w:bCs/>
                <w:color w:val="000000"/>
                <w:kern w:val="0"/>
                <w:sz w:val="18"/>
                <w:szCs w:val="18"/>
              </w:rPr>
            </w:pPr>
            <w:r>
              <w:rPr>
                <w:b/>
                <w:bCs/>
                <w:color w:val="000000"/>
                <w:kern w:val="0"/>
                <w:sz w:val="18"/>
                <w:szCs w:val="18"/>
              </w:rPr>
              <w:t>4</w:t>
            </w:r>
          </w:p>
        </w:tc>
        <w:tc>
          <w:tcPr>
            <w:tcW w:w="536" w:type="pct"/>
            <w:shd w:val="clear" w:color="auto" w:fill="FFFFFF"/>
            <w:vAlign w:val="center"/>
          </w:tcPr>
          <w:p w14:paraId="34DEF53D">
            <w:pPr>
              <w:widowControl/>
              <w:spacing w:line="0" w:lineRule="atLeast"/>
              <w:jc w:val="center"/>
              <w:rPr>
                <w:b/>
                <w:bCs/>
                <w:color w:val="000000"/>
                <w:kern w:val="0"/>
                <w:sz w:val="18"/>
                <w:szCs w:val="18"/>
              </w:rPr>
            </w:pPr>
            <w:r>
              <w:rPr>
                <w:b/>
                <w:bCs/>
                <w:color w:val="000000"/>
                <w:kern w:val="0"/>
                <w:sz w:val="18"/>
                <w:szCs w:val="18"/>
              </w:rPr>
              <w:t>4</w:t>
            </w:r>
          </w:p>
        </w:tc>
      </w:tr>
      <w:tr w14:paraId="5AFB6E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continue"/>
            <w:shd w:val="clear" w:color="auto" w:fill="FFFFFF"/>
            <w:vAlign w:val="center"/>
          </w:tcPr>
          <w:p w14:paraId="669756A1">
            <w:pPr>
              <w:spacing w:line="0" w:lineRule="atLeast"/>
              <w:jc w:val="center"/>
              <w:rPr>
                <w:color w:val="000000"/>
                <w:kern w:val="0"/>
                <w:sz w:val="18"/>
                <w:szCs w:val="18"/>
              </w:rPr>
            </w:pPr>
          </w:p>
        </w:tc>
        <w:tc>
          <w:tcPr>
            <w:tcW w:w="301" w:type="pct"/>
            <w:shd w:val="clear" w:color="auto" w:fill="FFFFFF"/>
            <w:vAlign w:val="center"/>
          </w:tcPr>
          <w:p w14:paraId="43543B6A">
            <w:pPr>
              <w:widowControl/>
              <w:spacing w:line="0" w:lineRule="atLeast"/>
              <w:jc w:val="center"/>
              <w:rPr>
                <w:color w:val="000000"/>
                <w:kern w:val="0"/>
                <w:sz w:val="18"/>
                <w:szCs w:val="18"/>
              </w:rPr>
            </w:pPr>
            <w:r>
              <w:rPr>
                <w:color w:val="000000"/>
                <w:kern w:val="0"/>
                <w:sz w:val="18"/>
                <w:szCs w:val="18"/>
              </w:rPr>
              <w:t>资金管理</w:t>
            </w:r>
          </w:p>
        </w:tc>
        <w:tc>
          <w:tcPr>
            <w:tcW w:w="344" w:type="pct"/>
            <w:shd w:val="clear" w:color="auto" w:fill="FFFFFF"/>
            <w:vAlign w:val="center"/>
          </w:tcPr>
          <w:p w14:paraId="7B8B5241">
            <w:pPr>
              <w:widowControl/>
              <w:spacing w:line="0" w:lineRule="atLeast"/>
              <w:jc w:val="center"/>
              <w:rPr>
                <w:color w:val="000000"/>
                <w:kern w:val="0"/>
                <w:sz w:val="18"/>
                <w:szCs w:val="18"/>
              </w:rPr>
            </w:pPr>
            <w:r>
              <w:rPr>
                <w:color w:val="000000"/>
                <w:kern w:val="0"/>
                <w:sz w:val="18"/>
                <w:szCs w:val="18"/>
              </w:rPr>
              <w:t>资金使用</w:t>
            </w:r>
          </w:p>
          <w:p w14:paraId="1744D8BD">
            <w:pPr>
              <w:widowControl/>
              <w:spacing w:line="0" w:lineRule="atLeast"/>
              <w:jc w:val="center"/>
              <w:rPr>
                <w:color w:val="000000"/>
                <w:kern w:val="0"/>
                <w:sz w:val="18"/>
                <w:szCs w:val="18"/>
              </w:rPr>
            </w:pPr>
            <w:r>
              <w:rPr>
                <w:color w:val="000000"/>
                <w:kern w:val="0"/>
                <w:sz w:val="18"/>
                <w:szCs w:val="18"/>
              </w:rPr>
              <w:t>合规性</w:t>
            </w:r>
          </w:p>
        </w:tc>
        <w:tc>
          <w:tcPr>
            <w:tcW w:w="927" w:type="pct"/>
            <w:shd w:val="clear" w:color="000000" w:fill="FFFFFF"/>
            <w:vAlign w:val="center"/>
          </w:tcPr>
          <w:p w14:paraId="65E4F5AB">
            <w:pPr>
              <w:widowControl/>
              <w:spacing w:line="0" w:lineRule="atLeast"/>
              <w:rPr>
                <w:color w:val="000000"/>
                <w:kern w:val="0"/>
                <w:sz w:val="18"/>
                <w:szCs w:val="18"/>
              </w:rPr>
            </w:pPr>
            <w:r>
              <w:rPr>
                <w:color w:val="000000"/>
                <w:kern w:val="0"/>
                <w:sz w:val="18"/>
                <w:szCs w:val="18"/>
              </w:rPr>
              <w:t>项目资金使用是否符合相关的财务管理制度规定，用以反映和考核项目资金的规范运行情况。</w:t>
            </w:r>
          </w:p>
        </w:tc>
        <w:tc>
          <w:tcPr>
            <w:tcW w:w="2051" w:type="pct"/>
            <w:shd w:val="clear" w:color="000000" w:fill="FFFFFF"/>
            <w:vAlign w:val="center"/>
          </w:tcPr>
          <w:p w14:paraId="6568B866">
            <w:pPr>
              <w:widowControl/>
              <w:spacing w:line="0" w:lineRule="atLeas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①是否符合国家财经法规和财务管理制度以及有关专项资金管理办法的规定；</w:t>
            </w:r>
            <w:r>
              <w:rPr>
                <w:color w:val="000000"/>
                <w:kern w:val="0"/>
                <w:sz w:val="18"/>
                <w:szCs w:val="18"/>
              </w:rPr>
              <w:br w:type="textWrapping"/>
            </w:r>
            <w:r>
              <w:rPr>
                <w:color w:val="000000"/>
                <w:kern w:val="0"/>
                <w:sz w:val="18"/>
                <w:szCs w:val="18"/>
              </w:rPr>
              <w:t>②资金的拨付是否有完整的审批程序和手续；</w:t>
            </w:r>
            <w:r>
              <w:rPr>
                <w:color w:val="000000"/>
                <w:kern w:val="0"/>
                <w:sz w:val="18"/>
                <w:szCs w:val="18"/>
              </w:rPr>
              <w:br w:type="textWrapping"/>
            </w:r>
            <w:r>
              <w:rPr>
                <w:color w:val="000000"/>
                <w:kern w:val="0"/>
                <w:sz w:val="18"/>
                <w:szCs w:val="18"/>
              </w:rPr>
              <w:t>③是否符合项目预算批复或合同规定的用途；</w:t>
            </w:r>
            <w:r>
              <w:rPr>
                <w:color w:val="000000"/>
                <w:kern w:val="0"/>
                <w:sz w:val="18"/>
                <w:szCs w:val="18"/>
              </w:rPr>
              <w:br w:type="textWrapping"/>
            </w:r>
            <w:r>
              <w:rPr>
                <w:color w:val="000000"/>
                <w:kern w:val="0"/>
                <w:sz w:val="18"/>
                <w:szCs w:val="18"/>
              </w:rPr>
              <w:t>④是否存在截留、挤占、挪用、虚列支出等情况。</w:t>
            </w:r>
          </w:p>
        </w:tc>
        <w:tc>
          <w:tcPr>
            <w:tcW w:w="512" w:type="pct"/>
            <w:shd w:val="clear" w:color="000000" w:fill="FFFFFF"/>
            <w:vAlign w:val="center"/>
          </w:tcPr>
          <w:p w14:paraId="412576E0">
            <w:pPr>
              <w:widowControl/>
              <w:spacing w:line="0" w:lineRule="atLeast"/>
              <w:jc w:val="center"/>
              <w:rPr>
                <w:b/>
                <w:bCs/>
                <w:color w:val="000000"/>
                <w:kern w:val="0"/>
                <w:sz w:val="18"/>
                <w:szCs w:val="18"/>
              </w:rPr>
            </w:pPr>
            <w:r>
              <w:rPr>
                <w:b/>
                <w:bCs/>
                <w:color w:val="000000"/>
                <w:kern w:val="0"/>
                <w:sz w:val="18"/>
                <w:szCs w:val="18"/>
              </w:rPr>
              <w:t>4</w:t>
            </w:r>
          </w:p>
        </w:tc>
        <w:tc>
          <w:tcPr>
            <w:tcW w:w="536" w:type="pct"/>
            <w:shd w:val="clear" w:color="000000" w:fill="FFFFFF"/>
            <w:vAlign w:val="center"/>
          </w:tcPr>
          <w:p w14:paraId="6ECD2100">
            <w:pPr>
              <w:widowControl/>
              <w:spacing w:line="0" w:lineRule="atLeast"/>
              <w:jc w:val="center"/>
              <w:rPr>
                <w:b/>
                <w:bCs/>
                <w:color w:val="000000"/>
                <w:kern w:val="0"/>
                <w:sz w:val="18"/>
                <w:szCs w:val="18"/>
              </w:rPr>
            </w:pPr>
            <w:r>
              <w:rPr>
                <w:b/>
                <w:bCs/>
                <w:color w:val="000000"/>
                <w:kern w:val="0"/>
                <w:sz w:val="18"/>
                <w:szCs w:val="18"/>
              </w:rPr>
              <w:t>4</w:t>
            </w:r>
          </w:p>
        </w:tc>
      </w:tr>
      <w:tr w14:paraId="5AED3E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6" w:type="pct"/>
            <w:vMerge w:val="continue"/>
            <w:shd w:val="clear" w:color="auto" w:fill="FFFFFF"/>
            <w:vAlign w:val="center"/>
          </w:tcPr>
          <w:p w14:paraId="6ADCA3F3">
            <w:pPr>
              <w:spacing w:line="0" w:lineRule="atLeast"/>
              <w:jc w:val="center"/>
              <w:rPr>
                <w:color w:val="000000"/>
                <w:kern w:val="0"/>
                <w:sz w:val="18"/>
                <w:szCs w:val="18"/>
              </w:rPr>
            </w:pPr>
          </w:p>
        </w:tc>
        <w:tc>
          <w:tcPr>
            <w:tcW w:w="301" w:type="pct"/>
            <w:vMerge w:val="restart"/>
            <w:shd w:val="clear" w:color="auto" w:fill="FFFFFF"/>
            <w:vAlign w:val="center"/>
          </w:tcPr>
          <w:p w14:paraId="6B65C768">
            <w:pPr>
              <w:widowControl/>
              <w:spacing w:line="0" w:lineRule="atLeast"/>
              <w:jc w:val="center"/>
              <w:rPr>
                <w:color w:val="000000"/>
                <w:kern w:val="0"/>
                <w:sz w:val="18"/>
                <w:szCs w:val="18"/>
              </w:rPr>
            </w:pPr>
            <w:r>
              <w:rPr>
                <w:color w:val="000000"/>
                <w:kern w:val="0"/>
                <w:sz w:val="18"/>
                <w:szCs w:val="18"/>
              </w:rPr>
              <w:t>组织实施</w:t>
            </w:r>
          </w:p>
          <w:p w14:paraId="0C15F88B">
            <w:pPr>
              <w:spacing w:line="0" w:lineRule="atLeast"/>
              <w:jc w:val="center"/>
              <w:rPr>
                <w:color w:val="000000"/>
                <w:kern w:val="0"/>
                <w:sz w:val="18"/>
                <w:szCs w:val="18"/>
              </w:rPr>
            </w:pPr>
            <w:r>
              <w:rPr>
                <w:color w:val="000000"/>
                <w:kern w:val="0"/>
                <w:sz w:val="18"/>
                <w:szCs w:val="18"/>
              </w:rPr>
              <w:t>　</w:t>
            </w:r>
          </w:p>
        </w:tc>
        <w:tc>
          <w:tcPr>
            <w:tcW w:w="344" w:type="pct"/>
            <w:shd w:val="clear" w:color="auto" w:fill="FFFFFF"/>
            <w:vAlign w:val="center"/>
          </w:tcPr>
          <w:p w14:paraId="7F5E351F">
            <w:pPr>
              <w:widowControl/>
              <w:spacing w:line="0" w:lineRule="atLeast"/>
              <w:jc w:val="center"/>
              <w:rPr>
                <w:color w:val="000000"/>
                <w:kern w:val="0"/>
                <w:sz w:val="18"/>
                <w:szCs w:val="18"/>
              </w:rPr>
            </w:pPr>
            <w:r>
              <w:rPr>
                <w:color w:val="000000"/>
                <w:kern w:val="0"/>
                <w:sz w:val="18"/>
                <w:szCs w:val="18"/>
              </w:rPr>
              <w:t>管理制度</w:t>
            </w:r>
          </w:p>
          <w:p w14:paraId="4D5F6040">
            <w:pPr>
              <w:widowControl/>
              <w:spacing w:line="0" w:lineRule="atLeast"/>
              <w:jc w:val="center"/>
              <w:rPr>
                <w:color w:val="000000"/>
                <w:kern w:val="0"/>
                <w:sz w:val="18"/>
                <w:szCs w:val="18"/>
              </w:rPr>
            </w:pPr>
            <w:r>
              <w:rPr>
                <w:color w:val="000000"/>
                <w:kern w:val="0"/>
                <w:sz w:val="18"/>
                <w:szCs w:val="18"/>
              </w:rPr>
              <w:t>健全性</w:t>
            </w:r>
          </w:p>
        </w:tc>
        <w:tc>
          <w:tcPr>
            <w:tcW w:w="927" w:type="pct"/>
            <w:shd w:val="clear" w:color="000000" w:fill="FFFFFF"/>
            <w:vAlign w:val="center"/>
          </w:tcPr>
          <w:p w14:paraId="06942EA2">
            <w:pPr>
              <w:widowControl/>
              <w:spacing w:line="0" w:lineRule="atLeast"/>
              <w:rPr>
                <w:color w:val="000000"/>
                <w:kern w:val="0"/>
                <w:sz w:val="18"/>
                <w:szCs w:val="18"/>
              </w:rPr>
            </w:pPr>
            <w:r>
              <w:rPr>
                <w:color w:val="000000"/>
                <w:kern w:val="0"/>
                <w:sz w:val="18"/>
                <w:szCs w:val="18"/>
              </w:rPr>
              <w:t>项目实施单位的财务和业务管理制度是否健全，用以反映和考核财务和业务管理制度对项目顺利实施的保障情况。</w:t>
            </w:r>
          </w:p>
        </w:tc>
        <w:tc>
          <w:tcPr>
            <w:tcW w:w="2051" w:type="pct"/>
            <w:shd w:val="clear" w:color="000000" w:fill="FFFFFF"/>
            <w:vAlign w:val="center"/>
          </w:tcPr>
          <w:p w14:paraId="7D97FB03">
            <w:pPr>
              <w:widowControl/>
              <w:spacing w:line="0" w:lineRule="atLeas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①是否已制定或具有相应的财务和业务管理制度；</w:t>
            </w:r>
            <w:r>
              <w:rPr>
                <w:color w:val="000000"/>
                <w:kern w:val="0"/>
                <w:sz w:val="18"/>
                <w:szCs w:val="18"/>
              </w:rPr>
              <w:br w:type="textWrapping"/>
            </w:r>
            <w:r>
              <w:rPr>
                <w:color w:val="000000"/>
                <w:kern w:val="0"/>
                <w:sz w:val="18"/>
                <w:szCs w:val="18"/>
              </w:rPr>
              <w:t>②财务和业务管理制度是否合法、合规、完整。</w:t>
            </w:r>
          </w:p>
        </w:tc>
        <w:tc>
          <w:tcPr>
            <w:tcW w:w="512" w:type="pct"/>
            <w:shd w:val="clear" w:color="000000" w:fill="FFFFFF"/>
            <w:vAlign w:val="center"/>
          </w:tcPr>
          <w:p w14:paraId="10539EF9">
            <w:pPr>
              <w:widowControl/>
              <w:spacing w:line="0" w:lineRule="atLeast"/>
              <w:jc w:val="center"/>
              <w:rPr>
                <w:b/>
                <w:bCs/>
                <w:color w:val="000000"/>
                <w:kern w:val="0"/>
                <w:sz w:val="18"/>
                <w:szCs w:val="18"/>
              </w:rPr>
            </w:pPr>
            <w:r>
              <w:rPr>
                <w:b/>
                <w:bCs/>
                <w:color w:val="000000"/>
                <w:kern w:val="0"/>
                <w:sz w:val="18"/>
                <w:szCs w:val="18"/>
              </w:rPr>
              <w:t>4</w:t>
            </w:r>
          </w:p>
        </w:tc>
        <w:tc>
          <w:tcPr>
            <w:tcW w:w="536" w:type="pct"/>
            <w:shd w:val="clear" w:color="000000" w:fill="FFFFFF"/>
            <w:vAlign w:val="center"/>
          </w:tcPr>
          <w:p w14:paraId="387049DF">
            <w:pPr>
              <w:widowControl/>
              <w:spacing w:line="0" w:lineRule="atLeast"/>
              <w:jc w:val="center"/>
              <w:rPr>
                <w:b/>
                <w:bCs/>
                <w:color w:val="000000"/>
                <w:kern w:val="0"/>
                <w:sz w:val="18"/>
                <w:szCs w:val="18"/>
              </w:rPr>
            </w:pPr>
            <w:r>
              <w:rPr>
                <w:b/>
                <w:bCs/>
                <w:color w:val="000000"/>
                <w:kern w:val="0"/>
                <w:sz w:val="18"/>
                <w:szCs w:val="18"/>
              </w:rPr>
              <w:t>4</w:t>
            </w:r>
          </w:p>
        </w:tc>
      </w:tr>
      <w:tr w14:paraId="4965C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6" w:type="pct"/>
            <w:vMerge w:val="continue"/>
            <w:shd w:val="clear" w:color="auto" w:fill="FFFFFF"/>
            <w:vAlign w:val="center"/>
          </w:tcPr>
          <w:p w14:paraId="6F07EE37">
            <w:pPr>
              <w:widowControl/>
              <w:spacing w:line="0" w:lineRule="atLeast"/>
              <w:jc w:val="center"/>
              <w:rPr>
                <w:color w:val="000000"/>
                <w:kern w:val="0"/>
                <w:sz w:val="18"/>
                <w:szCs w:val="18"/>
              </w:rPr>
            </w:pPr>
          </w:p>
        </w:tc>
        <w:tc>
          <w:tcPr>
            <w:tcW w:w="301" w:type="pct"/>
            <w:vMerge w:val="continue"/>
            <w:shd w:val="clear" w:color="auto" w:fill="FFFFFF"/>
            <w:vAlign w:val="center"/>
          </w:tcPr>
          <w:p w14:paraId="2B0FAF67">
            <w:pPr>
              <w:widowControl/>
              <w:spacing w:line="0" w:lineRule="atLeast"/>
              <w:jc w:val="center"/>
              <w:rPr>
                <w:color w:val="000000"/>
                <w:kern w:val="0"/>
                <w:sz w:val="18"/>
                <w:szCs w:val="18"/>
              </w:rPr>
            </w:pPr>
          </w:p>
        </w:tc>
        <w:tc>
          <w:tcPr>
            <w:tcW w:w="344" w:type="pct"/>
            <w:shd w:val="clear" w:color="auto" w:fill="FFFFFF"/>
            <w:vAlign w:val="center"/>
          </w:tcPr>
          <w:p w14:paraId="13911EAD">
            <w:pPr>
              <w:widowControl/>
              <w:spacing w:line="0" w:lineRule="atLeast"/>
              <w:jc w:val="center"/>
              <w:rPr>
                <w:color w:val="000000"/>
                <w:kern w:val="0"/>
                <w:sz w:val="18"/>
                <w:szCs w:val="18"/>
              </w:rPr>
            </w:pPr>
            <w:r>
              <w:rPr>
                <w:color w:val="000000"/>
                <w:kern w:val="0"/>
                <w:sz w:val="18"/>
                <w:szCs w:val="18"/>
              </w:rPr>
              <w:t>制度执行</w:t>
            </w:r>
          </w:p>
          <w:p w14:paraId="6269FA18">
            <w:pPr>
              <w:widowControl/>
              <w:spacing w:line="0" w:lineRule="atLeast"/>
              <w:jc w:val="center"/>
              <w:rPr>
                <w:color w:val="000000"/>
                <w:kern w:val="0"/>
                <w:sz w:val="18"/>
                <w:szCs w:val="18"/>
              </w:rPr>
            </w:pPr>
            <w:r>
              <w:rPr>
                <w:color w:val="000000"/>
                <w:kern w:val="0"/>
                <w:sz w:val="18"/>
                <w:szCs w:val="18"/>
              </w:rPr>
              <w:t>有效性</w:t>
            </w:r>
          </w:p>
        </w:tc>
        <w:tc>
          <w:tcPr>
            <w:tcW w:w="927" w:type="pct"/>
            <w:shd w:val="clear" w:color="000000" w:fill="FFFFFF"/>
            <w:vAlign w:val="center"/>
          </w:tcPr>
          <w:p w14:paraId="3D3872E3">
            <w:pPr>
              <w:widowControl/>
              <w:spacing w:line="0" w:lineRule="atLeast"/>
              <w:rPr>
                <w:color w:val="000000"/>
                <w:kern w:val="0"/>
                <w:sz w:val="18"/>
                <w:szCs w:val="18"/>
              </w:rPr>
            </w:pPr>
            <w:r>
              <w:rPr>
                <w:color w:val="000000"/>
                <w:kern w:val="0"/>
                <w:sz w:val="18"/>
                <w:szCs w:val="18"/>
              </w:rPr>
              <w:t>项目实施是否符合相关管理规定，用以反映和考核相关管理制度的有效执行情况。</w:t>
            </w:r>
          </w:p>
        </w:tc>
        <w:tc>
          <w:tcPr>
            <w:tcW w:w="2051" w:type="pct"/>
            <w:shd w:val="clear" w:color="000000" w:fill="FFFFFF"/>
            <w:vAlign w:val="center"/>
          </w:tcPr>
          <w:p w14:paraId="577394B0">
            <w:pPr>
              <w:widowControl/>
              <w:spacing w:line="0" w:lineRule="atLeast"/>
              <w:rPr>
                <w:color w:val="000000"/>
                <w:kern w:val="0"/>
                <w:sz w:val="18"/>
                <w:szCs w:val="18"/>
              </w:rPr>
            </w:pPr>
            <w:r>
              <w:rPr>
                <w:color w:val="000000"/>
                <w:kern w:val="0"/>
                <w:sz w:val="18"/>
                <w:szCs w:val="18"/>
              </w:rPr>
              <w:t>评价要点：</w:t>
            </w:r>
            <w:r>
              <w:rPr>
                <w:color w:val="000000"/>
                <w:kern w:val="0"/>
                <w:sz w:val="18"/>
                <w:szCs w:val="18"/>
              </w:rPr>
              <w:br w:type="textWrapping"/>
            </w:r>
            <w:r>
              <w:rPr>
                <w:color w:val="000000"/>
                <w:kern w:val="0"/>
                <w:sz w:val="18"/>
                <w:szCs w:val="18"/>
              </w:rPr>
              <w:t>①是否遵守相关法律法规和相关管理规定；</w:t>
            </w:r>
            <w:r>
              <w:rPr>
                <w:color w:val="000000"/>
                <w:kern w:val="0"/>
                <w:sz w:val="18"/>
                <w:szCs w:val="18"/>
              </w:rPr>
              <w:br w:type="textWrapping"/>
            </w:r>
            <w:r>
              <w:rPr>
                <w:color w:val="000000"/>
                <w:kern w:val="0"/>
                <w:sz w:val="18"/>
                <w:szCs w:val="18"/>
              </w:rPr>
              <w:t>②项目调整及支出调整手续是否完备；</w:t>
            </w:r>
            <w:r>
              <w:rPr>
                <w:color w:val="000000"/>
                <w:kern w:val="0"/>
                <w:sz w:val="18"/>
                <w:szCs w:val="18"/>
              </w:rPr>
              <w:br w:type="textWrapping"/>
            </w:r>
            <w:r>
              <w:rPr>
                <w:color w:val="000000"/>
                <w:kern w:val="0"/>
                <w:sz w:val="18"/>
                <w:szCs w:val="18"/>
              </w:rPr>
              <w:t>③项目合同书、验收报告、技术鉴定等资料是否齐全并及时归档；</w:t>
            </w:r>
            <w:r>
              <w:rPr>
                <w:color w:val="000000"/>
                <w:kern w:val="0"/>
                <w:sz w:val="18"/>
                <w:szCs w:val="18"/>
              </w:rPr>
              <w:br w:type="textWrapping"/>
            </w:r>
            <w:r>
              <w:rPr>
                <w:color w:val="000000"/>
                <w:kern w:val="0"/>
                <w:sz w:val="18"/>
                <w:szCs w:val="18"/>
              </w:rPr>
              <w:t>④项目实施的人员条件、场地设备、信息支撑等是否落实到位。</w:t>
            </w:r>
          </w:p>
        </w:tc>
        <w:tc>
          <w:tcPr>
            <w:tcW w:w="512" w:type="pct"/>
            <w:shd w:val="clear" w:color="000000" w:fill="FFFFFF"/>
            <w:vAlign w:val="center"/>
          </w:tcPr>
          <w:p w14:paraId="7816B403">
            <w:pPr>
              <w:widowControl/>
              <w:spacing w:line="0" w:lineRule="atLeast"/>
              <w:jc w:val="center"/>
              <w:rPr>
                <w:b/>
                <w:bCs/>
                <w:color w:val="000000"/>
                <w:kern w:val="0"/>
                <w:sz w:val="18"/>
                <w:szCs w:val="18"/>
              </w:rPr>
            </w:pPr>
            <w:r>
              <w:rPr>
                <w:b/>
                <w:bCs/>
                <w:color w:val="000000"/>
                <w:kern w:val="0"/>
                <w:sz w:val="18"/>
                <w:szCs w:val="18"/>
              </w:rPr>
              <w:t>4</w:t>
            </w:r>
          </w:p>
        </w:tc>
        <w:tc>
          <w:tcPr>
            <w:tcW w:w="536" w:type="pct"/>
            <w:shd w:val="clear" w:color="000000" w:fill="FFFFFF"/>
            <w:vAlign w:val="center"/>
          </w:tcPr>
          <w:p w14:paraId="48499264">
            <w:pPr>
              <w:widowControl/>
              <w:spacing w:line="0" w:lineRule="atLeast"/>
              <w:jc w:val="center"/>
              <w:rPr>
                <w:b/>
                <w:bCs/>
                <w:color w:val="000000"/>
                <w:kern w:val="0"/>
                <w:sz w:val="18"/>
                <w:szCs w:val="18"/>
              </w:rPr>
            </w:pPr>
            <w:r>
              <w:rPr>
                <w:b/>
                <w:bCs/>
                <w:color w:val="000000"/>
                <w:kern w:val="0"/>
                <w:sz w:val="18"/>
                <w:szCs w:val="18"/>
              </w:rPr>
              <w:t>4</w:t>
            </w:r>
          </w:p>
        </w:tc>
      </w:tr>
      <w:tr w14:paraId="2F51E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6" w:type="pct"/>
            <w:vMerge w:val="restart"/>
            <w:shd w:val="clear" w:color="auto" w:fill="FFFFFF"/>
            <w:vAlign w:val="center"/>
          </w:tcPr>
          <w:p w14:paraId="6274A75B">
            <w:pPr>
              <w:widowControl/>
              <w:spacing w:line="0" w:lineRule="atLeast"/>
              <w:jc w:val="center"/>
              <w:rPr>
                <w:color w:val="000000"/>
                <w:kern w:val="0"/>
                <w:sz w:val="18"/>
                <w:szCs w:val="18"/>
              </w:rPr>
            </w:pPr>
            <w:r>
              <w:rPr>
                <w:color w:val="000000"/>
                <w:kern w:val="0"/>
                <w:sz w:val="18"/>
                <w:szCs w:val="18"/>
              </w:rPr>
              <w:t>产出</w:t>
            </w:r>
          </w:p>
        </w:tc>
        <w:tc>
          <w:tcPr>
            <w:tcW w:w="301" w:type="pct"/>
            <w:shd w:val="clear" w:color="auto" w:fill="FFFFFF"/>
            <w:vAlign w:val="center"/>
          </w:tcPr>
          <w:p w14:paraId="0C82C3DF">
            <w:pPr>
              <w:widowControl/>
              <w:spacing w:line="0" w:lineRule="atLeast"/>
              <w:jc w:val="center"/>
              <w:rPr>
                <w:color w:val="000000"/>
                <w:kern w:val="0"/>
                <w:sz w:val="18"/>
                <w:szCs w:val="18"/>
              </w:rPr>
            </w:pPr>
            <w:r>
              <w:rPr>
                <w:color w:val="000000"/>
                <w:kern w:val="0"/>
                <w:sz w:val="18"/>
                <w:szCs w:val="18"/>
              </w:rPr>
              <w:t>产出数量</w:t>
            </w:r>
          </w:p>
        </w:tc>
        <w:tc>
          <w:tcPr>
            <w:tcW w:w="344" w:type="pct"/>
            <w:shd w:val="clear" w:color="auto" w:fill="FFFFFF"/>
            <w:vAlign w:val="center"/>
          </w:tcPr>
          <w:p w14:paraId="48C46EA0">
            <w:pPr>
              <w:widowControl/>
              <w:spacing w:line="0" w:lineRule="atLeast"/>
              <w:jc w:val="center"/>
              <w:rPr>
                <w:color w:val="000000"/>
                <w:kern w:val="0"/>
                <w:sz w:val="18"/>
                <w:szCs w:val="18"/>
              </w:rPr>
            </w:pPr>
            <w:r>
              <w:rPr>
                <w:color w:val="000000"/>
                <w:kern w:val="0"/>
                <w:sz w:val="18"/>
                <w:szCs w:val="18"/>
              </w:rPr>
              <w:t>实际完成率</w:t>
            </w:r>
          </w:p>
        </w:tc>
        <w:tc>
          <w:tcPr>
            <w:tcW w:w="927" w:type="pct"/>
            <w:shd w:val="clear" w:color="000000" w:fill="FFFFFF"/>
            <w:vAlign w:val="center"/>
          </w:tcPr>
          <w:p w14:paraId="0FEF5716">
            <w:pPr>
              <w:widowControl/>
              <w:spacing w:line="0" w:lineRule="atLeast"/>
              <w:rPr>
                <w:color w:val="000000"/>
                <w:kern w:val="0"/>
                <w:sz w:val="18"/>
                <w:szCs w:val="18"/>
              </w:rPr>
            </w:pPr>
            <w:r>
              <w:rPr>
                <w:color w:val="000000"/>
                <w:kern w:val="0"/>
                <w:sz w:val="18"/>
                <w:szCs w:val="18"/>
              </w:rPr>
              <w:t>项目实施的实际产出数与计划产出数的比率，用以反映和考核项目产出数量目标的实现程度。</w:t>
            </w:r>
          </w:p>
        </w:tc>
        <w:tc>
          <w:tcPr>
            <w:tcW w:w="2051" w:type="pct"/>
            <w:shd w:val="clear" w:color="000000" w:fill="FFFFFF"/>
            <w:vAlign w:val="center"/>
          </w:tcPr>
          <w:p w14:paraId="3F60AB48">
            <w:pPr>
              <w:widowControl/>
              <w:spacing w:line="0" w:lineRule="atLeast"/>
              <w:rPr>
                <w:color w:val="000000"/>
                <w:kern w:val="0"/>
                <w:sz w:val="18"/>
                <w:szCs w:val="18"/>
              </w:rPr>
            </w:pPr>
            <w:r>
              <w:rPr>
                <w:color w:val="000000"/>
                <w:kern w:val="0"/>
                <w:sz w:val="18"/>
                <w:szCs w:val="18"/>
              </w:rPr>
              <w:t>实际完成率=（实际产出数/计划产出数）×100%。</w:t>
            </w:r>
            <w:r>
              <w:rPr>
                <w:color w:val="000000"/>
                <w:kern w:val="0"/>
                <w:sz w:val="18"/>
                <w:szCs w:val="18"/>
              </w:rPr>
              <w:br w:type="textWrapping"/>
            </w:r>
            <w:r>
              <w:rPr>
                <w:color w:val="000000"/>
                <w:kern w:val="0"/>
                <w:sz w:val="18"/>
                <w:szCs w:val="18"/>
              </w:rPr>
              <w:t>实际产出数：一定时期（本年度或项目期）内项目实际产出的产品或提供的服务数量。</w:t>
            </w:r>
            <w:r>
              <w:rPr>
                <w:color w:val="000000"/>
                <w:kern w:val="0"/>
                <w:sz w:val="18"/>
                <w:szCs w:val="18"/>
              </w:rPr>
              <w:br w:type="textWrapping"/>
            </w:r>
            <w:r>
              <w:rPr>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6418070D">
            <w:pPr>
              <w:widowControl/>
              <w:spacing w:line="0" w:lineRule="atLeast"/>
              <w:jc w:val="center"/>
              <w:rPr>
                <w:b/>
                <w:bCs/>
                <w:color w:val="000000"/>
                <w:kern w:val="0"/>
                <w:sz w:val="18"/>
                <w:szCs w:val="18"/>
              </w:rPr>
            </w:pPr>
            <w:r>
              <w:rPr>
                <w:b/>
                <w:bCs/>
                <w:color w:val="000000"/>
                <w:kern w:val="0"/>
                <w:sz w:val="18"/>
                <w:szCs w:val="18"/>
              </w:rPr>
              <w:t>10</w:t>
            </w:r>
          </w:p>
        </w:tc>
        <w:tc>
          <w:tcPr>
            <w:tcW w:w="536" w:type="pct"/>
            <w:shd w:val="clear" w:color="000000" w:fill="FFFFFF"/>
            <w:vAlign w:val="center"/>
          </w:tcPr>
          <w:p w14:paraId="5B9F4EF1">
            <w:pPr>
              <w:widowControl/>
              <w:spacing w:line="0" w:lineRule="atLeast"/>
              <w:jc w:val="center"/>
              <w:rPr>
                <w:b/>
                <w:bCs/>
                <w:color w:val="000000"/>
                <w:kern w:val="0"/>
                <w:sz w:val="18"/>
                <w:szCs w:val="18"/>
              </w:rPr>
            </w:pPr>
            <w:r>
              <w:rPr>
                <w:b/>
                <w:bCs/>
                <w:color w:val="000000"/>
                <w:kern w:val="0"/>
                <w:sz w:val="18"/>
                <w:szCs w:val="18"/>
              </w:rPr>
              <w:t>10</w:t>
            </w:r>
          </w:p>
        </w:tc>
      </w:tr>
      <w:tr w14:paraId="74E704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6" w:type="pct"/>
            <w:vMerge w:val="continue"/>
            <w:shd w:val="clear" w:color="auto" w:fill="FFFFFF"/>
            <w:vAlign w:val="center"/>
          </w:tcPr>
          <w:p w14:paraId="40B86038">
            <w:pPr>
              <w:widowControl/>
              <w:spacing w:line="0" w:lineRule="atLeast"/>
              <w:jc w:val="center"/>
              <w:rPr>
                <w:color w:val="000000"/>
                <w:kern w:val="0"/>
                <w:sz w:val="18"/>
                <w:szCs w:val="18"/>
              </w:rPr>
            </w:pPr>
          </w:p>
        </w:tc>
        <w:tc>
          <w:tcPr>
            <w:tcW w:w="301" w:type="pct"/>
            <w:shd w:val="clear" w:color="auto" w:fill="FFFFFF"/>
            <w:vAlign w:val="center"/>
          </w:tcPr>
          <w:p w14:paraId="5F4F558D">
            <w:pPr>
              <w:widowControl/>
              <w:spacing w:line="0" w:lineRule="atLeast"/>
              <w:jc w:val="center"/>
              <w:rPr>
                <w:color w:val="000000"/>
                <w:kern w:val="0"/>
                <w:sz w:val="18"/>
                <w:szCs w:val="18"/>
              </w:rPr>
            </w:pPr>
            <w:r>
              <w:rPr>
                <w:color w:val="000000"/>
                <w:kern w:val="0"/>
                <w:sz w:val="18"/>
                <w:szCs w:val="18"/>
              </w:rPr>
              <w:t>产出质量</w:t>
            </w:r>
          </w:p>
        </w:tc>
        <w:tc>
          <w:tcPr>
            <w:tcW w:w="344" w:type="pct"/>
            <w:shd w:val="clear" w:color="auto" w:fill="FFFFFF"/>
            <w:vAlign w:val="center"/>
          </w:tcPr>
          <w:p w14:paraId="1C4437AA">
            <w:pPr>
              <w:widowControl/>
              <w:spacing w:line="0" w:lineRule="atLeast"/>
              <w:jc w:val="center"/>
              <w:rPr>
                <w:color w:val="000000"/>
                <w:kern w:val="0"/>
                <w:sz w:val="18"/>
                <w:szCs w:val="18"/>
              </w:rPr>
            </w:pPr>
            <w:r>
              <w:rPr>
                <w:color w:val="000000"/>
                <w:kern w:val="0"/>
                <w:sz w:val="18"/>
                <w:szCs w:val="18"/>
              </w:rPr>
              <w:t>质量达标率</w:t>
            </w:r>
          </w:p>
        </w:tc>
        <w:tc>
          <w:tcPr>
            <w:tcW w:w="927" w:type="pct"/>
            <w:shd w:val="clear" w:color="000000" w:fill="FFFFFF"/>
            <w:vAlign w:val="center"/>
          </w:tcPr>
          <w:p w14:paraId="1BF99AEA">
            <w:pPr>
              <w:widowControl/>
              <w:spacing w:line="0" w:lineRule="atLeast"/>
              <w:rPr>
                <w:color w:val="000000"/>
                <w:kern w:val="0"/>
                <w:sz w:val="18"/>
                <w:szCs w:val="18"/>
              </w:rPr>
            </w:pPr>
            <w:r>
              <w:rPr>
                <w:color w:val="000000"/>
                <w:kern w:val="0"/>
                <w:sz w:val="18"/>
                <w:szCs w:val="18"/>
              </w:rPr>
              <w:t>项目完成的质量达标产出数与实际产出数的比率，用以反映和考核项目产出质量目标的实现程度。</w:t>
            </w:r>
          </w:p>
        </w:tc>
        <w:tc>
          <w:tcPr>
            <w:tcW w:w="2051" w:type="pct"/>
            <w:shd w:val="clear" w:color="000000" w:fill="FFFFFF"/>
            <w:vAlign w:val="center"/>
          </w:tcPr>
          <w:p w14:paraId="233E846A">
            <w:pPr>
              <w:widowControl/>
              <w:spacing w:line="0" w:lineRule="atLeast"/>
              <w:rPr>
                <w:color w:val="000000"/>
                <w:kern w:val="0"/>
                <w:sz w:val="18"/>
                <w:szCs w:val="18"/>
              </w:rPr>
            </w:pPr>
            <w:r>
              <w:rPr>
                <w:color w:val="000000"/>
                <w:kern w:val="0"/>
                <w:sz w:val="18"/>
                <w:szCs w:val="18"/>
              </w:rPr>
              <w:t>质量达标率=（质量达标产出数/实际产出数）×100%。</w:t>
            </w:r>
          </w:p>
          <w:p w14:paraId="2DAE84B0">
            <w:pPr>
              <w:widowControl/>
              <w:spacing w:line="0" w:lineRule="atLeast"/>
              <w:rPr>
                <w:color w:val="000000"/>
                <w:kern w:val="0"/>
                <w:sz w:val="18"/>
                <w:szCs w:val="18"/>
              </w:rPr>
            </w:pPr>
            <w:r>
              <w:rPr>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4ED70D4">
            <w:pPr>
              <w:widowControl/>
              <w:spacing w:line="0" w:lineRule="atLeast"/>
              <w:jc w:val="center"/>
              <w:rPr>
                <w:b/>
                <w:bCs/>
                <w:color w:val="000000"/>
                <w:kern w:val="0"/>
                <w:sz w:val="18"/>
                <w:szCs w:val="18"/>
              </w:rPr>
            </w:pPr>
            <w:r>
              <w:rPr>
                <w:b/>
                <w:bCs/>
                <w:color w:val="000000"/>
                <w:kern w:val="0"/>
                <w:sz w:val="18"/>
                <w:szCs w:val="18"/>
              </w:rPr>
              <w:t>10</w:t>
            </w:r>
          </w:p>
        </w:tc>
        <w:tc>
          <w:tcPr>
            <w:tcW w:w="536" w:type="pct"/>
            <w:shd w:val="clear" w:color="000000" w:fill="FFFFFF"/>
            <w:vAlign w:val="center"/>
          </w:tcPr>
          <w:p w14:paraId="34A386E4">
            <w:pPr>
              <w:widowControl/>
              <w:spacing w:line="0" w:lineRule="atLeast"/>
              <w:jc w:val="center"/>
              <w:rPr>
                <w:b/>
                <w:bCs/>
                <w:color w:val="000000"/>
                <w:kern w:val="0"/>
                <w:sz w:val="18"/>
                <w:szCs w:val="18"/>
              </w:rPr>
            </w:pPr>
            <w:r>
              <w:rPr>
                <w:b/>
                <w:bCs/>
                <w:color w:val="000000"/>
                <w:kern w:val="0"/>
                <w:sz w:val="18"/>
                <w:szCs w:val="18"/>
              </w:rPr>
              <w:t>10</w:t>
            </w:r>
          </w:p>
        </w:tc>
      </w:tr>
      <w:tr w14:paraId="59E7D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6" w:type="pct"/>
            <w:vMerge w:val="continue"/>
            <w:shd w:val="clear" w:color="auto" w:fill="FFFFFF"/>
            <w:vAlign w:val="center"/>
          </w:tcPr>
          <w:p w14:paraId="4EAAF464">
            <w:pPr>
              <w:spacing w:line="0" w:lineRule="atLeast"/>
              <w:jc w:val="center"/>
              <w:rPr>
                <w:color w:val="000000"/>
                <w:kern w:val="0"/>
                <w:sz w:val="18"/>
                <w:szCs w:val="18"/>
              </w:rPr>
            </w:pPr>
          </w:p>
        </w:tc>
        <w:tc>
          <w:tcPr>
            <w:tcW w:w="301" w:type="pct"/>
            <w:shd w:val="clear" w:color="auto" w:fill="FFFFFF"/>
            <w:vAlign w:val="center"/>
          </w:tcPr>
          <w:p w14:paraId="6856E50C">
            <w:pPr>
              <w:spacing w:line="0" w:lineRule="atLeast"/>
              <w:jc w:val="center"/>
              <w:rPr>
                <w:color w:val="000000"/>
                <w:kern w:val="0"/>
                <w:sz w:val="18"/>
                <w:szCs w:val="18"/>
              </w:rPr>
            </w:pPr>
            <w:r>
              <w:rPr>
                <w:color w:val="000000"/>
                <w:kern w:val="0"/>
                <w:sz w:val="18"/>
                <w:szCs w:val="18"/>
              </w:rPr>
              <w:t>产出时效</w:t>
            </w:r>
          </w:p>
        </w:tc>
        <w:tc>
          <w:tcPr>
            <w:tcW w:w="344" w:type="pct"/>
            <w:shd w:val="clear" w:color="auto" w:fill="FFFFFF"/>
            <w:vAlign w:val="center"/>
          </w:tcPr>
          <w:p w14:paraId="08F4C5B4">
            <w:pPr>
              <w:widowControl/>
              <w:spacing w:line="0" w:lineRule="atLeast"/>
              <w:jc w:val="center"/>
              <w:rPr>
                <w:color w:val="000000"/>
                <w:kern w:val="0"/>
                <w:sz w:val="18"/>
                <w:szCs w:val="18"/>
              </w:rPr>
            </w:pPr>
            <w:r>
              <w:rPr>
                <w:color w:val="000000"/>
                <w:kern w:val="0"/>
                <w:sz w:val="18"/>
                <w:szCs w:val="18"/>
              </w:rPr>
              <w:t>完成及时性</w:t>
            </w:r>
          </w:p>
        </w:tc>
        <w:tc>
          <w:tcPr>
            <w:tcW w:w="927" w:type="pct"/>
            <w:shd w:val="clear" w:color="000000" w:fill="FFFFFF"/>
            <w:vAlign w:val="center"/>
          </w:tcPr>
          <w:p w14:paraId="4EB080CF">
            <w:pPr>
              <w:widowControl/>
              <w:spacing w:line="0" w:lineRule="atLeast"/>
              <w:rPr>
                <w:color w:val="000000"/>
                <w:kern w:val="0"/>
                <w:sz w:val="18"/>
                <w:szCs w:val="18"/>
              </w:rPr>
            </w:pPr>
            <w:r>
              <w:rPr>
                <w:color w:val="000000"/>
                <w:kern w:val="0"/>
                <w:sz w:val="18"/>
                <w:szCs w:val="18"/>
              </w:rPr>
              <w:t>项目实际完成时间与计划完成时间的比较，用以反映和考核项目产出时效目标的实现程度。</w:t>
            </w:r>
          </w:p>
        </w:tc>
        <w:tc>
          <w:tcPr>
            <w:tcW w:w="2051" w:type="pct"/>
            <w:shd w:val="clear" w:color="000000" w:fill="FFFFFF"/>
            <w:vAlign w:val="center"/>
          </w:tcPr>
          <w:p w14:paraId="57E49DD6">
            <w:pPr>
              <w:widowControl/>
              <w:spacing w:line="0" w:lineRule="atLeast"/>
              <w:rPr>
                <w:color w:val="000000"/>
                <w:kern w:val="0"/>
                <w:sz w:val="18"/>
                <w:szCs w:val="18"/>
              </w:rPr>
            </w:pPr>
            <w:r>
              <w:rPr>
                <w:color w:val="000000"/>
                <w:kern w:val="0"/>
                <w:sz w:val="18"/>
                <w:szCs w:val="18"/>
              </w:rPr>
              <w:t>实际完成时间：项目实施单位完成该项目实际所耗用的时间。</w:t>
            </w:r>
            <w:r>
              <w:rPr>
                <w:color w:val="000000"/>
                <w:kern w:val="0"/>
                <w:sz w:val="18"/>
                <w:szCs w:val="18"/>
              </w:rPr>
              <w:br w:type="textWrapping"/>
            </w:r>
            <w:r>
              <w:rPr>
                <w:color w:val="000000"/>
                <w:kern w:val="0"/>
                <w:sz w:val="18"/>
                <w:szCs w:val="18"/>
              </w:rPr>
              <w:t>计划完成时间：按照项目实施计划或相关规定完成该项目所需的时间。</w:t>
            </w:r>
          </w:p>
        </w:tc>
        <w:tc>
          <w:tcPr>
            <w:tcW w:w="512" w:type="pct"/>
            <w:shd w:val="clear" w:color="000000" w:fill="FFFFFF"/>
            <w:vAlign w:val="center"/>
          </w:tcPr>
          <w:p w14:paraId="4E6BF65D">
            <w:pPr>
              <w:widowControl/>
              <w:spacing w:line="0" w:lineRule="atLeast"/>
              <w:jc w:val="center"/>
              <w:rPr>
                <w:b/>
                <w:bCs/>
                <w:color w:val="000000"/>
                <w:kern w:val="0"/>
                <w:sz w:val="18"/>
                <w:szCs w:val="18"/>
              </w:rPr>
            </w:pPr>
            <w:r>
              <w:rPr>
                <w:b/>
                <w:bCs/>
                <w:color w:val="000000"/>
                <w:kern w:val="0"/>
                <w:sz w:val="18"/>
                <w:szCs w:val="18"/>
              </w:rPr>
              <w:t>10</w:t>
            </w:r>
          </w:p>
        </w:tc>
        <w:tc>
          <w:tcPr>
            <w:tcW w:w="536" w:type="pct"/>
            <w:shd w:val="clear" w:color="000000" w:fill="FFFFFF"/>
            <w:vAlign w:val="center"/>
          </w:tcPr>
          <w:p w14:paraId="24D85493">
            <w:pPr>
              <w:widowControl/>
              <w:spacing w:line="0" w:lineRule="atLeast"/>
              <w:jc w:val="center"/>
              <w:rPr>
                <w:b/>
                <w:bCs/>
                <w:color w:val="000000"/>
                <w:kern w:val="0"/>
                <w:sz w:val="18"/>
                <w:szCs w:val="18"/>
              </w:rPr>
            </w:pPr>
            <w:r>
              <w:rPr>
                <w:b/>
                <w:bCs/>
                <w:color w:val="000000"/>
                <w:kern w:val="0"/>
                <w:sz w:val="18"/>
                <w:szCs w:val="18"/>
              </w:rPr>
              <w:t>10</w:t>
            </w:r>
          </w:p>
        </w:tc>
      </w:tr>
      <w:tr w14:paraId="4EDD8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6" w:type="pct"/>
            <w:vMerge w:val="continue"/>
            <w:shd w:val="clear" w:color="auto" w:fill="FFFFFF"/>
            <w:vAlign w:val="center"/>
          </w:tcPr>
          <w:p w14:paraId="7D982C45">
            <w:pPr>
              <w:widowControl/>
              <w:spacing w:line="0" w:lineRule="atLeast"/>
              <w:jc w:val="center"/>
              <w:rPr>
                <w:color w:val="000000"/>
                <w:kern w:val="0"/>
                <w:sz w:val="18"/>
                <w:szCs w:val="18"/>
              </w:rPr>
            </w:pPr>
          </w:p>
        </w:tc>
        <w:tc>
          <w:tcPr>
            <w:tcW w:w="301" w:type="pct"/>
            <w:shd w:val="clear" w:color="auto" w:fill="FFFFFF"/>
            <w:vAlign w:val="center"/>
          </w:tcPr>
          <w:p w14:paraId="1570CFA4">
            <w:pPr>
              <w:widowControl/>
              <w:spacing w:line="0" w:lineRule="atLeast"/>
              <w:jc w:val="center"/>
              <w:rPr>
                <w:color w:val="000000"/>
                <w:kern w:val="0"/>
                <w:sz w:val="18"/>
                <w:szCs w:val="18"/>
              </w:rPr>
            </w:pPr>
            <w:r>
              <w:rPr>
                <w:color w:val="000000"/>
                <w:kern w:val="0"/>
                <w:sz w:val="18"/>
                <w:szCs w:val="18"/>
              </w:rPr>
              <w:t>产出成本</w:t>
            </w:r>
          </w:p>
        </w:tc>
        <w:tc>
          <w:tcPr>
            <w:tcW w:w="344" w:type="pct"/>
            <w:shd w:val="clear" w:color="auto" w:fill="FFFFFF"/>
            <w:vAlign w:val="center"/>
          </w:tcPr>
          <w:p w14:paraId="7A8175C6">
            <w:pPr>
              <w:widowControl/>
              <w:spacing w:line="0" w:lineRule="atLeast"/>
              <w:jc w:val="center"/>
              <w:rPr>
                <w:color w:val="000000"/>
                <w:kern w:val="0"/>
                <w:sz w:val="18"/>
                <w:szCs w:val="18"/>
              </w:rPr>
            </w:pPr>
            <w:r>
              <w:rPr>
                <w:color w:val="000000"/>
                <w:kern w:val="0"/>
                <w:sz w:val="18"/>
                <w:szCs w:val="18"/>
              </w:rPr>
              <w:t>成本节约率</w:t>
            </w:r>
          </w:p>
        </w:tc>
        <w:tc>
          <w:tcPr>
            <w:tcW w:w="927" w:type="pct"/>
            <w:shd w:val="clear" w:color="000000" w:fill="FFFFFF"/>
            <w:vAlign w:val="center"/>
          </w:tcPr>
          <w:p w14:paraId="5DA5274A">
            <w:pPr>
              <w:widowControl/>
              <w:spacing w:line="0" w:lineRule="atLeast"/>
              <w:rPr>
                <w:color w:val="000000"/>
                <w:kern w:val="0"/>
                <w:sz w:val="18"/>
                <w:szCs w:val="18"/>
              </w:rPr>
            </w:pPr>
            <w:r>
              <w:rPr>
                <w:color w:val="000000"/>
                <w:kern w:val="0"/>
                <w:sz w:val="18"/>
                <w:szCs w:val="18"/>
              </w:rPr>
              <w:t>完成项目计划工作目标的实际节约成本与计划成本的比率，用以反映和考核项目的成本节约程度。</w:t>
            </w:r>
          </w:p>
        </w:tc>
        <w:tc>
          <w:tcPr>
            <w:tcW w:w="2051" w:type="pct"/>
            <w:shd w:val="clear" w:color="000000" w:fill="FFFFFF"/>
            <w:vAlign w:val="center"/>
          </w:tcPr>
          <w:p w14:paraId="1C6E5F2C">
            <w:pPr>
              <w:widowControl/>
              <w:spacing w:line="0" w:lineRule="atLeast"/>
              <w:rPr>
                <w:color w:val="000000"/>
                <w:kern w:val="0"/>
                <w:sz w:val="18"/>
                <w:szCs w:val="18"/>
              </w:rPr>
            </w:pPr>
            <w:r>
              <w:rPr>
                <w:color w:val="000000"/>
                <w:kern w:val="0"/>
                <w:sz w:val="18"/>
                <w:szCs w:val="18"/>
              </w:rPr>
              <w:br w:type="textWrapping"/>
            </w:r>
            <w:r>
              <w:rPr>
                <w:color w:val="000000"/>
                <w:kern w:val="0"/>
                <w:sz w:val="18"/>
                <w:szCs w:val="18"/>
              </w:rPr>
              <w:t>成本节约率=[（计划成本-实际成本）/计划成本]×100%。</w:t>
            </w:r>
            <w:r>
              <w:rPr>
                <w:color w:val="000000"/>
                <w:kern w:val="0"/>
                <w:sz w:val="18"/>
                <w:szCs w:val="18"/>
              </w:rPr>
              <w:br w:type="textWrapping"/>
            </w:r>
            <w:r>
              <w:rPr>
                <w:color w:val="000000"/>
                <w:kern w:val="0"/>
                <w:sz w:val="18"/>
                <w:szCs w:val="18"/>
              </w:rPr>
              <w:t>实际成本：项目实施单位如期、保质、保量完成既定工作目标实际所耗费的支出。</w:t>
            </w:r>
            <w:r>
              <w:rPr>
                <w:color w:val="000000"/>
                <w:kern w:val="0"/>
                <w:sz w:val="18"/>
                <w:szCs w:val="18"/>
              </w:rPr>
              <w:br w:type="textWrapping"/>
            </w:r>
            <w:r>
              <w:rPr>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67038A18">
            <w:pPr>
              <w:widowControl/>
              <w:spacing w:line="0" w:lineRule="atLeast"/>
              <w:jc w:val="center"/>
              <w:rPr>
                <w:b/>
                <w:bCs/>
                <w:color w:val="000000"/>
                <w:kern w:val="0"/>
                <w:sz w:val="18"/>
                <w:szCs w:val="18"/>
              </w:rPr>
            </w:pPr>
            <w:r>
              <w:rPr>
                <w:b/>
                <w:bCs/>
                <w:color w:val="000000"/>
                <w:kern w:val="0"/>
                <w:sz w:val="18"/>
                <w:szCs w:val="18"/>
              </w:rPr>
              <w:t>10</w:t>
            </w:r>
          </w:p>
        </w:tc>
        <w:tc>
          <w:tcPr>
            <w:tcW w:w="536" w:type="pct"/>
            <w:shd w:val="clear" w:color="000000" w:fill="FFFFFF"/>
            <w:vAlign w:val="center"/>
          </w:tcPr>
          <w:p w14:paraId="3D3D7798">
            <w:pPr>
              <w:widowControl/>
              <w:spacing w:line="0" w:lineRule="atLeast"/>
              <w:jc w:val="center"/>
              <w:rPr>
                <w:rFonts w:hint="default" w:eastAsia="宋体"/>
                <w:b/>
                <w:bCs/>
                <w:color w:val="000000"/>
                <w:kern w:val="0"/>
                <w:sz w:val="18"/>
                <w:szCs w:val="18"/>
                <w:lang w:val="en-US" w:eastAsia="zh-CN"/>
              </w:rPr>
            </w:pPr>
            <w:r>
              <w:rPr>
                <w:rFonts w:hint="eastAsia"/>
                <w:b/>
                <w:bCs/>
                <w:color w:val="000000"/>
                <w:kern w:val="0"/>
                <w:sz w:val="18"/>
                <w:szCs w:val="18"/>
                <w:lang w:val="en-US" w:eastAsia="zh-CN"/>
              </w:rPr>
              <w:t>10</w:t>
            </w:r>
          </w:p>
        </w:tc>
      </w:tr>
      <w:tr w14:paraId="6D38EF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6" w:type="pct"/>
            <w:vMerge w:val="restart"/>
            <w:shd w:val="clear" w:color="auto" w:fill="FFFFFF"/>
            <w:vAlign w:val="center"/>
          </w:tcPr>
          <w:p w14:paraId="6F448CE6">
            <w:pPr>
              <w:widowControl/>
              <w:spacing w:line="0" w:lineRule="atLeast"/>
              <w:jc w:val="center"/>
              <w:rPr>
                <w:color w:val="000000"/>
                <w:kern w:val="0"/>
                <w:sz w:val="18"/>
                <w:szCs w:val="18"/>
              </w:rPr>
            </w:pPr>
            <w:r>
              <w:rPr>
                <w:color w:val="000000"/>
                <w:kern w:val="0"/>
                <w:sz w:val="18"/>
                <w:szCs w:val="18"/>
              </w:rPr>
              <w:t>效益　</w:t>
            </w:r>
          </w:p>
        </w:tc>
        <w:tc>
          <w:tcPr>
            <w:tcW w:w="301" w:type="pct"/>
            <w:vMerge w:val="restart"/>
            <w:shd w:val="clear" w:color="auto" w:fill="FFFFFF"/>
            <w:vAlign w:val="center"/>
          </w:tcPr>
          <w:p w14:paraId="0BA32E72">
            <w:pPr>
              <w:widowControl/>
              <w:spacing w:line="0" w:lineRule="atLeast"/>
              <w:jc w:val="center"/>
              <w:rPr>
                <w:color w:val="000000"/>
                <w:kern w:val="0"/>
                <w:sz w:val="18"/>
                <w:szCs w:val="18"/>
              </w:rPr>
            </w:pPr>
            <w:r>
              <w:rPr>
                <w:color w:val="000000"/>
                <w:kern w:val="0"/>
                <w:sz w:val="18"/>
                <w:szCs w:val="18"/>
              </w:rPr>
              <w:t>项目效益　</w:t>
            </w:r>
          </w:p>
        </w:tc>
        <w:tc>
          <w:tcPr>
            <w:tcW w:w="344" w:type="pct"/>
            <w:shd w:val="clear" w:color="auto" w:fill="FFFFFF"/>
            <w:vAlign w:val="center"/>
          </w:tcPr>
          <w:p w14:paraId="0939C2DE">
            <w:pPr>
              <w:widowControl/>
              <w:spacing w:line="0" w:lineRule="atLeast"/>
              <w:jc w:val="center"/>
              <w:rPr>
                <w:color w:val="000000"/>
                <w:kern w:val="0"/>
                <w:sz w:val="18"/>
                <w:szCs w:val="18"/>
              </w:rPr>
            </w:pPr>
            <w:r>
              <w:rPr>
                <w:color w:val="000000"/>
                <w:kern w:val="0"/>
                <w:sz w:val="18"/>
                <w:szCs w:val="18"/>
              </w:rPr>
              <w:t>实施效益</w:t>
            </w:r>
          </w:p>
        </w:tc>
        <w:tc>
          <w:tcPr>
            <w:tcW w:w="927" w:type="pct"/>
            <w:shd w:val="clear" w:color="auto" w:fill="FFFFFF"/>
            <w:vAlign w:val="center"/>
          </w:tcPr>
          <w:p w14:paraId="2C2102DA">
            <w:pPr>
              <w:widowControl/>
              <w:spacing w:line="0" w:lineRule="atLeast"/>
              <w:jc w:val="left"/>
              <w:rPr>
                <w:color w:val="000000"/>
                <w:kern w:val="0"/>
                <w:sz w:val="18"/>
                <w:szCs w:val="18"/>
              </w:rPr>
            </w:pPr>
            <w:r>
              <w:rPr>
                <w:color w:val="000000"/>
                <w:kern w:val="0"/>
                <w:sz w:val="18"/>
                <w:szCs w:val="18"/>
              </w:rPr>
              <w:t>项目实施所产生的效益。</w:t>
            </w:r>
          </w:p>
        </w:tc>
        <w:tc>
          <w:tcPr>
            <w:tcW w:w="2051" w:type="pct"/>
            <w:shd w:val="clear" w:color="auto" w:fill="FFFFFF"/>
            <w:vAlign w:val="center"/>
          </w:tcPr>
          <w:p w14:paraId="3C9740B0">
            <w:pPr>
              <w:widowControl/>
              <w:spacing w:line="0" w:lineRule="atLeast"/>
              <w:rPr>
                <w:color w:val="000000"/>
                <w:kern w:val="0"/>
                <w:sz w:val="18"/>
                <w:szCs w:val="18"/>
              </w:rPr>
            </w:pPr>
            <w:r>
              <w:rPr>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40EF433E">
            <w:pPr>
              <w:widowControl/>
              <w:spacing w:line="0" w:lineRule="atLeast"/>
              <w:jc w:val="center"/>
              <w:rPr>
                <w:b/>
                <w:bCs/>
                <w:color w:val="000000"/>
                <w:kern w:val="0"/>
                <w:sz w:val="18"/>
                <w:szCs w:val="18"/>
              </w:rPr>
            </w:pPr>
            <w:r>
              <w:rPr>
                <w:b/>
                <w:bCs/>
                <w:color w:val="000000"/>
                <w:kern w:val="0"/>
                <w:sz w:val="18"/>
                <w:szCs w:val="18"/>
              </w:rPr>
              <w:t>10</w:t>
            </w:r>
          </w:p>
        </w:tc>
        <w:tc>
          <w:tcPr>
            <w:tcW w:w="536" w:type="pct"/>
            <w:shd w:val="clear" w:color="auto" w:fill="FFFFFF"/>
            <w:vAlign w:val="center"/>
          </w:tcPr>
          <w:p w14:paraId="5BBFF5DB">
            <w:pPr>
              <w:widowControl/>
              <w:spacing w:line="0" w:lineRule="atLeast"/>
              <w:jc w:val="center"/>
              <w:rPr>
                <w:b/>
                <w:bCs/>
                <w:color w:val="000000"/>
                <w:kern w:val="0"/>
                <w:sz w:val="18"/>
                <w:szCs w:val="18"/>
              </w:rPr>
            </w:pPr>
            <w:r>
              <w:rPr>
                <w:b/>
                <w:bCs/>
                <w:color w:val="000000"/>
                <w:kern w:val="0"/>
                <w:sz w:val="18"/>
                <w:szCs w:val="18"/>
              </w:rPr>
              <w:t>10</w:t>
            </w:r>
          </w:p>
        </w:tc>
      </w:tr>
      <w:tr w14:paraId="5EAC1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6" w:type="pct"/>
            <w:vMerge w:val="continue"/>
            <w:shd w:val="clear" w:color="auto" w:fill="FFFFFF"/>
            <w:vAlign w:val="center"/>
          </w:tcPr>
          <w:p w14:paraId="557604EB">
            <w:pPr>
              <w:widowControl/>
              <w:spacing w:line="0" w:lineRule="atLeast"/>
              <w:jc w:val="center"/>
              <w:rPr>
                <w:color w:val="000000"/>
                <w:kern w:val="0"/>
                <w:sz w:val="18"/>
                <w:szCs w:val="18"/>
              </w:rPr>
            </w:pPr>
          </w:p>
        </w:tc>
        <w:tc>
          <w:tcPr>
            <w:tcW w:w="301" w:type="pct"/>
            <w:vMerge w:val="continue"/>
            <w:shd w:val="clear" w:color="auto" w:fill="FFFFFF"/>
            <w:vAlign w:val="center"/>
          </w:tcPr>
          <w:p w14:paraId="3EC595D9">
            <w:pPr>
              <w:widowControl/>
              <w:spacing w:line="0" w:lineRule="atLeast"/>
              <w:jc w:val="center"/>
              <w:rPr>
                <w:color w:val="000000"/>
                <w:kern w:val="0"/>
                <w:sz w:val="18"/>
                <w:szCs w:val="18"/>
              </w:rPr>
            </w:pPr>
          </w:p>
        </w:tc>
        <w:tc>
          <w:tcPr>
            <w:tcW w:w="344" w:type="pct"/>
            <w:shd w:val="clear" w:color="auto" w:fill="FFFFFF"/>
            <w:vAlign w:val="center"/>
          </w:tcPr>
          <w:p w14:paraId="28F8FC80">
            <w:pPr>
              <w:widowControl/>
              <w:spacing w:line="0" w:lineRule="atLeast"/>
              <w:jc w:val="center"/>
              <w:rPr>
                <w:color w:val="000000"/>
                <w:kern w:val="0"/>
                <w:sz w:val="18"/>
                <w:szCs w:val="18"/>
              </w:rPr>
            </w:pPr>
            <w:r>
              <w:rPr>
                <w:color w:val="000000"/>
                <w:kern w:val="0"/>
                <w:sz w:val="18"/>
                <w:szCs w:val="18"/>
              </w:rPr>
              <w:t>满意度</w:t>
            </w:r>
          </w:p>
        </w:tc>
        <w:tc>
          <w:tcPr>
            <w:tcW w:w="927" w:type="pct"/>
            <w:shd w:val="clear" w:color="000000" w:fill="FFFFFF"/>
            <w:vAlign w:val="center"/>
          </w:tcPr>
          <w:p w14:paraId="6041F402">
            <w:pPr>
              <w:widowControl/>
              <w:spacing w:line="0" w:lineRule="atLeast"/>
              <w:rPr>
                <w:color w:val="000000"/>
                <w:kern w:val="0"/>
                <w:sz w:val="18"/>
                <w:szCs w:val="18"/>
              </w:rPr>
            </w:pPr>
            <w:r>
              <w:rPr>
                <w:color w:val="000000"/>
                <w:kern w:val="0"/>
                <w:sz w:val="18"/>
                <w:szCs w:val="18"/>
              </w:rPr>
              <w:t>社会公众或服务对象对项目实施效果的满意程度。</w:t>
            </w:r>
          </w:p>
        </w:tc>
        <w:tc>
          <w:tcPr>
            <w:tcW w:w="2051" w:type="pct"/>
            <w:shd w:val="clear" w:color="000000" w:fill="FFFFFF"/>
            <w:vAlign w:val="center"/>
          </w:tcPr>
          <w:p w14:paraId="7C984E12">
            <w:pPr>
              <w:widowControl/>
              <w:spacing w:line="0" w:lineRule="atLeast"/>
              <w:rPr>
                <w:color w:val="000000"/>
                <w:kern w:val="0"/>
                <w:sz w:val="18"/>
                <w:szCs w:val="18"/>
              </w:rPr>
            </w:pPr>
            <w:r>
              <w:rPr>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4EB726CA">
            <w:pPr>
              <w:widowControl/>
              <w:spacing w:line="0" w:lineRule="atLeast"/>
              <w:jc w:val="center"/>
              <w:rPr>
                <w:b/>
                <w:bCs/>
                <w:color w:val="000000"/>
                <w:kern w:val="0"/>
                <w:sz w:val="18"/>
                <w:szCs w:val="18"/>
              </w:rPr>
            </w:pPr>
            <w:r>
              <w:rPr>
                <w:b/>
                <w:bCs/>
                <w:color w:val="000000"/>
                <w:kern w:val="0"/>
                <w:sz w:val="18"/>
                <w:szCs w:val="18"/>
              </w:rPr>
              <w:t>10</w:t>
            </w:r>
          </w:p>
        </w:tc>
        <w:tc>
          <w:tcPr>
            <w:tcW w:w="536" w:type="pct"/>
            <w:shd w:val="clear" w:color="000000" w:fill="FFFFFF"/>
            <w:vAlign w:val="center"/>
          </w:tcPr>
          <w:p w14:paraId="5B09AAC9">
            <w:pPr>
              <w:widowControl/>
              <w:spacing w:line="0" w:lineRule="atLeast"/>
              <w:jc w:val="center"/>
              <w:rPr>
                <w:b/>
                <w:bCs/>
                <w:color w:val="000000"/>
                <w:kern w:val="0"/>
                <w:sz w:val="18"/>
                <w:szCs w:val="18"/>
              </w:rPr>
            </w:pPr>
            <w:r>
              <w:rPr>
                <w:b/>
                <w:bCs/>
                <w:color w:val="000000"/>
                <w:kern w:val="0"/>
                <w:sz w:val="18"/>
                <w:szCs w:val="18"/>
              </w:rPr>
              <w:t>10</w:t>
            </w:r>
          </w:p>
        </w:tc>
      </w:tr>
      <w:tr w14:paraId="75DF2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0" w:type="pct"/>
            <w:gridSpan w:val="5"/>
            <w:shd w:val="clear" w:color="auto" w:fill="FFFFFF"/>
            <w:vAlign w:val="center"/>
          </w:tcPr>
          <w:p w14:paraId="09EE9600">
            <w:pPr>
              <w:widowControl/>
              <w:spacing w:line="0" w:lineRule="atLeast"/>
              <w:jc w:val="center"/>
              <w:rPr>
                <w:color w:val="000000"/>
                <w:kern w:val="0"/>
                <w:sz w:val="18"/>
                <w:szCs w:val="18"/>
              </w:rPr>
            </w:pPr>
            <w:r>
              <w:rPr>
                <w:rFonts w:hint="eastAsia"/>
                <w:color w:val="000000"/>
                <w:kern w:val="0"/>
                <w:sz w:val="18"/>
                <w:szCs w:val="18"/>
                <w:lang w:val="en-US" w:eastAsia="zh-CN"/>
              </w:rPr>
              <w:t>合计</w:t>
            </w:r>
          </w:p>
        </w:tc>
        <w:tc>
          <w:tcPr>
            <w:tcW w:w="512" w:type="pct"/>
            <w:shd w:val="clear" w:color="000000" w:fill="FFFFFF"/>
            <w:vAlign w:val="center"/>
          </w:tcPr>
          <w:p w14:paraId="7B46B99E">
            <w:pPr>
              <w:widowControl/>
              <w:spacing w:line="0" w:lineRule="atLeast"/>
              <w:jc w:val="center"/>
              <w:rPr>
                <w:rFonts w:hint="default" w:eastAsia="宋体"/>
                <w:lang w:val="en-US" w:eastAsia="zh-CN"/>
              </w:rPr>
            </w:pPr>
            <w:r>
              <w:rPr>
                <w:rFonts w:hint="eastAsia"/>
                <w:b/>
                <w:bCs/>
                <w:color w:val="000000"/>
                <w:kern w:val="0"/>
                <w:sz w:val="18"/>
                <w:szCs w:val="18"/>
                <w:lang w:val="en-US" w:eastAsia="zh-CN"/>
              </w:rPr>
              <w:t>100</w:t>
            </w:r>
          </w:p>
        </w:tc>
        <w:tc>
          <w:tcPr>
            <w:tcW w:w="536" w:type="pct"/>
            <w:shd w:val="clear" w:color="000000" w:fill="FFFFFF"/>
            <w:vAlign w:val="center"/>
          </w:tcPr>
          <w:p w14:paraId="7829E3AF">
            <w:pPr>
              <w:widowControl/>
              <w:spacing w:line="0" w:lineRule="atLeast"/>
              <w:jc w:val="center"/>
              <w:rPr>
                <w:rFonts w:hint="default" w:eastAsia="宋体"/>
                <w:b/>
                <w:bCs/>
                <w:color w:val="000000"/>
                <w:kern w:val="0"/>
                <w:sz w:val="18"/>
                <w:szCs w:val="18"/>
                <w:lang w:val="en-US" w:eastAsia="zh-CN"/>
              </w:rPr>
            </w:pPr>
            <w:r>
              <w:rPr>
                <w:rFonts w:hint="eastAsia"/>
                <w:b/>
                <w:bCs/>
                <w:color w:val="000000"/>
                <w:kern w:val="0"/>
                <w:sz w:val="18"/>
                <w:szCs w:val="18"/>
                <w:lang w:val="en-US" w:eastAsia="zh-CN"/>
              </w:rPr>
              <w:t>100</w:t>
            </w:r>
          </w:p>
        </w:tc>
      </w:tr>
    </w:tbl>
    <w:p w14:paraId="2CA00FCD">
      <w:pPr>
        <w:sectPr>
          <w:pgSz w:w="16838" w:h="11906" w:orient="landscape"/>
          <w:pgMar w:top="1800" w:right="1440" w:bottom="1558" w:left="1440" w:header="851" w:footer="992" w:gutter="0"/>
          <w:cols w:space="425" w:num="1"/>
          <w:docGrid w:type="lines" w:linePitch="312" w:charSpace="0"/>
        </w:sectPr>
      </w:pPr>
    </w:p>
    <w:tbl>
      <w:tblPr>
        <w:tblStyle w:val="10"/>
        <w:tblW w:w="1480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1"/>
        <w:gridCol w:w="936"/>
        <w:gridCol w:w="1296"/>
        <w:gridCol w:w="2216"/>
        <w:gridCol w:w="1188"/>
        <w:gridCol w:w="1016"/>
        <w:gridCol w:w="793"/>
        <w:gridCol w:w="916"/>
        <w:gridCol w:w="792"/>
        <w:gridCol w:w="791"/>
        <w:gridCol w:w="1314"/>
        <w:gridCol w:w="916"/>
        <w:gridCol w:w="917"/>
        <w:gridCol w:w="920"/>
      </w:tblGrid>
      <w:tr w14:paraId="63B24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3" w:hRule="atLeast"/>
        </w:trPr>
        <w:tc>
          <w:tcPr>
            <w:tcW w:w="14802" w:type="dxa"/>
            <w:gridSpan w:val="14"/>
            <w:tcBorders>
              <w:top w:val="nil"/>
              <w:left w:val="nil"/>
              <w:bottom w:val="nil"/>
              <w:right w:val="nil"/>
            </w:tcBorders>
            <w:shd w:val="clear" w:color="auto" w:fill="auto"/>
            <w:noWrap/>
            <w:vAlign w:val="center"/>
          </w:tcPr>
          <w:p w14:paraId="5C71B525">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8"/>
                <w:szCs w:val="28"/>
                <w:u w:val="none"/>
                <w:lang w:val="en-US" w:eastAsia="zh-CN" w:bidi="ar"/>
              </w:rPr>
            </w:pPr>
            <w:r>
              <w:rPr>
                <w:rFonts w:hint="default" w:ascii="仿宋_GB2312" w:hAnsi="宋体" w:eastAsia="仿宋_GB2312" w:cs="仿宋_GB2312"/>
                <w:b/>
                <w:bCs/>
                <w:i w:val="0"/>
                <w:iCs w:val="0"/>
                <w:color w:val="000000"/>
                <w:kern w:val="0"/>
                <w:sz w:val="28"/>
                <w:szCs w:val="28"/>
                <w:u w:val="none"/>
                <w:lang w:val="en-US" w:eastAsia="zh-CN" w:bidi="ar"/>
              </w:rPr>
              <w:t>项目支出绩效自评表</w:t>
            </w:r>
          </w:p>
          <w:p w14:paraId="51D3C148">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8"/>
                <w:szCs w:val="28"/>
                <w:u w:val="none"/>
                <w:lang w:val="en-US" w:eastAsia="zh-CN" w:bidi="ar"/>
              </w:rPr>
            </w:pPr>
            <w:r>
              <w:rPr>
                <w:rFonts w:hint="default" w:ascii="仿宋_GB2312" w:hAnsi="宋体" w:eastAsia="仿宋_GB2312" w:cs="仿宋_GB2312"/>
                <w:b/>
                <w:bCs/>
                <w:i w:val="0"/>
                <w:iCs w:val="0"/>
                <w:color w:val="000000"/>
                <w:kern w:val="0"/>
                <w:sz w:val="22"/>
                <w:szCs w:val="22"/>
                <w:u w:val="none"/>
                <w:lang w:val="en-US" w:eastAsia="zh-CN" w:bidi="ar"/>
              </w:rPr>
              <w:t>（</w:t>
            </w:r>
            <w:r>
              <w:rPr>
                <w:rStyle w:val="15"/>
                <w:rFonts w:eastAsia="仿宋_GB2312"/>
                <w:lang w:val="en-US" w:eastAsia="zh-CN" w:bidi="ar"/>
              </w:rPr>
              <w:t xml:space="preserve"> 2024</w:t>
            </w:r>
            <w:r>
              <w:rPr>
                <w:rStyle w:val="16"/>
                <w:rFonts w:hAnsi="宋体"/>
                <w:lang w:val="en-US" w:eastAsia="zh-CN" w:bidi="ar"/>
              </w:rPr>
              <w:t>年度）</w:t>
            </w:r>
          </w:p>
        </w:tc>
      </w:tr>
      <w:tr w14:paraId="52CB2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8FE7C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项目名称</w:t>
            </w:r>
          </w:p>
        </w:tc>
        <w:tc>
          <w:tcPr>
            <w:tcW w:w="1307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42BA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耕地地力保护补贴资金</w:t>
            </w:r>
          </w:p>
        </w:tc>
      </w:tr>
      <w:tr w14:paraId="1311B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7F39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主管部门</w:t>
            </w:r>
          </w:p>
        </w:tc>
        <w:tc>
          <w:tcPr>
            <w:tcW w:w="65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BC18E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奇台县农业农村局</w:t>
            </w: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875F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实施单位</w:t>
            </w:r>
          </w:p>
        </w:tc>
        <w:tc>
          <w:tcPr>
            <w:tcW w:w="48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E70C4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奇台县农业农村局</w:t>
            </w:r>
          </w:p>
        </w:tc>
      </w:tr>
      <w:tr w14:paraId="6DDE3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B15F9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项目资金</w:t>
            </w:r>
          </w:p>
        </w:tc>
        <w:tc>
          <w:tcPr>
            <w:tcW w:w="3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B7F1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资金来源</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85F0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年初预算数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2363C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全年预算数</w:t>
            </w: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5871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全年执行数</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0C142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分值权重</w:t>
            </w:r>
          </w:p>
        </w:tc>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4B31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执行率</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426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得分</w:t>
            </w:r>
          </w:p>
        </w:tc>
      </w:tr>
      <w:tr w14:paraId="6A504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BF5B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（万元）</w:t>
            </w:r>
          </w:p>
        </w:tc>
        <w:tc>
          <w:tcPr>
            <w:tcW w:w="3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4F78A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年度资金总额</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AD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14640.24</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EA2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14640.24</w:t>
            </w: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0F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14639.68</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1E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653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096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435B8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CDF9">
            <w:pPr>
              <w:jc w:val="center"/>
              <w:rPr>
                <w:rFonts w:hint="eastAsia" w:ascii="宋体" w:hAnsi="宋体" w:eastAsia="宋体" w:cs="宋体"/>
                <w:i w:val="0"/>
                <w:iCs w:val="0"/>
                <w:color w:val="000000"/>
                <w:sz w:val="22"/>
                <w:szCs w:val="22"/>
                <w:u w:val="none"/>
              </w:rPr>
            </w:pPr>
          </w:p>
        </w:tc>
        <w:tc>
          <w:tcPr>
            <w:tcW w:w="3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A737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其中：当年财政拨款</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73B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14640.24</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CAC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14640.24</w:t>
            </w: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D22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14639.68</w:t>
            </w: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33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F1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978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5AB74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E63B9">
            <w:pPr>
              <w:jc w:val="center"/>
              <w:rPr>
                <w:rFonts w:hint="eastAsia" w:ascii="宋体" w:hAnsi="宋体" w:eastAsia="宋体" w:cs="宋体"/>
                <w:i w:val="0"/>
                <w:iCs w:val="0"/>
                <w:color w:val="000000"/>
                <w:sz w:val="22"/>
                <w:szCs w:val="22"/>
                <w:u w:val="none"/>
              </w:rPr>
            </w:pPr>
          </w:p>
        </w:tc>
        <w:tc>
          <w:tcPr>
            <w:tcW w:w="35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D7DC3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其他资金</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EFC3D">
            <w:pPr>
              <w:jc w:val="center"/>
              <w:rPr>
                <w:rFonts w:hint="default" w:ascii="仿宋_GB2312" w:hAnsi="宋体" w:eastAsia="仿宋_GB2312" w:cs="仿宋_GB2312"/>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94C08">
            <w:pPr>
              <w:jc w:val="center"/>
              <w:rPr>
                <w:rFonts w:hint="default" w:ascii="仿宋_GB2312" w:hAnsi="宋体" w:eastAsia="仿宋_GB2312" w:cs="仿宋_GB2312"/>
                <w:i w:val="0"/>
                <w:iCs w:val="0"/>
                <w:color w:val="000000"/>
                <w:sz w:val="18"/>
                <w:szCs w:val="18"/>
                <w:u w:val="none"/>
              </w:rPr>
            </w:pPr>
          </w:p>
        </w:tc>
        <w:tc>
          <w:tcPr>
            <w:tcW w:w="17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D666A">
            <w:pPr>
              <w:jc w:val="center"/>
              <w:rPr>
                <w:rFonts w:hint="default" w:ascii="仿宋_GB2312" w:hAnsi="宋体" w:eastAsia="仿宋_GB2312" w:cs="仿宋_GB2312"/>
                <w:i w:val="0"/>
                <w:iCs w:val="0"/>
                <w:color w:val="000000"/>
                <w:sz w:val="18"/>
                <w:szCs w:val="18"/>
                <w:u w:val="none"/>
              </w:rPr>
            </w:pPr>
          </w:p>
        </w:tc>
        <w:tc>
          <w:tcPr>
            <w:tcW w:w="21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2927D6">
            <w:pPr>
              <w:jc w:val="center"/>
              <w:rPr>
                <w:rFonts w:hint="default" w:ascii="仿宋_GB2312" w:hAnsi="宋体" w:eastAsia="仿宋_GB2312" w:cs="仿宋_GB2312"/>
                <w:i w:val="0"/>
                <w:iCs w:val="0"/>
                <w:color w:val="000000"/>
                <w:sz w:val="18"/>
                <w:szCs w:val="18"/>
                <w:u w:val="none"/>
              </w:rPr>
            </w:pPr>
          </w:p>
        </w:tc>
        <w:tc>
          <w:tcPr>
            <w:tcW w:w="18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F031E3">
            <w:pPr>
              <w:jc w:val="center"/>
              <w:rPr>
                <w:rFonts w:hint="default" w:ascii="仿宋_GB2312" w:hAnsi="宋体" w:eastAsia="仿宋_GB2312" w:cs="仿宋_GB2312"/>
                <w:i w:val="0"/>
                <w:iCs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71446">
            <w:pPr>
              <w:jc w:val="center"/>
              <w:rPr>
                <w:rFonts w:hint="default" w:ascii="仿宋_GB2312" w:hAnsi="宋体" w:eastAsia="仿宋_GB2312" w:cs="仿宋_GB2312"/>
                <w:i w:val="0"/>
                <w:iCs w:val="0"/>
                <w:color w:val="000000"/>
                <w:sz w:val="18"/>
                <w:szCs w:val="18"/>
                <w:u w:val="none"/>
              </w:rPr>
            </w:pPr>
          </w:p>
        </w:tc>
      </w:tr>
      <w:tr w14:paraId="6E28F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7002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年度总体目标</w:t>
            </w:r>
          </w:p>
        </w:tc>
        <w:tc>
          <w:tcPr>
            <w:tcW w:w="915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450F68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总体目标</w:t>
            </w:r>
          </w:p>
        </w:tc>
        <w:tc>
          <w:tcPr>
            <w:tcW w:w="48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31441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总体目标完成情况</w:t>
            </w:r>
          </w:p>
        </w:tc>
      </w:tr>
      <w:tr w14:paraId="73EB0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E89E7">
            <w:pPr>
              <w:jc w:val="center"/>
              <w:rPr>
                <w:rFonts w:hint="default" w:ascii="仿宋_GB2312" w:hAnsi="宋体" w:eastAsia="仿宋_GB2312" w:cs="仿宋_GB2312"/>
                <w:i w:val="0"/>
                <w:iCs w:val="0"/>
                <w:color w:val="000000"/>
                <w:sz w:val="18"/>
                <w:szCs w:val="18"/>
                <w:u w:val="none"/>
              </w:rPr>
            </w:pPr>
          </w:p>
        </w:tc>
        <w:tc>
          <w:tcPr>
            <w:tcW w:w="915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14:paraId="7A7D3753">
            <w:pPr>
              <w:jc w:val="both"/>
            </w:pPr>
            <w:r>
              <w:rPr>
                <w:rFonts w:hint="default" w:ascii="仿宋_GB2312" w:hAnsi="宋体" w:eastAsia="仿宋_GB2312" w:cs="仿宋_GB2312"/>
                <w:i w:val="0"/>
                <w:iCs w:val="0"/>
                <w:color w:val="000000"/>
                <w:sz w:val="18"/>
                <w:szCs w:val="18"/>
                <w:u w:val="none"/>
              </w:rPr>
              <w:t>小麦补贴进一步促进农村农业的发展，助力农民增收致富，同时是对农民努力付出的认可，也是对我国种植业的积极推动。截至目前，我县总共补贴冬小麦56.15万亩，春小麦7.5万亩，，粮食安全保障能力有效提高，补贴发放及时率、准确率均达到100%，群众满意度达到90以上。</w:t>
            </w:r>
          </w:p>
        </w:tc>
        <w:tc>
          <w:tcPr>
            <w:tcW w:w="48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4F53EF6">
            <w:pPr>
              <w:jc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sz w:val="18"/>
                <w:szCs w:val="18"/>
                <w:u w:val="none"/>
              </w:rPr>
              <w:t>通过耕地地力保护补贴提高种粮积极性，促进农村农业的发展，促进农户收入，有效保障粮食安全，积极有效推动我国种植业。2024年我县总共补贴冬小麦56.15万亩，春小麦7.5万亩，补贴发放及时率100%、准确率100%，群众满意度达到90以上，有效带动了农户种粮积极性。</w:t>
            </w:r>
          </w:p>
        </w:tc>
      </w:tr>
      <w:tr w14:paraId="3783E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D8B0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绩效指标</w:t>
            </w: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847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一级指标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6F9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二级指标</w:t>
            </w:r>
          </w:p>
        </w:tc>
        <w:tc>
          <w:tcPr>
            <w:tcW w:w="2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A401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三级指标</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4F6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指标值</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9C6A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指标值设置依据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C292">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上年完成值</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410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指标分值权重</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F5E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指标赋分规则</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A1A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佐证资料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7E7D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指标实际完成值</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EB63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完成率</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8246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指标得分</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269E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偏差原因分析及改进措施</w:t>
            </w:r>
          </w:p>
        </w:tc>
      </w:tr>
      <w:tr w14:paraId="5AFA7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EE12B">
            <w:pPr>
              <w:jc w:val="center"/>
              <w:rPr>
                <w:rFonts w:hint="default" w:ascii="仿宋_GB2312" w:hAnsi="宋体" w:eastAsia="仿宋_GB2312" w:cs="仿宋_GB2312"/>
                <w:i w:val="0"/>
                <w:iCs w:val="0"/>
                <w:color w:val="000000"/>
                <w:sz w:val="18"/>
                <w:szCs w:val="18"/>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5E71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产出指标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B634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2C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冬小麦补贴面积</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30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&gt;=56.15万亩</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037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F947C">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6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A0DE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D9B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工作材料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F3D5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=56.15万亩</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7CBF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C03F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12</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6188">
            <w:pPr>
              <w:jc w:val="center"/>
              <w:rPr>
                <w:rFonts w:hint="default" w:ascii="仿宋_GB2312" w:hAnsi="宋体" w:eastAsia="仿宋_GB2312" w:cs="仿宋_GB2312"/>
                <w:i w:val="0"/>
                <w:iCs w:val="0"/>
                <w:color w:val="000000"/>
                <w:sz w:val="18"/>
                <w:szCs w:val="18"/>
                <w:u w:val="none"/>
              </w:rPr>
            </w:pPr>
          </w:p>
        </w:tc>
      </w:tr>
      <w:tr w14:paraId="58F1C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2DA86">
            <w:pPr>
              <w:jc w:val="center"/>
              <w:rPr>
                <w:rFonts w:hint="default" w:ascii="仿宋_GB2312" w:hAnsi="宋体" w:eastAsia="仿宋_GB2312" w:cs="仿宋_GB2312"/>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BBF83">
            <w:pPr>
              <w:jc w:val="center"/>
              <w:rPr>
                <w:rFonts w:hint="default"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458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FC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春小麦补贴面积</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DD4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&gt;=7.5万亩</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D4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1561">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615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B4E4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0A09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工作材料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54DB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w:t>
            </w:r>
            <w:r>
              <w:rPr>
                <w:rFonts w:hint="default" w:ascii="仿宋_GB2312" w:hAnsi="宋体" w:eastAsia="仿宋_GB2312" w:cs="仿宋_GB2312"/>
                <w:i w:val="0"/>
                <w:iCs w:val="0"/>
                <w:color w:val="000000"/>
                <w:kern w:val="0"/>
                <w:sz w:val="18"/>
                <w:szCs w:val="18"/>
                <w:u w:val="none"/>
                <w:lang w:val="en-US" w:eastAsia="zh-CN" w:bidi="ar"/>
              </w:rPr>
              <w:t>7.5万亩</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F61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761C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11</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8C818">
            <w:pPr>
              <w:jc w:val="center"/>
              <w:rPr>
                <w:rFonts w:hint="default" w:ascii="仿宋_GB2312" w:hAnsi="宋体" w:eastAsia="仿宋_GB2312" w:cs="仿宋_GB2312"/>
                <w:i w:val="0"/>
                <w:iCs w:val="0"/>
                <w:color w:val="000000"/>
                <w:sz w:val="18"/>
                <w:szCs w:val="18"/>
                <w:u w:val="none"/>
              </w:rPr>
            </w:pPr>
          </w:p>
        </w:tc>
      </w:tr>
      <w:tr w14:paraId="4EE3C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29F17">
            <w:pPr>
              <w:jc w:val="center"/>
              <w:rPr>
                <w:rFonts w:hint="default" w:ascii="仿宋_GB2312" w:hAnsi="宋体" w:eastAsia="仿宋_GB2312" w:cs="仿宋_GB2312"/>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19C11">
            <w:pPr>
              <w:jc w:val="center"/>
              <w:rPr>
                <w:rFonts w:hint="default" w:ascii="仿宋_GB2312" w:hAnsi="宋体" w:eastAsia="仿宋_GB2312" w:cs="仿宋_GB2312"/>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69D2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73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补贴发放准确率（%）</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F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78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1F93">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B6E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DD0C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4CD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工作材料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E5C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7690F">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DAB1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FF01A">
            <w:pPr>
              <w:jc w:val="center"/>
              <w:rPr>
                <w:rFonts w:hint="default" w:ascii="仿宋_GB2312" w:hAnsi="宋体" w:eastAsia="仿宋_GB2312" w:cs="仿宋_GB2312"/>
                <w:i w:val="0"/>
                <w:iCs w:val="0"/>
                <w:color w:val="000000"/>
                <w:sz w:val="18"/>
                <w:szCs w:val="18"/>
                <w:u w:val="none"/>
              </w:rPr>
            </w:pPr>
          </w:p>
        </w:tc>
      </w:tr>
      <w:tr w14:paraId="443BE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9"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D3E7E">
            <w:pPr>
              <w:jc w:val="center"/>
              <w:rPr>
                <w:rFonts w:hint="default" w:ascii="仿宋_GB2312" w:hAnsi="宋体" w:eastAsia="仿宋_GB2312" w:cs="仿宋_GB2312"/>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FBAE0">
            <w:pPr>
              <w:jc w:val="center"/>
              <w:rPr>
                <w:rFonts w:hint="default"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BA8E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33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补贴发放及时率</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F3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DA6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7BB7">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6F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E33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E5F3C">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工作材料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F37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3E4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8A8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8</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C82DA">
            <w:pPr>
              <w:jc w:val="center"/>
              <w:rPr>
                <w:rFonts w:hint="default" w:ascii="仿宋_GB2312" w:hAnsi="宋体" w:eastAsia="仿宋_GB2312" w:cs="仿宋_GB2312"/>
                <w:b/>
                <w:bCs/>
                <w:i w:val="0"/>
                <w:iCs w:val="0"/>
                <w:color w:val="000000"/>
                <w:sz w:val="18"/>
                <w:szCs w:val="18"/>
                <w:u w:val="none"/>
              </w:rPr>
            </w:pPr>
          </w:p>
        </w:tc>
      </w:tr>
      <w:tr w14:paraId="7DCAB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B0AD1">
            <w:pPr>
              <w:jc w:val="center"/>
              <w:rPr>
                <w:rFonts w:hint="default" w:ascii="仿宋_GB2312" w:hAnsi="宋体" w:eastAsia="仿宋_GB2312" w:cs="仿宋_GB2312"/>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4D72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4A75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经济成本指标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8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C6C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4B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1E41">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B5F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26A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按照完成比例赋分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DA4C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工作材料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50579">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10425">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2A4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535A1">
            <w:pPr>
              <w:jc w:val="center"/>
              <w:rPr>
                <w:rFonts w:hint="default" w:ascii="仿宋_GB2312" w:hAnsi="宋体" w:eastAsia="仿宋_GB2312" w:cs="仿宋_GB2312"/>
                <w:i w:val="0"/>
                <w:iCs w:val="0"/>
                <w:color w:val="000000"/>
                <w:sz w:val="18"/>
                <w:szCs w:val="18"/>
                <w:u w:val="none"/>
              </w:rPr>
            </w:pPr>
          </w:p>
        </w:tc>
      </w:tr>
      <w:tr w14:paraId="1D112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669B7">
            <w:pPr>
              <w:jc w:val="center"/>
              <w:rPr>
                <w:rFonts w:hint="default" w:ascii="仿宋_GB2312" w:hAnsi="宋体" w:eastAsia="仿宋_GB2312" w:cs="仿宋_GB2312"/>
                <w:i w:val="0"/>
                <w:iCs w:val="0"/>
                <w:color w:val="000000"/>
                <w:sz w:val="18"/>
                <w:szCs w:val="18"/>
                <w:u w:val="none"/>
              </w:rPr>
            </w:pP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B6C97">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效益指标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67604">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经济效益指标</w:t>
            </w:r>
          </w:p>
        </w:tc>
        <w:tc>
          <w:tcPr>
            <w:tcW w:w="2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EC057">
            <w:pPr>
              <w:jc w:val="center"/>
              <w:rPr>
                <w:rFonts w:hint="default" w:ascii="仿宋_GB2312" w:hAnsi="宋体" w:eastAsia="仿宋_GB2312" w:cs="仿宋_GB2312"/>
                <w:i w:val="0"/>
                <w:iCs w:val="0"/>
                <w:color w:val="000000"/>
                <w:sz w:val="18"/>
                <w:szCs w:val="18"/>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1E731">
            <w:pPr>
              <w:jc w:val="center"/>
              <w:rPr>
                <w:rFonts w:hint="default" w:ascii="仿宋_GB2312" w:hAnsi="宋体" w:eastAsia="仿宋_GB2312" w:cs="仿宋_GB2312"/>
                <w:i w:val="0"/>
                <w:iCs w:val="0"/>
                <w:color w:val="000000"/>
                <w:sz w:val="18"/>
                <w:szCs w:val="18"/>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738BE">
            <w:pPr>
              <w:jc w:val="center"/>
              <w:rPr>
                <w:rFonts w:hint="default" w:ascii="仿宋_GB2312" w:hAnsi="宋体" w:eastAsia="仿宋_GB2312" w:cs="仿宋_GB2312"/>
                <w:i w:val="0"/>
                <w:iCs w:val="0"/>
                <w:color w:val="000000"/>
                <w:sz w:val="18"/>
                <w:szCs w:val="18"/>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8055">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860CA">
            <w:pPr>
              <w:jc w:val="center"/>
              <w:rPr>
                <w:rFonts w:hint="eastAsia" w:ascii="宋体" w:hAnsi="宋体" w:eastAsia="宋体" w:cs="宋体"/>
                <w:i w:val="0"/>
                <w:iCs w:val="0"/>
                <w:color w:val="000000"/>
                <w:sz w:val="20"/>
                <w:szCs w:val="20"/>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E65F6">
            <w:pPr>
              <w:jc w:val="center"/>
              <w:rPr>
                <w:rFonts w:hint="default" w:ascii="仿宋_GB2312" w:hAnsi="宋体" w:eastAsia="仿宋_GB2312" w:cs="仿宋_GB2312"/>
                <w:i w:val="0"/>
                <w:iCs w:val="0"/>
                <w:color w:val="000000"/>
                <w:sz w:val="18"/>
                <w:szCs w:val="18"/>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372C">
            <w:pPr>
              <w:jc w:val="center"/>
              <w:rPr>
                <w:rFonts w:hint="default" w:ascii="仿宋_GB2312" w:hAnsi="宋体" w:eastAsia="仿宋_GB2312" w:cs="仿宋_GB2312"/>
                <w:i w:val="0"/>
                <w:iCs w:val="0"/>
                <w:color w:val="000000"/>
                <w:sz w:val="18"/>
                <w:szCs w:val="18"/>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382E">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7906">
            <w:pPr>
              <w:jc w:val="center"/>
              <w:rPr>
                <w:rFonts w:hint="default" w:ascii="仿宋_GB2312" w:hAnsi="宋体" w:eastAsia="仿宋_GB2312" w:cs="仿宋_GB2312"/>
                <w:i w:val="0"/>
                <w:iCs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C548">
            <w:pPr>
              <w:jc w:val="center"/>
              <w:rPr>
                <w:rFonts w:hint="default" w:ascii="仿宋_GB2312" w:hAnsi="宋体" w:eastAsia="仿宋_GB2312" w:cs="仿宋_GB2312"/>
                <w:i w:val="0"/>
                <w:iCs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7888">
            <w:pPr>
              <w:jc w:val="center"/>
              <w:rPr>
                <w:rFonts w:hint="default" w:ascii="仿宋_GB2312" w:hAnsi="宋体" w:eastAsia="仿宋_GB2312" w:cs="仿宋_GB2312"/>
                <w:i w:val="0"/>
                <w:iCs w:val="0"/>
                <w:color w:val="000000"/>
                <w:sz w:val="18"/>
                <w:szCs w:val="18"/>
                <w:u w:val="none"/>
              </w:rPr>
            </w:pPr>
          </w:p>
        </w:tc>
      </w:tr>
      <w:tr w14:paraId="18121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3703D">
            <w:pPr>
              <w:jc w:val="center"/>
              <w:rPr>
                <w:rFonts w:hint="default" w:ascii="仿宋_GB2312" w:hAnsi="宋体" w:eastAsia="仿宋_GB2312" w:cs="仿宋_GB2312"/>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186BC">
            <w:pPr>
              <w:jc w:val="center"/>
              <w:rPr>
                <w:rFonts w:hint="default" w:ascii="仿宋_GB2312" w:hAnsi="宋体" w:eastAsia="仿宋_GB2312" w:cs="仿宋_GB2312"/>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614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D7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提高粮食安全保障能力</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07B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96D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4C25">
            <w:pPr>
              <w:jc w:val="center"/>
              <w:rPr>
                <w:rFonts w:hint="eastAsia" w:ascii="宋体" w:hAnsi="宋体" w:eastAsia="宋体" w:cs="宋体"/>
                <w:i w:val="0"/>
                <w:iCs w:val="0"/>
                <w:color w:val="000000"/>
                <w:sz w:val="22"/>
                <w:szCs w:val="22"/>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841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9523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按照评判等级赋分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CD8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说明材料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4F921">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有效提高</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D623">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A95B">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20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309ED">
            <w:pPr>
              <w:jc w:val="center"/>
              <w:rPr>
                <w:rFonts w:hint="default" w:ascii="仿宋_GB2312" w:hAnsi="宋体" w:eastAsia="仿宋_GB2312" w:cs="仿宋_GB2312"/>
                <w:i w:val="0"/>
                <w:iCs w:val="0"/>
                <w:color w:val="000000"/>
                <w:sz w:val="18"/>
                <w:szCs w:val="18"/>
                <w:u w:val="none"/>
              </w:rPr>
            </w:pPr>
          </w:p>
        </w:tc>
      </w:tr>
      <w:tr w14:paraId="24642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435A1">
            <w:pPr>
              <w:jc w:val="center"/>
              <w:rPr>
                <w:rFonts w:hint="default" w:ascii="仿宋_GB2312" w:hAnsi="宋体" w:eastAsia="仿宋_GB2312" w:cs="仿宋_GB2312"/>
                <w:i w:val="0"/>
                <w:iCs w:val="0"/>
                <w:color w:val="000000"/>
                <w:sz w:val="18"/>
                <w:szCs w:val="18"/>
                <w:u w:val="none"/>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B733E">
            <w:pPr>
              <w:jc w:val="center"/>
              <w:rPr>
                <w:rFonts w:hint="default" w:ascii="仿宋_GB2312" w:hAnsi="宋体" w:eastAsia="仿宋_GB2312" w:cs="仿宋_GB2312"/>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373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生态效益指标</w:t>
            </w:r>
          </w:p>
        </w:tc>
        <w:tc>
          <w:tcPr>
            <w:tcW w:w="22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A0232">
            <w:pPr>
              <w:jc w:val="center"/>
              <w:rPr>
                <w:rFonts w:hint="default" w:ascii="仿宋_GB2312" w:hAnsi="宋体" w:eastAsia="仿宋_GB2312" w:cs="仿宋_GB2312"/>
                <w:i w:val="0"/>
                <w:iCs w:val="0"/>
                <w:color w:val="000000"/>
                <w:sz w:val="18"/>
                <w:szCs w:val="18"/>
                <w:u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66D49">
            <w:pPr>
              <w:jc w:val="center"/>
              <w:rPr>
                <w:rFonts w:hint="default" w:ascii="仿宋_GB2312" w:hAnsi="宋体" w:eastAsia="仿宋_GB2312" w:cs="仿宋_GB2312"/>
                <w:i w:val="0"/>
                <w:iCs w:val="0"/>
                <w:color w:val="000000"/>
                <w:sz w:val="18"/>
                <w:szCs w:val="18"/>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D8346">
            <w:pPr>
              <w:jc w:val="center"/>
              <w:rPr>
                <w:rFonts w:hint="default" w:ascii="仿宋_GB2312" w:hAnsi="宋体" w:eastAsia="仿宋_GB2312" w:cs="仿宋_GB2312"/>
                <w:i w:val="0"/>
                <w:iCs w:val="0"/>
                <w:color w:val="000000"/>
                <w:sz w:val="18"/>
                <w:szCs w:val="18"/>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E1BC">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D47E0">
            <w:pPr>
              <w:jc w:val="center"/>
              <w:rPr>
                <w:rFonts w:hint="eastAsia" w:ascii="宋体" w:hAnsi="宋体" w:eastAsia="宋体" w:cs="宋体"/>
                <w:i w:val="0"/>
                <w:iCs w:val="0"/>
                <w:color w:val="000000"/>
                <w:sz w:val="20"/>
                <w:szCs w:val="20"/>
                <w:u w:val="none"/>
              </w:rPr>
            </w:pP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8676C">
            <w:pPr>
              <w:jc w:val="center"/>
              <w:rPr>
                <w:rFonts w:hint="default" w:ascii="仿宋_GB2312" w:hAnsi="宋体" w:eastAsia="仿宋_GB2312" w:cs="仿宋_GB2312"/>
                <w:i w:val="0"/>
                <w:iCs w:val="0"/>
                <w:color w:val="000000"/>
                <w:sz w:val="18"/>
                <w:szCs w:val="18"/>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8773">
            <w:pPr>
              <w:jc w:val="center"/>
              <w:rPr>
                <w:rFonts w:hint="default" w:ascii="仿宋_GB2312" w:hAnsi="宋体" w:eastAsia="仿宋_GB2312" w:cs="仿宋_GB2312"/>
                <w:i w:val="0"/>
                <w:iCs w:val="0"/>
                <w:color w:val="000000"/>
                <w:sz w:val="18"/>
                <w:szCs w:val="18"/>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A66AA">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5F94">
            <w:pPr>
              <w:jc w:val="center"/>
              <w:rPr>
                <w:rFonts w:hint="default" w:ascii="仿宋_GB2312" w:hAnsi="宋体" w:eastAsia="仿宋_GB2312" w:cs="仿宋_GB2312"/>
                <w:i w:val="0"/>
                <w:iCs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6DA1">
            <w:pPr>
              <w:jc w:val="center"/>
              <w:rPr>
                <w:rFonts w:hint="default" w:ascii="仿宋_GB2312" w:hAnsi="宋体" w:eastAsia="仿宋_GB2312" w:cs="仿宋_GB2312"/>
                <w:i w:val="0"/>
                <w:iCs w:val="0"/>
                <w:color w:val="000000"/>
                <w:sz w:val="18"/>
                <w:szCs w:val="18"/>
                <w:u w:val="none"/>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7A6A0">
            <w:pPr>
              <w:jc w:val="center"/>
              <w:rPr>
                <w:rFonts w:hint="default" w:ascii="仿宋_GB2312" w:hAnsi="宋体" w:eastAsia="仿宋_GB2312" w:cs="仿宋_GB2312"/>
                <w:i w:val="0"/>
                <w:iCs w:val="0"/>
                <w:color w:val="000000"/>
                <w:sz w:val="18"/>
                <w:szCs w:val="18"/>
                <w:u w:val="none"/>
              </w:rPr>
            </w:pPr>
          </w:p>
        </w:tc>
      </w:tr>
      <w:tr w14:paraId="2FA9C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0DB86">
            <w:pPr>
              <w:jc w:val="center"/>
              <w:rPr>
                <w:rFonts w:hint="default" w:ascii="仿宋_GB2312" w:hAnsi="宋体" w:eastAsia="仿宋_GB2312" w:cs="仿宋_GB2312"/>
                <w:i w:val="0"/>
                <w:iCs w:val="0"/>
                <w:color w:val="000000"/>
                <w:sz w:val="18"/>
                <w:szCs w:val="18"/>
                <w:u w:val="none"/>
              </w:rPr>
            </w:pPr>
          </w:p>
        </w:tc>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3A2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95FD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F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受益群众满意度</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D4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6B9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2DCFD">
            <w:pPr>
              <w:jc w:val="center"/>
              <w:rPr>
                <w:rFonts w:hint="eastAsia" w:ascii="宋体" w:hAnsi="宋体" w:eastAsia="宋体" w:cs="宋体"/>
                <w:i w:val="0"/>
                <w:iCs w:val="0"/>
                <w:color w:val="000000"/>
                <w:sz w:val="22"/>
                <w:szCs w:val="22"/>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410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242C0">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满意度赋分</w:t>
            </w: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5288">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说明材料</w:t>
            </w: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A33E">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90%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60DDD">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144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AD329">
            <w:pPr>
              <w:jc w:val="center"/>
              <w:rPr>
                <w:rFonts w:hint="default" w:ascii="仿宋_GB2312" w:hAnsi="宋体" w:eastAsia="仿宋_GB2312" w:cs="仿宋_GB2312"/>
                <w:i w:val="0"/>
                <w:iCs w:val="0"/>
                <w:color w:val="000000"/>
                <w:sz w:val="18"/>
                <w:szCs w:val="18"/>
                <w:u w:val="none"/>
              </w:rPr>
            </w:pPr>
          </w:p>
        </w:tc>
      </w:tr>
      <w:tr w14:paraId="733E3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523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89A52A">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总分</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9AAB">
            <w:pPr>
              <w:jc w:val="center"/>
              <w:rPr>
                <w:rFonts w:hint="default" w:ascii="仿宋_GB2312" w:hAnsi="宋体" w:eastAsia="仿宋_GB2312" w:cs="仿宋_GB2312"/>
                <w:i w:val="0"/>
                <w:iCs w:val="0"/>
                <w:color w:val="000000"/>
                <w:sz w:val="18"/>
                <w:szCs w:val="18"/>
                <w:u w:val="none"/>
              </w:rPr>
            </w:pP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F81B4">
            <w:pPr>
              <w:jc w:val="center"/>
              <w:rPr>
                <w:rFonts w:hint="default" w:ascii="仿宋_GB2312" w:hAnsi="宋体" w:eastAsia="仿宋_GB2312" w:cs="仿宋_GB2312"/>
                <w:b/>
                <w:bCs/>
                <w:i w:val="0"/>
                <w:iCs w:val="0"/>
                <w:color w:val="000000"/>
                <w:sz w:val="18"/>
                <w:szCs w:val="18"/>
                <w:u w:val="none"/>
              </w:rPr>
            </w:pP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2EE7">
            <w:pPr>
              <w:jc w:val="center"/>
              <w:rPr>
                <w:rFonts w:hint="default"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9EE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EBF09">
            <w:pPr>
              <w:jc w:val="center"/>
              <w:rPr>
                <w:rFonts w:hint="default" w:ascii="仿宋_GB2312" w:hAnsi="宋体" w:eastAsia="仿宋_GB2312" w:cs="仿宋_GB2312"/>
                <w:i w:val="0"/>
                <w:iCs w:val="0"/>
                <w:color w:val="000000"/>
                <w:sz w:val="18"/>
                <w:szCs w:val="18"/>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CA33">
            <w:pPr>
              <w:jc w:val="center"/>
              <w:rPr>
                <w:rFonts w:hint="default" w:ascii="仿宋_GB2312" w:hAnsi="宋体" w:eastAsia="仿宋_GB2312" w:cs="仿宋_GB2312"/>
                <w:i w:val="0"/>
                <w:iCs w:val="0"/>
                <w:color w:val="000000"/>
                <w:sz w:val="18"/>
                <w:szCs w:val="18"/>
                <w:u w:val="none"/>
              </w:rPr>
            </w:pPr>
          </w:p>
        </w:tc>
        <w:tc>
          <w:tcPr>
            <w:tcW w:w="13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997B">
            <w:pPr>
              <w:jc w:val="center"/>
              <w:rPr>
                <w:rFonts w:hint="default" w:ascii="仿宋_GB2312" w:hAnsi="宋体" w:eastAsia="仿宋_GB2312" w:cs="仿宋_GB2312"/>
                <w:i w:val="0"/>
                <w:iCs w:val="0"/>
                <w:color w:val="000000"/>
                <w:sz w:val="18"/>
                <w:szCs w:val="18"/>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88047">
            <w:pPr>
              <w:jc w:val="center"/>
              <w:rPr>
                <w:rFonts w:hint="default" w:ascii="仿宋_GB2312" w:hAnsi="宋体" w:eastAsia="仿宋_GB2312" w:cs="仿宋_GB2312"/>
                <w:i w:val="0"/>
                <w:iCs w:val="0"/>
                <w:color w:val="000000"/>
                <w:sz w:val="18"/>
                <w:szCs w:val="18"/>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60F6">
            <w:pPr>
              <w:keepNext w:val="0"/>
              <w:keepLines w:val="0"/>
              <w:widowControl/>
              <w:suppressLineNumbers w:val="0"/>
              <w:jc w:val="center"/>
              <w:textAlignment w:val="center"/>
              <w:rPr>
                <w:rFonts w:hint="default" w:ascii="仿宋_GB2312" w:hAnsi="宋体" w:eastAsia="仿宋_GB2312" w:cs="仿宋_GB2312"/>
                <w:i w:val="0"/>
                <w:iCs w:val="0"/>
                <w:color w:val="000000"/>
                <w:sz w:val="18"/>
                <w:szCs w:val="18"/>
                <w:u w:val="none"/>
              </w:rPr>
            </w:pPr>
            <w:r>
              <w:rPr>
                <w:rFonts w:hint="default" w:ascii="仿宋_GB2312" w:hAnsi="宋体" w:eastAsia="仿宋_GB2312" w:cs="仿宋_GB2312"/>
                <w:i w:val="0"/>
                <w:iCs w:val="0"/>
                <w:color w:val="000000"/>
                <w:kern w:val="0"/>
                <w:sz w:val="18"/>
                <w:szCs w:val="18"/>
                <w:u w:val="none"/>
                <w:lang w:val="en-US" w:eastAsia="zh-CN" w:bidi="ar"/>
              </w:rPr>
              <w:t>100</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7844E">
            <w:pPr>
              <w:jc w:val="center"/>
              <w:rPr>
                <w:rFonts w:hint="default" w:ascii="仿宋_GB2312" w:hAnsi="宋体" w:eastAsia="仿宋_GB2312" w:cs="仿宋_GB2312"/>
                <w:i w:val="0"/>
                <w:iCs w:val="0"/>
                <w:color w:val="000000"/>
                <w:sz w:val="18"/>
                <w:szCs w:val="18"/>
                <w:u w:val="none"/>
              </w:rPr>
            </w:pPr>
          </w:p>
        </w:tc>
      </w:tr>
      <w:tr w14:paraId="0C270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0" w:type="auto"/>
            <w:gridSpan w:val="14"/>
            <w:tcBorders>
              <w:top w:val="nil"/>
              <w:left w:val="nil"/>
              <w:bottom w:val="nil"/>
              <w:right w:val="nil"/>
            </w:tcBorders>
            <w:shd w:val="clear" w:color="auto" w:fill="auto"/>
            <w:noWrap/>
            <w:vAlign w:val="center"/>
          </w:tcPr>
          <w:p w14:paraId="6D4FB1EF">
            <w:pPr>
              <w:keepNext w:val="0"/>
              <w:keepLines w:val="0"/>
              <w:widowControl/>
              <w:suppressLineNumbers w:val="0"/>
              <w:jc w:val="center"/>
              <w:textAlignment w:val="center"/>
              <w:rPr>
                <w:rFonts w:hint="default" w:ascii="仿宋_GB2312" w:hAnsi="宋体" w:eastAsia="仿宋_GB2312" w:cs="仿宋_GB2312"/>
                <w:b/>
                <w:bCs/>
                <w:i w:val="0"/>
                <w:iCs w:val="0"/>
                <w:color w:val="000000"/>
                <w:sz w:val="22"/>
                <w:szCs w:val="22"/>
                <w:u w:val="none"/>
              </w:rPr>
            </w:pPr>
          </w:p>
        </w:tc>
      </w:tr>
    </w:tbl>
    <w:p w14:paraId="0E251CF2"/>
    <w:p w14:paraId="3453AEE3"/>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04EA31-97B0-4994-BE28-8BBD13EBE74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AA5DB3C-B46B-49D5-A242-267AB44A8905}"/>
  </w:font>
  <w:font w:name="华文中宋">
    <w:panose1 w:val="02010600040101010101"/>
    <w:charset w:val="86"/>
    <w:family w:val="auto"/>
    <w:pitch w:val="default"/>
    <w:sig w:usb0="00000287" w:usb1="080F0000" w:usb2="00000000" w:usb3="00000000" w:csb0="0004009F" w:csb1="DFD70000"/>
    <w:embedRegular r:id="rId3" w:fontKey="{F95B5EA2-6A04-407B-A8BD-E956E784776B}"/>
  </w:font>
  <w:font w:name="方正小标宋_GBK">
    <w:panose1 w:val="03000509000000000000"/>
    <w:charset w:val="86"/>
    <w:family w:val="script"/>
    <w:pitch w:val="default"/>
    <w:sig w:usb0="00000001" w:usb1="080E0000" w:usb2="00000000" w:usb3="00000000" w:csb0="00040000" w:csb1="00000000"/>
    <w:embedRegular r:id="rId4" w:fontKey="{C8039480-FD72-4ABF-9226-D7EE0F2EDF97}"/>
  </w:font>
  <w:font w:name="楷体">
    <w:panose1 w:val="02010609060101010101"/>
    <w:charset w:val="86"/>
    <w:family w:val="auto"/>
    <w:pitch w:val="default"/>
    <w:sig w:usb0="800002BF" w:usb1="38CF7CFA" w:usb2="00000016" w:usb3="00000000" w:csb0="00040001" w:csb1="00000000"/>
    <w:embedRegular r:id="rId5" w:fontKey="{8AB451F5-3373-4CC1-B032-67E604D86107}"/>
  </w:font>
  <w:font w:name="方正小标宋简体">
    <w:panose1 w:val="02010600010101010101"/>
    <w:charset w:val="86"/>
    <w:family w:val="auto"/>
    <w:pitch w:val="default"/>
    <w:sig w:usb0="00000001" w:usb1="080E0000" w:usb2="00000000" w:usb3="00000000" w:csb0="00040000" w:csb1="00000000"/>
    <w:embedRegular r:id="rId6" w:fontKey="{F85DACAB-B109-4EB5-AA65-C601FD250D2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859D77A">
        <w:pPr>
          <w:pStyle w:val="5"/>
          <w:jc w:val="center"/>
        </w:pPr>
        <w:r>
          <w:fldChar w:fldCharType="begin"/>
        </w:r>
        <w:r>
          <w:instrText xml:space="preserve">PAGE   \* MERGEFORMAT</w:instrText>
        </w:r>
        <w:r>
          <w:fldChar w:fldCharType="separate"/>
        </w:r>
        <w:r>
          <w:rPr>
            <w:lang w:val="zh-CN"/>
          </w:rPr>
          <w:t>13</w:t>
        </w:r>
        <w:r>
          <w:fldChar w:fldCharType="end"/>
        </w:r>
      </w:p>
    </w:sdtContent>
  </w:sdt>
  <w:p w14:paraId="2784C74A">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C36FE"/>
    <w:rsid w:val="01686023"/>
    <w:rsid w:val="030C540D"/>
    <w:rsid w:val="040A645C"/>
    <w:rsid w:val="05F7184E"/>
    <w:rsid w:val="0BA768A9"/>
    <w:rsid w:val="110A019A"/>
    <w:rsid w:val="132F4724"/>
    <w:rsid w:val="13EA3BB4"/>
    <w:rsid w:val="164E6A70"/>
    <w:rsid w:val="1C7261A2"/>
    <w:rsid w:val="2B807B1F"/>
    <w:rsid w:val="2C7D31B7"/>
    <w:rsid w:val="352278F7"/>
    <w:rsid w:val="381407AE"/>
    <w:rsid w:val="39312C65"/>
    <w:rsid w:val="3DA84014"/>
    <w:rsid w:val="492F0E83"/>
    <w:rsid w:val="4B1A6E85"/>
    <w:rsid w:val="5E671A49"/>
    <w:rsid w:val="5E6C36FE"/>
    <w:rsid w:val="63EF12F1"/>
    <w:rsid w:val="65F75598"/>
    <w:rsid w:val="6BDD7DA8"/>
    <w:rsid w:val="70122E5C"/>
    <w:rsid w:val="73482E8C"/>
    <w:rsid w:val="7379401F"/>
    <w:rsid w:val="799B1CB6"/>
    <w:rsid w:val="7C927AF1"/>
    <w:rsid w:val="7E832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8">
    <w:name w:val="Body Text First Indent"/>
    <w:basedOn w:val="3"/>
    <w:qFormat/>
    <w:uiPriority w:val="0"/>
    <w:pPr>
      <w:spacing w:after="0"/>
      <w:ind w:firstLine="200" w:firstLineChars="200"/>
    </w:pPr>
  </w:style>
  <w:style w:type="paragraph" w:styleId="9">
    <w:name w:val="Body Text First Indent 2"/>
    <w:basedOn w:val="4"/>
    <w:qFormat/>
    <w:uiPriority w:val="0"/>
    <w:pPr>
      <w:ind w:firstLine="420" w:firstLineChars="200"/>
    </w:pPr>
  </w:style>
  <w:style w:type="character" w:styleId="12">
    <w:name w:val="Strong"/>
    <w:basedOn w:val="11"/>
    <w:qFormat/>
    <w:uiPriority w:val="0"/>
    <w:rPr>
      <w:b/>
      <w:bCs/>
    </w:rPr>
  </w:style>
  <w:style w:type="paragraph" w:customStyle="1" w:styleId="13">
    <w:name w:val="闻政-正文段落文字"/>
    <w:basedOn w:val="1"/>
    <w:autoRedefine/>
    <w:qFormat/>
    <w:uiPriority w:val="3"/>
    <w:pPr>
      <w:spacing w:line="500" w:lineRule="exact"/>
      <w:ind w:firstLine="200"/>
    </w:pPr>
    <w:rPr>
      <w:kern w:val="0"/>
      <w:szCs w:val="28"/>
    </w:rPr>
  </w:style>
  <w:style w:type="character" w:customStyle="1" w:styleId="14">
    <w:name w:val="fontstyle01"/>
    <w:autoRedefine/>
    <w:qFormat/>
    <w:uiPriority w:val="0"/>
    <w:rPr>
      <w:rFonts w:ascii="仿宋_GB2312" w:hAnsi="仿宋_GB2312" w:eastAsia="仿宋_GB2312" w:cs="仿宋_GB2312"/>
      <w:color w:val="000000"/>
      <w:sz w:val="32"/>
      <w:szCs w:val="32"/>
    </w:rPr>
  </w:style>
  <w:style w:type="character" w:customStyle="1" w:styleId="15">
    <w:name w:val="font61"/>
    <w:basedOn w:val="11"/>
    <w:qFormat/>
    <w:uiPriority w:val="0"/>
    <w:rPr>
      <w:rFonts w:hint="default" w:ascii="Times New Roman" w:hAnsi="Times New Roman" w:cs="Times New Roman"/>
      <w:b/>
      <w:bCs/>
      <w:color w:val="000000"/>
      <w:sz w:val="22"/>
      <w:szCs w:val="22"/>
      <w:u w:val="none"/>
    </w:rPr>
  </w:style>
  <w:style w:type="character" w:customStyle="1" w:styleId="16">
    <w:name w:val="font51"/>
    <w:basedOn w:val="11"/>
    <w:qFormat/>
    <w:uiPriority w:val="0"/>
    <w:rPr>
      <w:rFonts w:hint="default"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7563</Words>
  <Characters>8008</Characters>
  <Lines>0</Lines>
  <Paragraphs>0</Paragraphs>
  <TotalTime>9</TotalTime>
  <ScaleCrop>false</ScaleCrop>
  <LinksUpToDate>false</LinksUpToDate>
  <CharactersWithSpaces>8011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2025-04-27T09:12:00Z</dcterms:created>
  <dc:creator>想飞的蜗牛</dc:creator>
  <cp:lastModifiedBy>想飞的蜗牛</cp:lastModifiedBy>
  <dcterms:modified xsi:type="dcterms:W3CDTF">2025-05-06T04:33:45Z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9B6581176A444058B583BD36230F5791_13</vt:lpwstr>
  </property>
  <property fmtid="{D5CDD505-2E9C-101B-9397-08002B2CF9AE}" pid="4" name="KSOTemplateDocerSaveRecord">
    <vt:lpwstr>eyJoZGlkIjoiZGU2OWVkNjVhNTc2NTNjNjZhOGJlZWQ2NTc3Njc5NGQiLCJ1c2VySWQiOiIzODQzMzMyOTcifQ==</vt:lpwstr>
  </property>
</Properties>
</file>