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1CFEAE">
      <w:pPr>
        <w:spacing w:after="0" w:line="240" w:lineRule="auto"/>
        <w:rPr>
          <w:rFonts w:hint="eastAsia" w:ascii="宋体" w:eastAsia="宋体"/>
          <w:sz w:val="32"/>
          <w:szCs w:val="32"/>
        </w:rPr>
      </w:pPr>
    </w:p>
    <w:p w14:paraId="56632BDB">
      <w:pPr>
        <w:spacing w:after="0" w:line="240" w:lineRule="auto"/>
        <w:rPr>
          <w:rFonts w:hint="eastAsia" w:ascii="宋体" w:eastAsia="宋体"/>
          <w:sz w:val="44"/>
          <w:szCs w:val="44"/>
        </w:rPr>
      </w:pPr>
    </w:p>
    <w:p w14:paraId="359657D0">
      <w:pPr>
        <w:spacing w:after="0" w:line="240" w:lineRule="auto"/>
        <w:rPr>
          <w:rFonts w:hint="eastAsia" w:ascii="宋体" w:eastAsia="宋体"/>
          <w:sz w:val="44"/>
          <w:szCs w:val="44"/>
        </w:rPr>
      </w:pPr>
    </w:p>
    <w:p w14:paraId="63B38593">
      <w:pPr>
        <w:spacing w:after="0" w:line="240" w:lineRule="auto"/>
        <w:rPr>
          <w:rFonts w:hint="eastAsia" w:ascii="宋体" w:eastAsia="宋体"/>
          <w:sz w:val="44"/>
          <w:szCs w:val="44"/>
        </w:rPr>
      </w:pPr>
    </w:p>
    <w:p w14:paraId="79184F63">
      <w:pPr>
        <w:spacing w:after="0" w:line="240" w:lineRule="auto"/>
        <w:jc w:val="center"/>
        <w:outlineLvl w:val="0"/>
        <w:rPr>
          <w:rFonts w:hint="eastAsia" w:ascii="宋体" w:eastAsia="黑体"/>
          <w:sz w:val="44"/>
          <w:szCs w:val="44"/>
          <w:lang w:eastAsia="zh-CN"/>
        </w:rPr>
      </w:pPr>
      <w:r>
        <w:rPr>
          <w:rFonts w:ascii="宋体" w:eastAsia="黑体"/>
          <w:sz w:val="44"/>
          <w:szCs w:val="44"/>
          <w:lang w:eastAsia="zh-CN"/>
        </w:rPr>
        <w:t>奇台县公安局</w:t>
      </w:r>
    </w:p>
    <w:p w14:paraId="34AA73E3">
      <w:pPr>
        <w:spacing w:after="0" w:line="240" w:lineRule="auto"/>
        <w:jc w:val="center"/>
        <w:outlineLvl w:val="0"/>
        <w:rPr>
          <w:rFonts w:hint="eastAsia" w:ascii="黑体" w:eastAsia="黑体"/>
          <w:sz w:val="44"/>
          <w:szCs w:val="44"/>
          <w:lang w:eastAsia="zh-CN"/>
        </w:rPr>
      </w:pPr>
      <w:r>
        <w:rPr>
          <w:rFonts w:ascii="黑体" w:eastAsia="黑体"/>
          <w:sz w:val="44"/>
          <w:szCs w:val="44"/>
          <w:lang w:eastAsia="zh-CN"/>
        </w:rPr>
        <w:t>2024年度部门决算公开说明</w:t>
      </w:r>
    </w:p>
    <w:p w14:paraId="0A2CAD1A">
      <w:pPr>
        <w:rPr>
          <w:rFonts w:hint="eastAsia"/>
          <w:lang w:eastAsia="zh-CN"/>
        </w:rPr>
      </w:pPr>
      <w:r>
        <w:rPr>
          <w:sz w:val="0"/>
          <w:szCs w:val="0"/>
          <w:lang w:eastAsia="zh-CN"/>
        </w:rPr>
        <w:br w:type="page"/>
      </w:r>
    </w:p>
    <w:p w14:paraId="6EF9658E">
      <w:pPr>
        <w:spacing w:after="0" w:line="240" w:lineRule="auto"/>
        <w:jc w:val="center"/>
        <w:rPr>
          <w:rFonts w:hint="eastAsia" w:ascii="黑体" w:eastAsia="黑体"/>
          <w:sz w:val="32"/>
          <w:szCs w:val="32"/>
          <w:lang w:eastAsia="zh-CN"/>
        </w:rPr>
      </w:pPr>
      <w:r>
        <w:rPr>
          <w:rFonts w:ascii="黑体" w:eastAsia="黑体"/>
          <w:b/>
          <w:sz w:val="32"/>
          <w:szCs w:val="32"/>
          <w:lang w:eastAsia="zh-CN"/>
        </w:rPr>
        <w:t>目  录</w:t>
      </w:r>
    </w:p>
    <w:p w14:paraId="70B9F1BE">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第一部分单位概况</w:t>
      </w:r>
    </w:p>
    <w:p w14:paraId="287BFB4A">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一、主要职能</w:t>
      </w:r>
    </w:p>
    <w:p w14:paraId="376403B3">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二、机构设置及人员情况</w:t>
      </w:r>
    </w:p>
    <w:p w14:paraId="12EEBE40">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第二部分 部门决算情况说明</w:t>
      </w:r>
    </w:p>
    <w:p w14:paraId="6C055704">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一、收入支出决算总体情况说明</w:t>
      </w:r>
    </w:p>
    <w:p w14:paraId="23E83661">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二、收入决算情况说明</w:t>
      </w:r>
    </w:p>
    <w:p w14:paraId="1E7AFFE1">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三、支出决算情况说明</w:t>
      </w:r>
    </w:p>
    <w:p w14:paraId="6FB73001">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61B98B53">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2622DDD3">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22A4A5FF">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2180DFE9">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681AB0EE">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​六、一般公共预算财政拨款基本支出决算情况说明</w:t>
      </w:r>
    </w:p>
    <w:p w14:paraId="630278A5">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70DB3824">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2505B3FE">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九、财政拨款“三公”经费支出决算情况说明</w:t>
      </w:r>
    </w:p>
    <w:p w14:paraId="66D6D4F0">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​十、其他重要事项的情况说明</w:t>
      </w:r>
    </w:p>
    <w:p w14:paraId="5AB3E7D5">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（一）机关运行经费及公用经费支出情况</w:t>
      </w:r>
    </w:p>
    <w:p w14:paraId="42D1BEC1">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（二）政府采购情况</w:t>
      </w:r>
    </w:p>
    <w:p w14:paraId="038FCCEE">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（三）国有资产占用情况说明</w:t>
      </w:r>
    </w:p>
    <w:p w14:paraId="3EB57FA2">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十一、预算绩效的情况说明</w:t>
      </w:r>
    </w:p>
    <w:p w14:paraId="53EE3408">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十二、其他需说明的事项</w:t>
      </w:r>
    </w:p>
    <w:p w14:paraId="744EEA00">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第三部分 专业名词解释</w:t>
      </w:r>
    </w:p>
    <w:p w14:paraId="1273ECB3">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第四部分 部门决算报表（见附表）</w:t>
      </w:r>
    </w:p>
    <w:p w14:paraId="044C5BAF">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一、《收入支出决算总表》</w:t>
      </w:r>
    </w:p>
    <w:p w14:paraId="0065F516">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二、《收入决算表》</w:t>
      </w:r>
    </w:p>
    <w:p w14:paraId="6277FC6C">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三、《支出决算表》</w:t>
      </w:r>
    </w:p>
    <w:p w14:paraId="301B9440">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四、《财政拨款收入支出决算总表》</w:t>
      </w:r>
    </w:p>
    <w:p w14:paraId="2D133B62">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五、《一般公共预算财政拨款支出决算表》</w:t>
      </w:r>
    </w:p>
    <w:p w14:paraId="55D9FA2A">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265EF5C0">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24068E15">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2A859279">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九、《财政拨款“三公”经费支出决算表》</w:t>
      </w:r>
    </w:p>
    <w:p w14:paraId="6150F370">
      <w:pPr>
        <w:rPr>
          <w:rFonts w:hint="eastAsia"/>
          <w:lang w:eastAsia="zh-CN"/>
        </w:rPr>
      </w:pPr>
      <w:r>
        <w:rPr>
          <w:sz w:val="0"/>
          <w:szCs w:val="0"/>
          <w:lang w:eastAsia="zh-CN"/>
        </w:rPr>
        <w:br w:type="page"/>
      </w:r>
    </w:p>
    <w:p w14:paraId="7997F476">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第一部分 单位概况</w:t>
      </w:r>
    </w:p>
    <w:p w14:paraId="558A5ED5">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 一、主要职能</w:t>
      </w:r>
    </w:p>
    <w:p w14:paraId="6E6E417C">
      <w:pPr>
        <w:ind w:firstLine="640" w:firstLineChars="200"/>
        <w:rPr>
          <w:rFonts w:ascii="仿宋_GB2312" w:eastAsia="仿宋_GB2312"/>
          <w:sz w:val="32"/>
          <w:szCs w:val="32"/>
          <w:lang w:eastAsia="zh-CN"/>
        </w:rPr>
      </w:pPr>
      <w:r>
        <w:rPr>
          <w:rFonts w:hint="eastAsia" w:ascii="仿宋_GB2312" w:eastAsia="仿宋_GB2312"/>
          <w:sz w:val="32"/>
          <w:szCs w:val="32"/>
          <w:lang w:eastAsia="zh-CN"/>
        </w:rPr>
        <w:t>奇台县公安局单位主要职能按照保密要求完全不予公开。</w:t>
      </w:r>
    </w:p>
    <w:p w14:paraId="146100D8">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二、机构设置及人员情况</w:t>
      </w:r>
    </w:p>
    <w:p w14:paraId="686A1AC9">
      <w:pPr>
        <w:spacing w:after="0" w:line="24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奇台县公安局无下属预算单位，下设处室相关信息按照保密要求，经批准信息完全不予公开。奇台县公安局按照保密要求，经批准编制数、实有人数信息完全不予公开</w:t>
      </w:r>
      <w:r>
        <w:rPr>
          <w:rFonts w:ascii="仿宋_GB2312" w:eastAsia="仿宋_GB2312"/>
          <w:sz w:val="32"/>
          <w:szCs w:val="32"/>
          <w:lang w:eastAsia="zh-CN"/>
        </w:rPr>
        <w:t>。</w:t>
      </w:r>
    </w:p>
    <w:p w14:paraId="49927353">
      <w:pPr>
        <w:rPr>
          <w:rFonts w:hint="eastAsia"/>
          <w:lang w:eastAsia="zh-CN"/>
        </w:rPr>
      </w:pPr>
      <w:r>
        <w:rPr>
          <w:sz w:val="0"/>
          <w:szCs w:val="0"/>
          <w:lang w:eastAsia="zh-CN"/>
        </w:rPr>
        <w:br w:type="page"/>
      </w:r>
    </w:p>
    <w:p w14:paraId="125F1CFC">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第二部分 部门决算情况说明</w:t>
      </w:r>
    </w:p>
    <w:p w14:paraId="65E79D40">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一、收入支出决算总体情况说明</w:t>
      </w:r>
    </w:p>
    <w:p w14:paraId="018898D0">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2024年度收入总计27,395.10万元，其中：本年收入合计27,395.10万元，使用非财政拨款结余（含专用结余）0.00万元，年初结转和结余0.00万元。</w:t>
      </w:r>
    </w:p>
    <w:p w14:paraId="705B2100">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2024年度支出总计27,395.10万元，其中：本年支出合计27,395.10万元，结余分配0.00万元，年末结转和结余0.00万元。</w:t>
      </w:r>
    </w:p>
    <w:p w14:paraId="730DFB1A">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收入支出总体与上年相比，增加720.94万元，增长2.70%，主要原因是：辅警人数</w:t>
      </w:r>
      <w:r>
        <w:rPr>
          <w:rFonts w:hint="eastAsia" w:ascii="仿宋_GB2312" w:eastAsia="仿宋_GB2312"/>
          <w:sz w:val="32"/>
          <w:szCs w:val="32"/>
          <w:lang w:eastAsia="zh-CN"/>
        </w:rPr>
        <w:t>增加</w:t>
      </w:r>
      <w:r>
        <w:rPr>
          <w:rFonts w:ascii="仿宋_GB2312" w:eastAsia="仿宋_GB2312"/>
          <w:sz w:val="32"/>
          <w:szCs w:val="32"/>
          <w:lang w:eastAsia="zh-CN"/>
        </w:rPr>
        <w:t>，</w:t>
      </w:r>
      <w:r>
        <w:rPr>
          <w:rFonts w:hint="eastAsia" w:ascii="仿宋_GB2312" w:eastAsia="仿宋_GB2312"/>
          <w:sz w:val="32"/>
          <w:szCs w:val="32"/>
          <w:lang w:eastAsia="zh-CN"/>
        </w:rPr>
        <w:t>增加编外人员工资、社保等经费</w:t>
      </w:r>
      <w:r>
        <w:rPr>
          <w:rFonts w:ascii="仿宋_GB2312" w:eastAsia="仿宋_GB2312"/>
          <w:sz w:val="32"/>
          <w:szCs w:val="32"/>
          <w:lang w:eastAsia="zh-CN"/>
        </w:rPr>
        <w:t>。</w:t>
      </w:r>
    </w:p>
    <w:p w14:paraId="7A6714CB">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二、收入决算情况说明</w:t>
      </w:r>
    </w:p>
    <w:p w14:paraId="5F95B5CB">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年收入27,395.10万元，其中：财政拨款收入27,394.28万元,占100.00%；上级补助收入0.00万元,占0.00%；事业收入0.00万元，占0.00%；经营收入0.00万元,占0.00%；附属单位上缴收入0.00万元，占0.00%；其他收入0.82万元，占0.00%。</w:t>
      </w:r>
    </w:p>
    <w:p w14:paraId="0D6C04F1">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三、支出决算情况说明</w:t>
      </w:r>
    </w:p>
    <w:p w14:paraId="04063D03">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本年支出27,395.10万元，其中：基本支出18,304.76万元，占66.82%；项目支出9,090.35万元，占33.18%；上缴上级支出0.00万元，占0.00%；经营支出0.00万元，占0.00%；对附属单位补助支出0.00万元，占0.00%。</w:t>
      </w:r>
    </w:p>
    <w:p w14:paraId="7E5F5D0D">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四、财政拨款收入支出决算总体情况说明</w:t>
      </w:r>
    </w:p>
    <w:p w14:paraId="2B81A812">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财政拨款收入总计27,394.28万元，其中：年初财政拨款结转和结余0.00万元，本年财政拨款收入27,394.28万元。财政拨款支出总计27,394.28万元，其中：年末财政拨款结转和结余0.00万元，本年财政拨款支出27,394.28万元。</w:t>
      </w:r>
    </w:p>
    <w:p w14:paraId="28198731">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财政拨款收入支出总体与上年相比，增加764.91万元，增长2.87%，主要原因是：辅警人数</w:t>
      </w:r>
      <w:r>
        <w:rPr>
          <w:rFonts w:hint="eastAsia" w:ascii="仿宋_GB2312" w:eastAsia="仿宋_GB2312"/>
          <w:sz w:val="32"/>
          <w:szCs w:val="32"/>
          <w:lang w:eastAsia="zh-CN"/>
        </w:rPr>
        <w:t>增加</w:t>
      </w:r>
      <w:r>
        <w:rPr>
          <w:rFonts w:ascii="仿宋_GB2312" w:eastAsia="仿宋_GB2312"/>
          <w:sz w:val="32"/>
          <w:szCs w:val="32"/>
          <w:lang w:eastAsia="zh-CN"/>
        </w:rPr>
        <w:t>，</w:t>
      </w:r>
      <w:r>
        <w:rPr>
          <w:rFonts w:hint="eastAsia" w:ascii="仿宋_GB2312" w:eastAsia="仿宋_GB2312"/>
          <w:sz w:val="32"/>
          <w:szCs w:val="32"/>
          <w:lang w:eastAsia="zh-CN"/>
        </w:rPr>
        <w:t>增加编外人员工资、社保等经费</w:t>
      </w:r>
      <w:r>
        <w:rPr>
          <w:rFonts w:ascii="仿宋_GB2312" w:eastAsia="仿宋_GB2312"/>
          <w:sz w:val="32"/>
          <w:szCs w:val="32"/>
          <w:lang w:eastAsia="zh-CN"/>
        </w:rPr>
        <w:t>。与年初预算相比，年初预算数21,404.07万元，决算数27,394.28万元，预决算差异率27.99%，主要原因是：</w:t>
      </w:r>
      <w:r>
        <w:rPr>
          <w:rFonts w:hint="eastAsia" w:ascii="仿宋_GB2312" w:eastAsia="仿宋_GB2312"/>
          <w:sz w:val="32"/>
          <w:szCs w:val="32"/>
          <w:lang w:eastAsia="zh-CN"/>
        </w:rPr>
        <w:t>年初未安排推动化解涉政府项目拖欠类信访事项项目资金</w:t>
      </w:r>
      <w:r>
        <w:rPr>
          <w:rFonts w:ascii="仿宋_GB2312" w:eastAsia="仿宋_GB2312"/>
          <w:sz w:val="32"/>
          <w:szCs w:val="32"/>
          <w:lang w:eastAsia="zh-CN"/>
        </w:rPr>
        <w:t>。</w:t>
      </w:r>
    </w:p>
    <w:p w14:paraId="766435AB">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五、一般公共预算财政拨款支出决算情况说明</w:t>
      </w:r>
    </w:p>
    <w:p w14:paraId="7D6BDD46">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（一）一般公共预算财政拨款支出决算总体情况</w:t>
      </w:r>
    </w:p>
    <w:p w14:paraId="2E14C5E2">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2024年度一般公共预算财政拨款支出27,394.28万元，占本年支出合计的100.00%。与上年相比，增加764.91万元，增长2.87%，主要原因是：辅警人数</w:t>
      </w:r>
      <w:r>
        <w:rPr>
          <w:rFonts w:hint="eastAsia" w:ascii="仿宋_GB2312" w:eastAsia="仿宋_GB2312"/>
          <w:sz w:val="32"/>
          <w:szCs w:val="32"/>
          <w:lang w:eastAsia="zh-CN"/>
        </w:rPr>
        <w:t>增加</w:t>
      </w:r>
      <w:r>
        <w:rPr>
          <w:rFonts w:ascii="仿宋_GB2312" w:eastAsia="仿宋_GB2312"/>
          <w:sz w:val="32"/>
          <w:szCs w:val="32"/>
          <w:lang w:eastAsia="zh-CN"/>
        </w:rPr>
        <w:t>，</w:t>
      </w:r>
      <w:r>
        <w:rPr>
          <w:rFonts w:hint="eastAsia" w:ascii="仿宋_GB2312" w:eastAsia="仿宋_GB2312"/>
          <w:sz w:val="32"/>
          <w:szCs w:val="32"/>
          <w:lang w:eastAsia="zh-CN"/>
        </w:rPr>
        <w:t>增加编外人员工资、社保等经费</w:t>
      </w:r>
      <w:r>
        <w:rPr>
          <w:rFonts w:ascii="仿宋_GB2312" w:eastAsia="仿宋_GB2312"/>
          <w:sz w:val="32"/>
          <w:szCs w:val="32"/>
          <w:lang w:eastAsia="zh-CN"/>
        </w:rPr>
        <w:t>。与年初预算相比，年初预算数21,404.07万元，决算数27,394.28万元，预决算差异率27.99%，主要原因是：</w:t>
      </w:r>
      <w:r>
        <w:rPr>
          <w:rFonts w:hint="eastAsia" w:ascii="仿宋_GB2312" w:eastAsia="仿宋_GB2312"/>
          <w:sz w:val="32"/>
          <w:szCs w:val="32"/>
          <w:lang w:eastAsia="zh-CN"/>
        </w:rPr>
        <w:t>年初未安排推动化解涉政府项目拖欠类信访事项项目资金</w:t>
      </w:r>
      <w:r>
        <w:rPr>
          <w:rFonts w:ascii="仿宋_GB2312" w:eastAsia="仿宋_GB2312"/>
          <w:sz w:val="32"/>
          <w:szCs w:val="32"/>
          <w:lang w:eastAsia="zh-CN"/>
        </w:rPr>
        <w:t>。</w:t>
      </w:r>
    </w:p>
    <w:p w14:paraId="6DF847E4">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（二）一般公共预算财政拨款支出决算结构情况</w:t>
      </w:r>
    </w:p>
    <w:p w14:paraId="68EAD908">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1.</w:t>
      </w:r>
      <w:r>
        <w:rPr>
          <w:rFonts w:ascii="仿宋_GB2312" w:eastAsia="仿宋_GB2312"/>
          <w:sz w:val="32"/>
          <w:szCs w:val="32"/>
          <w:lang w:eastAsia="zh-CN"/>
        </w:rPr>
        <w:t>一般公共服务支出（类）192.84万元，占0.70%。</w:t>
      </w:r>
    </w:p>
    <w:p w14:paraId="1494F4A1">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2.</w:t>
      </w:r>
      <w:r>
        <w:rPr>
          <w:rFonts w:ascii="仿宋_GB2312" w:eastAsia="仿宋_GB2312"/>
          <w:sz w:val="32"/>
          <w:szCs w:val="32"/>
          <w:lang w:eastAsia="zh-CN"/>
        </w:rPr>
        <w:t>公共安全支出（类）22,975.92万元，占83.87%。</w:t>
      </w:r>
    </w:p>
    <w:p w14:paraId="31798D78">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3.</w:t>
      </w:r>
      <w:r>
        <w:rPr>
          <w:rFonts w:ascii="仿宋_GB2312" w:eastAsia="仿宋_GB2312"/>
          <w:sz w:val="32"/>
          <w:szCs w:val="32"/>
          <w:lang w:eastAsia="zh-CN"/>
        </w:rPr>
        <w:t>社会保障和就业支出（类）1,336.39万元，占4.88%。</w:t>
      </w:r>
    </w:p>
    <w:p w14:paraId="1F350B4A">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4.</w:t>
      </w:r>
      <w:r>
        <w:rPr>
          <w:rFonts w:ascii="仿宋_GB2312" w:eastAsia="仿宋_GB2312"/>
          <w:sz w:val="32"/>
          <w:szCs w:val="32"/>
          <w:lang w:eastAsia="zh-CN"/>
        </w:rPr>
        <w:t>卫生健康支出（类）443.48万元，占1.62%。</w:t>
      </w:r>
    </w:p>
    <w:p w14:paraId="50FECF6D">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5.</w:t>
      </w:r>
      <w:r>
        <w:rPr>
          <w:rFonts w:ascii="仿宋_GB2312" w:eastAsia="仿宋_GB2312"/>
          <w:sz w:val="32"/>
          <w:szCs w:val="32"/>
          <w:lang w:eastAsia="zh-CN"/>
        </w:rPr>
        <w:t>城乡社区支出（类）936.61万元，占3.42%。</w:t>
      </w:r>
    </w:p>
    <w:p w14:paraId="5A68759E">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6.</w:t>
      </w:r>
      <w:r>
        <w:rPr>
          <w:rFonts w:ascii="仿宋_GB2312" w:eastAsia="仿宋_GB2312"/>
          <w:sz w:val="32"/>
          <w:szCs w:val="32"/>
          <w:lang w:eastAsia="zh-CN"/>
        </w:rPr>
        <w:t>资源勘探工业信息等支出（类）928.36万元，占3.39%。</w:t>
      </w:r>
    </w:p>
    <w:p w14:paraId="74751340">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7.</w:t>
      </w:r>
      <w:r>
        <w:rPr>
          <w:rFonts w:ascii="仿宋_GB2312" w:eastAsia="仿宋_GB2312"/>
          <w:sz w:val="32"/>
          <w:szCs w:val="32"/>
          <w:lang w:eastAsia="zh-CN"/>
        </w:rPr>
        <w:t>住房保障支出（类）575.68万元，占2.10%。</w:t>
      </w:r>
    </w:p>
    <w:p w14:paraId="4A706AD2">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8.</w:t>
      </w:r>
      <w:r>
        <w:rPr>
          <w:rFonts w:ascii="仿宋_GB2312" w:eastAsia="仿宋_GB2312"/>
          <w:sz w:val="32"/>
          <w:szCs w:val="32"/>
          <w:lang w:eastAsia="zh-CN"/>
        </w:rPr>
        <w:t>其他支出（类）5.00万元，占0.02%。</w:t>
      </w:r>
    </w:p>
    <w:p w14:paraId="55BEDBC5">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（三）一般公共预算财政拨款支出决算具体情况</w:t>
      </w:r>
    </w:p>
    <w:p w14:paraId="1601FA79">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1、一般公共服务支出（类）组织事务（款）其他组织事务支出（项）：支出决算数为3.00万元，比上年决算增加3.00万元，增长100.00%，主要原因是：</w:t>
      </w:r>
      <w:r>
        <w:rPr>
          <w:rFonts w:hint="eastAsia" w:ascii="仿宋_GB2312" w:eastAsia="仿宋_GB2312"/>
          <w:sz w:val="32"/>
          <w:szCs w:val="32"/>
          <w:lang w:eastAsia="zh-CN"/>
        </w:rPr>
        <w:t>本年增加“庭州英才”人才计划支持资金</w:t>
      </w:r>
      <w:r>
        <w:rPr>
          <w:rFonts w:ascii="仿宋_GB2312" w:eastAsia="仿宋_GB2312"/>
          <w:sz w:val="32"/>
          <w:szCs w:val="32"/>
          <w:lang w:eastAsia="zh-CN"/>
        </w:rPr>
        <w:t>。</w:t>
      </w:r>
    </w:p>
    <w:p w14:paraId="64F2A8A1">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2、一般公共服务支出（类）信访事务（款）其他信访事务支出（项）：支出决算数为189.84万元，比上年决算增加189.84万元，增长100.00%，主要原因是：本年</w:t>
      </w:r>
      <w:r>
        <w:rPr>
          <w:rFonts w:hint="eastAsia" w:ascii="仿宋_GB2312" w:eastAsia="仿宋_GB2312"/>
          <w:sz w:val="32"/>
          <w:szCs w:val="32"/>
          <w:lang w:eastAsia="zh-CN"/>
        </w:rPr>
        <w:t>增加推动化解涉政府项目拖欠类信访事项资金</w:t>
      </w:r>
      <w:r>
        <w:rPr>
          <w:rFonts w:ascii="仿宋_GB2312" w:eastAsia="仿宋_GB2312"/>
          <w:sz w:val="32"/>
          <w:szCs w:val="32"/>
          <w:lang w:eastAsia="zh-CN"/>
        </w:rPr>
        <w:t>。</w:t>
      </w:r>
    </w:p>
    <w:p w14:paraId="4C3C1CED">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3、公共安全支出（类）武装警察部队（款）其他武装警察部队支出（项）：支出决算数为5.00万元，比上年决算增加0.19万元，增长3.95%，主要原因是：</w:t>
      </w:r>
      <w:r>
        <w:rPr>
          <w:rFonts w:hint="eastAsia" w:ascii="仿宋_GB2312" w:eastAsia="仿宋_GB2312"/>
          <w:sz w:val="32"/>
          <w:szCs w:val="32"/>
          <w:lang w:eastAsia="zh-CN"/>
        </w:rPr>
        <w:t>本年我单位增加武警中队工作经费</w:t>
      </w:r>
      <w:r>
        <w:rPr>
          <w:rFonts w:ascii="仿宋_GB2312" w:eastAsia="仿宋_GB2312"/>
          <w:sz w:val="32"/>
          <w:szCs w:val="32"/>
          <w:lang w:eastAsia="zh-CN"/>
        </w:rPr>
        <w:t>。</w:t>
      </w:r>
    </w:p>
    <w:p w14:paraId="392E9447">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4、公共安全支出（类）公安（款）行政运行（项）：支出决算数为15,943.51万元，比上年决算减少631.76万元，下降3.81%，主要原因是：</w:t>
      </w:r>
      <w:r>
        <w:rPr>
          <w:rFonts w:hint="eastAsia" w:ascii="仿宋_GB2312" w:eastAsia="仿宋_GB2312"/>
          <w:sz w:val="32"/>
          <w:szCs w:val="32"/>
          <w:lang w:eastAsia="zh-CN"/>
        </w:rPr>
        <w:t>行政人员减少，减少人员工资、津补贴等经费</w:t>
      </w:r>
      <w:r>
        <w:rPr>
          <w:rFonts w:ascii="仿宋_GB2312" w:eastAsia="仿宋_GB2312"/>
          <w:sz w:val="32"/>
          <w:szCs w:val="32"/>
          <w:lang w:eastAsia="zh-CN"/>
        </w:rPr>
        <w:t>。</w:t>
      </w:r>
    </w:p>
    <w:p w14:paraId="4AFB3C03">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5、公共安全支出（类）公安（款）执法办案（项）：支出决算数为0.00万元，比上年决算减少34.00万元，下降100.00%，主要原因是：</w:t>
      </w:r>
      <w:r>
        <w:rPr>
          <w:rFonts w:hint="eastAsia" w:ascii="仿宋_GB2312" w:eastAsia="仿宋_GB2312"/>
          <w:sz w:val="32"/>
          <w:szCs w:val="32"/>
          <w:lang w:eastAsia="zh-CN"/>
        </w:rPr>
        <w:t>本年我单位返还涉案资金减少。</w:t>
      </w:r>
    </w:p>
    <w:p w14:paraId="233A1F3A">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6、公共安全支出（类）公安（款）其他公安支出（项）：支出决算数为7,027.41万元，比上年决算增加2,344.30万元，增长50.06%，主要原因是：</w:t>
      </w:r>
      <w:r>
        <w:rPr>
          <w:rFonts w:hint="eastAsia" w:ascii="仿宋_GB2312" w:eastAsia="仿宋_GB2312"/>
          <w:sz w:val="32"/>
          <w:szCs w:val="32"/>
          <w:lang w:eastAsia="zh-CN"/>
        </w:rPr>
        <w:t>本年</w:t>
      </w:r>
      <w:r>
        <w:rPr>
          <w:rFonts w:ascii="仿宋_GB2312" w:eastAsia="仿宋_GB2312"/>
          <w:sz w:val="32"/>
          <w:szCs w:val="32"/>
          <w:lang w:eastAsia="zh-CN"/>
        </w:rPr>
        <w:t>中央政法转移支付资金、公安业务费等项目经费增加</w:t>
      </w:r>
      <w:r>
        <w:rPr>
          <w:rFonts w:ascii="仿宋_GB2312" w:eastAsia="仿宋_GB2312"/>
          <w:sz w:val="32"/>
          <w:szCs w:val="32"/>
          <w:lang w:eastAsia="zh-CN"/>
        </w:rPr>
        <w:t>。</w:t>
      </w:r>
    </w:p>
    <w:p w14:paraId="07CCA946">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7、社会保障和就业支出（类）行政事业单位养老支出（款）行政单位离退休（项）：支出决算数为100.10万元，比上年决算增加26.21万元，增长35.47%，主要原因是：</w:t>
      </w:r>
      <w:r>
        <w:rPr>
          <w:rFonts w:hint="eastAsia" w:ascii="仿宋_GB2312" w:eastAsia="仿宋_GB2312"/>
          <w:sz w:val="32"/>
          <w:szCs w:val="32"/>
          <w:lang w:eastAsia="zh-CN"/>
        </w:rPr>
        <w:t>退休人员增加，增加退休人员绩效工资</w:t>
      </w:r>
      <w:r>
        <w:rPr>
          <w:rFonts w:ascii="仿宋_GB2312" w:eastAsia="仿宋_GB2312"/>
          <w:sz w:val="32"/>
          <w:szCs w:val="32"/>
          <w:lang w:eastAsia="zh-CN"/>
        </w:rPr>
        <w:t>。</w:t>
      </w:r>
    </w:p>
    <w:p w14:paraId="5186948E">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8、社会保障和就业支出（类）行政事业单位养老支出（款）机关事业单位基本养老保险缴费支出（项）：支出决算数为716.88万元，比上年决算增加38.33万元，增长5.65%，主要原因是：</w:t>
      </w:r>
      <w:r>
        <w:rPr>
          <w:rFonts w:hint="eastAsia" w:ascii="仿宋_GB2312" w:eastAsia="仿宋_GB2312"/>
          <w:sz w:val="32"/>
          <w:szCs w:val="32"/>
          <w:lang w:eastAsia="zh-CN"/>
        </w:rPr>
        <w:t>在职人员社保缴费基数调增，养老保险缴费增加。</w:t>
      </w:r>
    </w:p>
    <w:p w14:paraId="32FDF948">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9、社会保障和就业支出（类）行政事业单位养老支出（款）机关事业单位职业年金缴费支出（项）：支出决算数为459.64万元，比上年决算增加372.98万元，增长430.39%，主要原因是：</w:t>
      </w:r>
      <w:r>
        <w:rPr>
          <w:rFonts w:hint="eastAsia" w:ascii="仿宋_GB2312" w:eastAsia="仿宋_GB2312"/>
          <w:sz w:val="32"/>
          <w:szCs w:val="32"/>
          <w:lang w:eastAsia="zh-CN"/>
        </w:rPr>
        <w:t>2023年职业年金单位部分未做实缴纳，2024年列入预算并缴纳一次性职业年金，导致此经费增加</w:t>
      </w:r>
      <w:r>
        <w:rPr>
          <w:rFonts w:ascii="仿宋_GB2312" w:eastAsia="仿宋_GB2312"/>
          <w:sz w:val="32"/>
          <w:szCs w:val="32"/>
          <w:lang w:eastAsia="zh-CN"/>
        </w:rPr>
        <w:t>。</w:t>
      </w:r>
    </w:p>
    <w:p w14:paraId="545115FF">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10、社会保障和就业支出（类）抚恤（款）死亡抚恤（项）：支出决算数为59.77万元，比上年决算减少295.72万元，下降83.19%，主要原因是：本年度因公牺牲和病故的民警数量减少</w:t>
      </w:r>
      <w:r>
        <w:rPr>
          <w:rFonts w:hint="eastAsia" w:ascii="仿宋_GB2312" w:eastAsia="仿宋_GB2312"/>
          <w:sz w:val="32"/>
          <w:szCs w:val="32"/>
          <w:lang w:eastAsia="zh-CN"/>
        </w:rPr>
        <w:t>，死亡抚恤金减少</w:t>
      </w:r>
      <w:r>
        <w:rPr>
          <w:rFonts w:ascii="仿宋_GB2312" w:eastAsia="仿宋_GB2312"/>
          <w:sz w:val="32"/>
          <w:szCs w:val="32"/>
          <w:lang w:eastAsia="zh-CN"/>
        </w:rPr>
        <w:t>。</w:t>
      </w:r>
    </w:p>
    <w:p w14:paraId="45C5C57B">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11、卫生健康支出（类）行政事业单位医疗（款）行政单位医疗（项）：支出决算数为285.27万元，比上年决算减少11.53万元，下降3.88%，主要原因是：</w:t>
      </w:r>
      <w:r>
        <w:rPr>
          <w:rFonts w:hint="eastAsia" w:ascii="仿宋_GB2312" w:eastAsia="仿宋_GB2312"/>
          <w:sz w:val="32"/>
          <w:szCs w:val="32"/>
          <w:lang w:eastAsia="zh-CN"/>
        </w:rPr>
        <w:t>行政人员减少，减少人员行政医疗缴费。</w:t>
      </w:r>
    </w:p>
    <w:p w14:paraId="4F35E476">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12、卫生健康支出（类）行政事业单位医疗（款）事业单位医疗（项）：支出决算数为77.34万元，比上年决算增加25.78万元，增长50.00%，主要原因是：</w:t>
      </w:r>
      <w:r>
        <w:rPr>
          <w:rFonts w:hint="eastAsia" w:ascii="仿宋_GB2312" w:eastAsia="仿宋_GB2312"/>
          <w:sz w:val="32"/>
          <w:szCs w:val="32"/>
          <w:lang w:eastAsia="zh-CN"/>
        </w:rPr>
        <w:t>事业人员医疗缴费基数增加，增加事业医疗缴费增加。</w:t>
      </w:r>
    </w:p>
    <w:p w14:paraId="618A6878">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13、卫生健康支出（类）行政事业单位医疗（款）公务员医疗补助（项）：支出决算数为78.47万元，比上年决算增加1.89万元，增长2.47%，主要原因是：</w:t>
      </w:r>
      <w:r>
        <w:rPr>
          <w:rFonts w:hint="eastAsia" w:ascii="仿宋_GB2312" w:eastAsia="仿宋_GB2312"/>
          <w:sz w:val="32"/>
          <w:szCs w:val="32"/>
          <w:lang w:eastAsia="zh-CN"/>
        </w:rPr>
        <w:t>公务员医疗缴费基数调增，公务员医疗补助增加。</w:t>
      </w:r>
    </w:p>
    <w:p w14:paraId="15D6A920">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14、卫生健康支出（类）行政事业单位医疗（款）其他行政事业单位医疗支出（项）：支出决算数为2.40万元，比上年决算减少0.38万元，下降13.67%，主要原因是：</w:t>
      </w:r>
      <w:r>
        <w:rPr>
          <w:rFonts w:hint="eastAsia" w:ascii="仿宋_GB2312" w:eastAsia="仿宋_GB2312"/>
          <w:sz w:val="32"/>
          <w:szCs w:val="32"/>
          <w:lang w:eastAsia="zh-CN"/>
        </w:rPr>
        <w:t>行政人员减少，减少大额医疗缴费。</w:t>
      </w:r>
    </w:p>
    <w:p w14:paraId="6722E8D2">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15、城乡社区支出（类）城乡社区公共设施（款）小城镇基础设施建设（项）：支出决算数为936.61万元，比上年决算增加456.37万元，增长95.03%，主要原因是：本年度</w:t>
      </w:r>
      <w:r>
        <w:rPr>
          <w:rFonts w:hint="eastAsia" w:ascii="仿宋_GB2312" w:eastAsia="仿宋_GB2312"/>
          <w:sz w:val="32"/>
          <w:szCs w:val="32"/>
          <w:lang w:eastAsia="zh-CN"/>
        </w:rPr>
        <w:t>增加奇台县公安局陈欠食材供应</w:t>
      </w:r>
      <w:r>
        <w:rPr>
          <w:rFonts w:hint="eastAsia" w:ascii="仿宋_GB2312" w:eastAsia="仿宋_GB2312"/>
          <w:sz w:val="32"/>
          <w:szCs w:val="32"/>
          <w:lang w:val="en-US" w:eastAsia="zh-CN"/>
        </w:rPr>
        <w:t>经费</w:t>
      </w:r>
      <w:r>
        <w:rPr>
          <w:rFonts w:ascii="仿宋_GB2312" w:eastAsia="仿宋_GB2312"/>
          <w:sz w:val="32"/>
          <w:szCs w:val="32"/>
          <w:lang w:eastAsia="zh-CN"/>
        </w:rPr>
        <w:t>。</w:t>
      </w:r>
    </w:p>
    <w:p w14:paraId="414AA2F8">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16、交通运输支出（类）民用航空运输（款）机场建设（项）：支出决算数为0.00万元，比上年决算减少150.00万元，下降100.00%，主要原因是：本年度</w:t>
      </w:r>
      <w:r>
        <w:rPr>
          <w:rFonts w:hint="eastAsia" w:ascii="仿宋_GB2312" w:eastAsia="仿宋_GB2312"/>
          <w:sz w:val="32"/>
          <w:szCs w:val="32"/>
          <w:lang w:eastAsia="zh-CN"/>
        </w:rPr>
        <w:t>减少奇台江布拉克机场建设项目资金。</w:t>
      </w:r>
    </w:p>
    <w:p w14:paraId="675AE666">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17、资源勘探工业信息等支出（类）支持中小企业发展和管理支出（款）其他支持中小企业发展和管理支出（项）：支出决算数为928.36万元，比上年决算减少1,597.17万元，下降63.24%，主要原因是：本年度</w:t>
      </w:r>
      <w:r>
        <w:rPr>
          <w:rFonts w:hint="eastAsia" w:ascii="仿宋_GB2312" w:eastAsia="仿宋_GB2312"/>
          <w:sz w:val="32"/>
          <w:szCs w:val="32"/>
          <w:lang w:eastAsia="zh-CN"/>
        </w:rPr>
        <w:t>减少奇台县2024年4月中小企业项目化解资金</w:t>
      </w:r>
      <w:r>
        <w:rPr>
          <w:rFonts w:ascii="仿宋_GB2312" w:eastAsia="仿宋_GB2312"/>
          <w:sz w:val="32"/>
          <w:szCs w:val="32"/>
          <w:lang w:eastAsia="zh-CN"/>
        </w:rPr>
        <w:t>。</w:t>
      </w:r>
    </w:p>
    <w:p w14:paraId="2545BCE2">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18、住房保障支出（类）住房改革支出（款）住房公积金（项）：支出决算数为575.68万元，比上年决算增加39.60万元，增长7.39%，主要原因是：</w:t>
      </w:r>
      <w:r>
        <w:rPr>
          <w:rFonts w:hint="eastAsia" w:ascii="仿宋_GB2312" w:eastAsia="仿宋_GB2312"/>
          <w:sz w:val="32"/>
          <w:szCs w:val="32"/>
          <w:lang w:eastAsia="zh-CN"/>
        </w:rPr>
        <w:t>本年在职人员公积金缴费基数调增，公积金缴费增加</w:t>
      </w:r>
      <w:r>
        <w:rPr>
          <w:rFonts w:ascii="仿宋_GB2312" w:eastAsia="仿宋_GB2312"/>
          <w:sz w:val="32"/>
          <w:szCs w:val="32"/>
          <w:lang w:eastAsia="zh-CN"/>
        </w:rPr>
        <w:t>。</w:t>
      </w:r>
    </w:p>
    <w:p w14:paraId="7F6BFE2B">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19、其他支出（类）其他支出（款）其他支出（项）：支出决算数为5.00万元，比上年决算减少13.02万元，下降72.25%，主要原因是：</w:t>
      </w:r>
      <w:r>
        <w:rPr>
          <w:rFonts w:hint="eastAsia" w:ascii="仿宋_GB2312" w:eastAsia="仿宋_GB2312"/>
          <w:sz w:val="32"/>
          <w:szCs w:val="32"/>
          <w:lang w:eastAsia="zh-CN"/>
        </w:rPr>
        <w:t>本年减少自治区驻村工作专项经费</w:t>
      </w:r>
      <w:r>
        <w:rPr>
          <w:rFonts w:ascii="仿宋_GB2312" w:eastAsia="仿宋_GB2312"/>
          <w:sz w:val="32"/>
          <w:szCs w:val="32"/>
          <w:lang w:eastAsia="zh-CN"/>
        </w:rPr>
        <w:t>。</w:t>
      </w:r>
    </w:p>
    <w:p w14:paraId="6D02B02E">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六、一般公共预算财政拨款基本支出决算情况说明</w:t>
      </w:r>
    </w:p>
    <w:p w14:paraId="1B2DB898">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一般公共预算财政拨款基本支出18,303.94万元，其中：人员经费17,258.31万元，包括：基本工资、津贴补贴、伙食补助费、绩效工资、机关事业单位基本养老保险缴费、职业年金缴费、职工基本医疗保险缴费、公务员医疗补助缴费、其他社会保障缴费、住房公积金、其他工资福利支出、离休费、退休费、抚恤金、生活补助、医疗费补助和奖励金。</w:t>
      </w:r>
    </w:p>
    <w:p w14:paraId="440F57A4">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用经费1,045.63万元，包括：办公费、印刷费、手续费、水费、电费、邮电费、取暖费、物业管理费、差旅费、维修（护）费、培训费、专用材料费、被装购置费、劳务费、工会经费、公务用车运行维护费和其他交通费用。</w:t>
      </w:r>
    </w:p>
    <w:p w14:paraId="1BA1FFCE">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七、政府性基金预算财政拨款收入支出决算情况说明</w:t>
      </w:r>
    </w:p>
    <w:p w14:paraId="30DF316B">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7D779675">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八、国有资本经营预算财政拨款收入支出决算情况说明</w:t>
      </w:r>
    </w:p>
    <w:p w14:paraId="6FD3F65F">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319F7BB2">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九、财政拨款“三公”经费支出决算情况说明</w:t>
      </w:r>
    </w:p>
    <w:p w14:paraId="4E5925C5">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2024年度财政拨款“三公”经费支出409.44万元，比上年增加35.36万元，增长9.45%，主要原因是：</w:t>
      </w:r>
      <w:r>
        <w:rPr>
          <w:rFonts w:hint="eastAsia" w:ascii="仿宋_GB2312" w:eastAsia="仿宋_GB2312"/>
          <w:sz w:val="32"/>
          <w:szCs w:val="32"/>
          <w:lang w:eastAsia="zh-CN"/>
        </w:rPr>
        <w:t>车辆老化，车辆维修维护费、燃油费等增加</w:t>
      </w:r>
      <w:r>
        <w:rPr>
          <w:rFonts w:ascii="仿宋_GB2312" w:eastAsia="仿宋_GB2312"/>
          <w:sz w:val="32"/>
          <w:szCs w:val="32"/>
          <w:lang w:eastAsia="zh-CN"/>
        </w:rPr>
        <w:t>。其中：因公出国（境）费支出0.00万元,占0.00%，与上年相比无变化，主要原因是：本年</w:t>
      </w:r>
      <w:r>
        <w:rPr>
          <w:rFonts w:hint="eastAsia" w:ascii="仿宋_GB2312" w:eastAsia="仿宋_GB2312"/>
          <w:sz w:val="32"/>
          <w:szCs w:val="32"/>
          <w:lang w:eastAsia="zh-CN"/>
        </w:rPr>
        <w:t>与上年均</w:t>
      </w:r>
      <w:r>
        <w:rPr>
          <w:rFonts w:ascii="仿宋_GB2312" w:eastAsia="仿宋_GB2312"/>
          <w:sz w:val="32"/>
          <w:szCs w:val="32"/>
          <w:lang w:eastAsia="zh-CN"/>
        </w:rPr>
        <w:t>无因公出国（境）费支出；公务用车购置及运行维护费支出409.44万元，占100.00%，比上年增加35.36万元，增长9.45%，主要原因是：</w:t>
      </w:r>
      <w:r>
        <w:rPr>
          <w:rFonts w:hint="eastAsia" w:ascii="仿宋_GB2312" w:eastAsia="仿宋_GB2312"/>
          <w:sz w:val="32"/>
          <w:szCs w:val="32"/>
          <w:lang w:eastAsia="zh-CN"/>
        </w:rPr>
        <w:t>车辆老化，车辆维修维护费、燃油费等增加</w:t>
      </w:r>
      <w:r>
        <w:rPr>
          <w:rFonts w:ascii="仿宋_GB2312" w:eastAsia="仿宋_GB2312"/>
          <w:sz w:val="32"/>
          <w:szCs w:val="32"/>
          <w:lang w:eastAsia="zh-CN"/>
        </w:rPr>
        <w:t>；公务接待费支出0.00万元，占0.00%，与上年相比无变化，主要原因是：本年</w:t>
      </w:r>
      <w:r>
        <w:rPr>
          <w:rFonts w:hint="eastAsia" w:ascii="仿宋_GB2312" w:eastAsia="仿宋_GB2312"/>
          <w:sz w:val="32"/>
          <w:szCs w:val="32"/>
          <w:lang w:eastAsia="zh-CN"/>
        </w:rPr>
        <w:t>与上年均</w:t>
      </w:r>
      <w:r>
        <w:rPr>
          <w:rFonts w:ascii="仿宋_GB2312" w:eastAsia="仿宋_GB2312"/>
          <w:sz w:val="32"/>
          <w:szCs w:val="32"/>
          <w:lang w:eastAsia="zh-CN"/>
        </w:rPr>
        <w:t>无公务接待费支出。</w:t>
      </w:r>
    </w:p>
    <w:p w14:paraId="4D0AC2B1">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具体情况如下：</w:t>
      </w:r>
    </w:p>
    <w:p w14:paraId="30DBEF1F">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因公出国（境）费支出0.00万元，开支内容包括本年单位无因公出国（境）费支出。单位全年安排的因公出国（境）团组0个，因公出国（境）0人次。</w:t>
      </w:r>
    </w:p>
    <w:p w14:paraId="0071448B">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务用车购置及运行维护费409.44万元，其中：公务用车购置费0.00万元，公务用车运行维护费409.44万元。公务用车运行维护费开支内容包括公务用车燃油费、修理费、保险费、过路费等。公务用车购置数0辆，公务用车保有量255辆。国有资产占用情况中固定资产车辆267辆，与公务用车保有量差异原因是：</w:t>
      </w:r>
      <w:r>
        <w:rPr>
          <w:rFonts w:hint="eastAsia" w:ascii="仿宋_GB2312" w:eastAsia="仿宋_GB2312"/>
          <w:sz w:val="32"/>
          <w:szCs w:val="32"/>
          <w:lang w:eastAsia="zh-CN"/>
        </w:rPr>
        <w:t>差异车辆为</w:t>
      </w:r>
      <w:r>
        <w:rPr>
          <w:rFonts w:ascii="仿宋_GB2312" w:eastAsia="仿宋_GB2312"/>
          <w:sz w:val="32"/>
          <w:szCs w:val="32"/>
          <w:lang w:eastAsia="zh-CN"/>
        </w:rPr>
        <w:t>已报废车辆正在审批报废</w:t>
      </w:r>
      <w:r>
        <w:rPr>
          <w:rFonts w:hint="eastAsia" w:ascii="仿宋_GB2312" w:eastAsia="仿宋_GB2312"/>
          <w:sz w:val="32"/>
          <w:szCs w:val="32"/>
          <w:lang w:eastAsia="zh-CN"/>
        </w:rPr>
        <w:t>，车辆未使用财政拨款公务用车运行维护费支付</w:t>
      </w:r>
      <w:r>
        <w:rPr>
          <w:rFonts w:ascii="仿宋_GB2312" w:eastAsia="仿宋_GB2312"/>
          <w:sz w:val="32"/>
          <w:szCs w:val="32"/>
          <w:lang w:eastAsia="zh-CN"/>
        </w:rPr>
        <w:t>。</w:t>
      </w:r>
    </w:p>
    <w:p w14:paraId="145F3887">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公务接待费0.00万元，开支内容包括本年单位无公务接待费支出。单位全年安排的国内公务接待0批次，0人次。</w:t>
      </w:r>
    </w:p>
    <w:p w14:paraId="24085715">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与全年预算相比，财政拨款“三公”经费支出全年预算数409.44万元，决算数409.44万元，预决算差异率0.00%，主要原因是：</w:t>
      </w:r>
      <w:r>
        <w:rPr>
          <w:rFonts w:hint="eastAsia" w:ascii="仿宋_GB2312" w:eastAsia="仿宋_GB2312"/>
          <w:sz w:val="32"/>
          <w:szCs w:val="32"/>
          <w:lang w:eastAsia="zh-CN"/>
        </w:rPr>
        <w:t>严格按预算执行，预决算对比无差异</w:t>
      </w:r>
      <w:r>
        <w:rPr>
          <w:rFonts w:ascii="仿宋_GB2312" w:eastAsia="仿宋_GB2312"/>
          <w:sz w:val="32"/>
          <w:szCs w:val="32"/>
          <w:lang w:eastAsia="zh-CN"/>
        </w:rPr>
        <w:t>。其中：因公出国（境）费全年预算数0.00万元，决算数0.00万元，预决算差异率0.00%，主要原因是：</w:t>
      </w:r>
      <w:r>
        <w:rPr>
          <w:rFonts w:hint="eastAsia" w:ascii="仿宋_GB2312" w:eastAsia="仿宋_GB2312"/>
          <w:sz w:val="32"/>
          <w:szCs w:val="32"/>
          <w:lang w:eastAsia="zh-CN"/>
        </w:rPr>
        <w:t>严格按预算执行，预决算对比无差异</w:t>
      </w:r>
      <w:r>
        <w:rPr>
          <w:rFonts w:ascii="仿宋_GB2312" w:eastAsia="仿宋_GB2312"/>
          <w:sz w:val="32"/>
          <w:szCs w:val="32"/>
          <w:lang w:eastAsia="zh-CN"/>
        </w:rPr>
        <w:t>；公务用车购置费全年预算数0.00万元，决算数0.00万元，预决算差异率0.00%，主要原因是：</w:t>
      </w:r>
      <w:r>
        <w:rPr>
          <w:rFonts w:hint="eastAsia" w:ascii="仿宋_GB2312" w:eastAsia="仿宋_GB2312"/>
          <w:sz w:val="32"/>
          <w:szCs w:val="32"/>
          <w:lang w:eastAsia="zh-CN"/>
        </w:rPr>
        <w:t>严格按预算执行，预决算对比无差异</w:t>
      </w:r>
      <w:r>
        <w:rPr>
          <w:rFonts w:ascii="仿宋_GB2312" w:eastAsia="仿宋_GB2312"/>
          <w:sz w:val="32"/>
          <w:szCs w:val="32"/>
          <w:lang w:eastAsia="zh-CN"/>
        </w:rPr>
        <w:t>；公务用车运行维护费全年预算数409.44万元，决算数409.44万元，预决算差异率0.00%，主要原因是：</w:t>
      </w:r>
      <w:r>
        <w:rPr>
          <w:rFonts w:hint="eastAsia" w:ascii="仿宋_GB2312" w:eastAsia="仿宋_GB2312"/>
          <w:sz w:val="32"/>
          <w:szCs w:val="32"/>
          <w:lang w:eastAsia="zh-CN"/>
        </w:rPr>
        <w:t>严格按预算执行，预决算对比无差异</w:t>
      </w:r>
      <w:r>
        <w:rPr>
          <w:rFonts w:ascii="仿宋_GB2312" w:eastAsia="仿宋_GB2312"/>
          <w:sz w:val="32"/>
          <w:szCs w:val="32"/>
          <w:lang w:eastAsia="zh-CN"/>
        </w:rPr>
        <w:t>；公务接待费全年预算数0.00万元，决算数0.00万元，预决算差异率0.00%，主要原因是：</w:t>
      </w:r>
      <w:r>
        <w:rPr>
          <w:rFonts w:hint="eastAsia" w:ascii="仿宋_GB2312" w:eastAsia="仿宋_GB2312"/>
          <w:sz w:val="32"/>
          <w:szCs w:val="32"/>
          <w:lang w:eastAsia="zh-CN"/>
        </w:rPr>
        <w:t>严格按预算执行，预决算对比无差异</w:t>
      </w:r>
      <w:r>
        <w:rPr>
          <w:rFonts w:ascii="仿宋_GB2312" w:eastAsia="仿宋_GB2312"/>
          <w:sz w:val="32"/>
          <w:szCs w:val="32"/>
          <w:lang w:eastAsia="zh-CN"/>
        </w:rPr>
        <w:t>。</w:t>
      </w:r>
    </w:p>
    <w:p w14:paraId="6F017CE8">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十、其他重要事项的情况说明</w:t>
      </w:r>
    </w:p>
    <w:p w14:paraId="2721C249">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（一）机关运行经费及公用经费支出情况</w:t>
      </w:r>
    </w:p>
    <w:p w14:paraId="55273F43">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2024年度奇台县公安局单位（行政单位和参照公务员法管理事业单位）机关运行经费支出1,045.63万元，比上年减少155.99万元，下降12.98%，主要原因是：</w:t>
      </w:r>
      <w:r>
        <w:rPr>
          <w:rFonts w:hint="eastAsia" w:ascii="仿宋_GB2312" w:eastAsia="仿宋_GB2312"/>
          <w:sz w:val="32"/>
          <w:szCs w:val="32"/>
          <w:lang w:eastAsia="zh-CN"/>
        </w:rPr>
        <w:t>本年</w:t>
      </w:r>
      <w:r>
        <w:rPr>
          <w:rFonts w:ascii="仿宋_GB2312" w:eastAsia="仿宋_GB2312"/>
          <w:sz w:val="32"/>
          <w:szCs w:val="32"/>
          <w:lang w:eastAsia="zh-CN"/>
        </w:rPr>
        <w:t>物业管理费、维修（护）费、专用材料费</w:t>
      </w:r>
      <w:r>
        <w:rPr>
          <w:rFonts w:hint="eastAsia" w:ascii="仿宋_GB2312" w:eastAsia="仿宋_GB2312"/>
          <w:sz w:val="32"/>
          <w:szCs w:val="32"/>
          <w:lang w:eastAsia="zh-CN"/>
        </w:rPr>
        <w:t>等减少</w:t>
      </w:r>
      <w:r>
        <w:rPr>
          <w:rFonts w:ascii="仿宋_GB2312" w:eastAsia="仿宋_GB2312"/>
          <w:sz w:val="32"/>
          <w:szCs w:val="32"/>
          <w:lang w:eastAsia="zh-CN"/>
        </w:rPr>
        <w:t>。</w:t>
      </w:r>
    </w:p>
    <w:p w14:paraId="5DB2D7E3">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（二）政府采购情况</w:t>
      </w:r>
    </w:p>
    <w:p w14:paraId="3111048B">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2024年度政府采购支出总额1,564.31万元，其中：政府采购货物支出971.59万元、政府采购工程支出73.39万元、政府采购服务支出519.34万元。</w:t>
      </w:r>
    </w:p>
    <w:p w14:paraId="74E8239B">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授予中小企业合同金额814.22万元，占政府采购支出总额的52.05%，其中：授予小微企业合同金额715.59万元，占政府采购支出总额的45.74%。</w:t>
      </w:r>
    </w:p>
    <w:p w14:paraId="08AAECB8">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（三）国有资产占用情况说明</w:t>
      </w:r>
    </w:p>
    <w:p w14:paraId="2048089E">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rPr>
        <w:t>截至2024年12月31日，房屋314,841.98平方米，价值40,778.55万元。</w:t>
      </w:r>
      <w:r>
        <w:rPr>
          <w:rFonts w:ascii="仿宋_GB2312" w:eastAsia="仿宋_GB2312"/>
          <w:sz w:val="32"/>
          <w:szCs w:val="32"/>
          <w:lang w:eastAsia="zh-CN"/>
        </w:rPr>
        <w:t>车辆267辆，价值3,220.27万元，其中：副部（省）级及以上领导用车0辆、主要负责人用车0辆、机要通信用车0辆、应急保障用车0辆、执法执勤用车234辆、特种专业技术用车30辆、离退休干部服务用车0辆、其他用车3辆，其他用车主要是：</w:t>
      </w:r>
      <w:r>
        <w:rPr>
          <w:rFonts w:hint="eastAsia" w:ascii="仿宋_GB2312" w:eastAsia="仿宋_GB2312"/>
          <w:sz w:val="32"/>
          <w:szCs w:val="32"/>
          <w:lang w:eastAsia="zh-CN"/>
        </w:rPr>
        <w:t>业务</w:t>
      </w:r>
      <w:r>
        <w:rPr>
          <w:rFonts w:ascii="仿宋_GB2312" w:eastAsia="仿宋_GB2312"/>
          <w:sz w:val="32"/>
          <w:szCs w:val="32"/>
          <w:lang w:eastAsia="zh-CN"/>
        </w:rPr>
        <w:t>用车;单价100万元（含）以上设备（不含车辆）38台（套）。</w:t>
      </w:r>
    </w:p>
    <w:p w14:paraId="067F4A9A">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十一、预算绩效的情况说明</w:t>
      </w:r>
    </w:p>
    <w:p w14:paraId="5C5DA812">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w:t>
      </w:r>
      <w:r>
        <w:rPr>
          <w:rFonts w:hint="eastAsia" w:ascii="仿宋_GB2312" w:eastAsia="仿宋_GB2312"/>
          <w:sz w:val="32"/>
          <w:szCs w:val="32"/>
          <w:lang w:eastAsia="zh-CN"/>
        </w:rPr>
        <w:t>27,395.10</w:t>
      </w:r>
      <w:r>
        <w:rPr>
          <w:rFonts w:ascii="仿宋_GB2312" w:eastAsia="仿宋_GB2312"/>
          <w:sz w:val="32"/>
          <w:szCs w:val="32"/>
          <w:lang w:eastAsia="zh-CN"/>
        </w:rPr>
        <w:t>万元，实际执行总额</w:t>
      </w:r>
      <w:r>
        <w:rPr>
          <w:rFonts w:hint="eastAsia" w:ascii="仿宋_GB2312" w:eastAsia="仿宋_GB2312"/>
          <w:sz w:val="32"/>
          <w:szCs w:val="32"/>
          <w:lang w:eastAsia="zh-CN"/>
        </w:rPr>
        <w:t>27,395.10</w:t>
      </w:r>
      <w:r>
        <w:rPr>
          <w:rFonts w:ascii="仿宋_GB2312" w:eastAsia="仿宋_GB2312"/>
          <w:sz w:val="32"/>
          <w:szCs w:val="32"/>
          <w:lang w:eastAsia="zh-CN"/>
        </w:rPr>
        <w:t>万元；预算绩效评价项目9个，全年预算数3,057.96万元，全年执行数3,057.96万元。预算绩效管理取得的成效：一是提升经费保障水平，规范财务管理；二是优化装备配备结构，全力倾斜一线；三是开展固定资产盘点，落实精细化管理。发现的问题及原因：一是部分业务人员绩效管理意识有待增强，未能全面深入认识理解绩效管理工作的意义；二是绩效指标的明确性、可衡量性、相关性还需进一步提升。下一步改进措施：一是继续加大绩效工作宣传力度，强化绩效理念；二是继续完善绩效指标，提高整体绩效目标质量；三是继续完善预算绩效管理相关工作制度，建立全过程预算绩效管理链条，有效贯彻落实全面实施绩效管理的精神。具体附部门整体支出绩效自评表，项目支出绩效自评表和部门评价报告。</w:t>
      </w:r>
    </w:p>
    <w:p w14:paraId="53A72E7B">
      <w:pPr>
        <w:jc w:val="center"/>
        <w:rPr>
          <w:rFonts w:hint="eastAsia" w:ascii="宋体" w:hAnsi="宋体" w:eastAsia="宋体" w:cs="宋体"/>
          <w:b/>
          <w:bCs/>
          <w:sz w:val="28"/>
          <w:szCs w:val="28"/>
          <w:lang w:eastAsia="zh-CN"/>
        </w:rPr>
      </w:pPr>
      <w:bookmarkStart w:id="0" w:name="_Hlk201836110"/>
      <w:r>
        <w:rPr>
          <w:rFonts w:hint="eastAsia" w:ascii="宋体" w:hAnsi="宋体" w:eastAsia="宋体" w:cs="宋体"/>
          <w:b/>
          <w:bCs/>
          <w:sz w:val="28"/>
          <w:szCs w:val="28"/>
          <w:lang w:eastAsia="zh-CN"/>
        </w:rPr>
        <w:t>部门（单位）整体支出绩效目标自评表</w:t>
      </w:r>
    </w:p>
    <w:p w14:paraId="4FAF0F3B">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9935" w:type="dxa"/>
        <w:tblInd w:w="0" w:type="dxa"/>
        <w:tblLayout w:type="fixed"/>
        <w:tblCellMar>
          <w:top w:w="0" w:type="dxa"/>
          <w:left w:w="108" w:type="dxa"/>
          <w:bottom w:w="0" w:type="dxa"/>
          <w:right w:w="108" w:type="dxa"/>
        </w:tblCellMar>
      </w:tblPr>
      <w:tblGrid>
        <w:gridCol w:w="993"/>
        <w:gridCol w:w="1417"/>
        <w:gridCol w:w="1418"/>
        <w:gridCol w:w="1242"/>
        <w:gridCol w:w="1417"/>
        <w:gridCol w:w="1134"/>
        <w:gridCol w:w="1310"/>
        <w:gridCol w:w="720"/>
        <w:gridCol w:w="284"/>
      </w:tblGrid>
      <w:tr w14:paraId="00759F63">
        <w:tblPrEx>
          <w:tblCellMar>
            <w:top w:w="0" w:type="dxa"/>
            <w:left w:w="108" w:type="dxa"/>
            <w:bottom w:w="0" w:type="dxa"/>
            <w:right w:w="108" w:type="dxa"/>
          </w:tblCellMar>
        </w:tblPrEx>
        <w:trPr>
          <w:cantSplit/>
          <w:trHeight w:val="660" w:hRule="atLeast"/>
        </w:trPr>
        <w:tc>
          <w:tcPr>
            <w:tcW w:w="993" w:type="dxa"/>
            <w:tcBorders>
              <w:top w:val="single" w:color="auto" w:sz="4" w:space="0"/>
              <w:left w:val="single" w:color="auto" w:sz="4" w:space="0"/>
              <w:bottom w:val="single" w:color="auto" w:sz="4" w:space="0"/>
              <w:right w:val="single" w:color="auto" w:sz="4" w:space="0"/>
            </w:tcBorders>
            <w:noWrap/>
            <w:vAlign w:val="center"/>
          </w:tcPr>
          <w:p w14:paraId="09E82F84">
            <w:pPr>
              <w:jc w:val="center"/>
              <w:rPr>
                <w:rFonts w:hint="eastAsia" w:ascii="宋体" w:hAnsi="宋体" w:eastAsia="宋体" w:cs="宋体"/>
                <w:b/>
                <w:bCs/>
                <w:sz w:val="18"/>
                <w:szCs w:val="18"/>
              </w:rPr>
            </w:pPr>
            <w:r>
              <w:rPr>
                <w:rFonts w:hint="eastAsia" w:ascii="宋体" w:hAnsi="宋体" w:eastAsia="宋体" w:cs="宋体"/>
                <w:b/>
                <w:bCs/>
                <w:sz w:val="18"/>
                <w:szCs w:val="18"/>
              </w:rPr>
              <w:t>部门（单位）名称</w:t>
            </w:r>
          </w:p>
        </w:tc>
        <w:tc>
          <w:tcPr>
            <w:tcW w:w="8658" w:type="dxa"/>
            <w:gridSpan w:val="7"/>
            <w:tcBorders>
              <w:top w:val="single" w:color="auto" w:sz="4" w:space="0"/>
              <w:left w:val="nil"/>
              <w:bottom w:val="single" w:color="auto" w:sz="4" w:space="0"/>
              <w:right w:val="single" w:color="auto" w:sz="4" w:space="0"/>
            </w:tcBorders>
            <w:noWrap/>
            <w:vAlign w:val="center"/>
          </w:tcPr>
          <w:p w14:paraId="2B738FB4">
            <w:pPr>
              <w:jc w:val="center"/>
              <w:rPr>
                <w:rFonts w:hint="eastAsia" w:ascii="宋体" w:hAnsi="宋体" w:eastAsia="宋体" w:cs="宋体"/>
                <w:b/>
                <w:bCs/>
                <w:sz w:val="18"/>
                <w:szCs w:val="18"/>
              </w:rPr>
            </w:pPr>
            <w:r>
              <w:rPr>
                <w:rFonts w:hint="eastAsia" w:ascii="宋体" w:hAnsi="宋体" w:eastAsia="宋体" w:cs="宋体"/>
                <w:b/>
                <w:bCs/>
                <w:sz w:val="18"/>
                <w:szCs w:val="18"/>
              </w:rPr>
              <w:t>奇台县公安局</w:t>
            </w:r>
          </w:p>
        </w:tc>
        <w:tc>
          <w:tcPr>
            <w:tcW w:w="284" w:type="dxa"/>
            <w:tcBorders>
              <w:top w:val="nil"/>
              <w:left w:val="nil"/>
              <w:bottom w:val="nil"/>
              <w:right w:val="nil"/>
            </w:tcBorders>
            <w:noWrap/>
            <w:vAlign w:val="center"/>
          </w:tcPr>
          <w:p w14:paraId="0B5CC170">
            <w:pPr>
              <w:rPr>
                <w:rFonts w:hint="eastAsia" w:ascii="宋体" w:hAnsi="宋体" w:eastAsia="宋体" w:cs="宋体"/>
                <w:b/>
                <w:bCs/>
                <w:sz w:val="18"/>
                <w:szCs w:val="18"/>
              </w:rPr>
            </w:pPr>
          </w:p>
        </w:tc>
      </w:tr>
      <w:tr w14:paraId="7E9C72C9">
        <w:tblPrEx>
          <w:tblCellMar>
            <w:top w:w="0" w:type="dxa"/>
            <w:left w:w="108" w:type="dxa"/>
            <w:bottom w:w="0" w:type="dxa"/>
            <w:right w:w="108" w:type="dxa"/>
          </w:tblCellMar>
        </w:tblPrEx>
        <w:trPr>
          <w:cantSplit/>
          <w:trHeight w:val="570"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3B704732">
            <w:pPr>
              <w:jc w:val="center"/>
              <w:rPr>
                <w:rFonts w:hint="eastAsia" w:ascii="宋体" w:hAnsi="宋体" w:eastAsia="宋体" w:cs="宋体"/>
                <w:b/>
                <w:bCs/>
                <w:sz w:val="18"/>
                <w:szCs w:val="18"/>
              </w:rPr>
            </w:pPr>
            <w:r>
              <w:rPr>
                <w:rFonts w:hint="eastAsia" w:ascii="宋体" w:hAnsi="宋体" w:eastAsia="宋体" w:cs="宋体"/>
                <w:b/>
                <w:bCs/>
                <w:sz w:val="18"/>
                <w:szCs w:val="18"/>
              </w:rPr>
              <w:t>部门资金（万元）</w:t>
            </w:r>
          </w:p>
        </w:tc>
        <w:tc>
          <w:tcPr>
            <w:tcW w:w="1417" w:type="dxa"/>
            <w:tcBorders>
              <w:top w:val="nil"/>
              <w:left w:val="nil"/>
              <w:bottom w:val="single" w:color="auto" w:sz="4" w:space="0"/>
              <w:right w:val="single" w:color="auto" w:sz="4" w:space="0"/>
            </w:tcBorders>
            <w:vAlign w:val="center"/>
          </w:tcPr>
          <w:p w14:paraId="5D6825C6">
            <w:pPr>
              <w:jc w:val="center"/>
              <w:rPr>
                <w:rFonts w:hint="eastAsia" w:ascii="宋体" w:hAnsi="宋体" w:eastAsia="宋体" w:cs="宋体"/>
                <w:b/>
                <w:bCs/>
                <w:sz w:val="18"/>
                <w:szCs w:val="18"/>
              </w:rPr>
            </w:pPr>
            <w:r>
              <w:rPr>
                <w:rFonts w:hint="eastAsia" w:ascii="宋体" w:hAnsi="宋体" w:eastAsia="宋体" w:cs="宋体"/>
                <w:b/>
                <w:bCs/>
                <w:sz w:val="18"/>
                <w:szCs w:val="18"/>
              </w:rPr>
              <w:t>资金来源</w:t>
            </w:r>
          </w:p>
        </w:tc>
        <w:tc>
          <w:tcPr>
            <w:tcW w:w="1418" w:type="dxa"/>
            <w:tcBorders>
              <w:top w:val="nil"/>
              <w:left w:val="nil"/>
              <w:bottom w:val="single" w:color="auto" w:sz="4" w:space="0"/>
              <w:right w:val="single" w:color="auto" w:sz="4" w:space="0"/>
            </w:tcBorders>
            <w:vAlign w:val="center"/>
          </w:tcPr>
          <w:p w14:paraId="7F7E15B6">
            <w:pPr>
              <w:jc w:val="center"/>
              <w:rPr>
                <w:rFonts w:hint="eastAsia" w:ascii="宋体" w:hAnsi="宋体" w:eastAsia="宋体" w:cs="宋体"/>
                <w:b/>
                <w:bCs/>
                <w:sz w:val="18"/>
                <w:szCs w:val="18"/>
              </w:rPr>
            </w:pPr>
            <w:r>
              <w:rPr>
                <w:rFonts w:hint="eastAsia" w:ascii="宋体" w:hAnsi="宋体" w:eastAsia="宋体" w:cs="宋体"/>
                <w:b/>
                <w:bCs/>
                <w:sz w:val="18"/>
                <w:szCs w:val="18"/>
              </w:rPr>
              <w:t>年初预算数</w:t>
            </w:r>
          </w:p>
        </w:tc>
        <w:tc>
          <w:tcPr>
            <w:tcW w:w="1242" w:type="dxa"/>
            <w:tcBorders>
              <w:top w:val="nil"/>
              <w:left w:val="nil"/>
              <w:bottom w:val="single" w:color="auto" w:sz="4" w:space="0"/>
              <w:right w:val="single" w:color="auto" w:sz="4" w:space="0"/>
            </w:tcBorders>
            <w:vAlign w:val="center"/>
          </w:tcPr>
          <w:p w14:paraId="2313DFD4">
            <w:pPr>
              <w:jc w:val="center"/>
              <w:rPr>
                <w:rFonts w:hint="eastAsia" w:ascii="宋体" w:hAnsi="宋体" w:eastAsia="宋体" w:cs="宋体"/>
                <w:b/>
                <w:bCs/>
                <w:sz w:val="18"/>
                <w:szCs w:val="18"/>
              </w:rPr>
            </w:pPr>
            <w:r>
              <w:rPr>
                <w:rFonts w:hint="eastAsia" w:ascii="宋体" w:hAnsi="宋体" w:eastAsia="宋体" w:cs="宋体"/>
                <w:b/>
                <w:bCs/>
                <w:sz w:val="18"/>
                <w:szCs w:val="18"/>
              </w:rPr>
              <w:t>全年预算数</w:t>
            </w:r>
          </w:p>
        </w:tc>
        <w:tc>
          <w:tcPr>
            <w:tcW w:w="1417" w:type="dxa"/>
            <w:tcBorders>
              <w:top w:val="nil"/>
              <w:left w:val="nil"/>
              <w:bottom w:val="single" w:color="auto" w:sz="4" w:space="0"/>
              <w:right w:val="single" w:color="auto" w:sz="4" w:space="0"/>
            </w:tcBorders>
            <w:vAlign w:val="center"/>
          </w:tcPr>
          <w:p w14:paraId="4C7E9378">
            <w:pPr>
              <w:jc w:val="center"/>
              <w:rPr>
                <w:rFonts w:hint="eastAsia" w:ascii="宋体" w:hAnsi="宋体" w:eastAsia="宋体" w:cs="宋体"/>
                <w:b/>
                <w:bCs/>
                <w:sz w:val="18"/>
                <w:szCs w:val="18"/>
              </w:rPr>
            </w:pPr>
            <w:r>
              <w:rPr>
                <w:rFonts w:hint="eastAsia" w:ascii="宋体" w:hAnsi="宋体" w:eastAsia="宋体" w:cs="宋体"/>
                <w:b/>
                <w:bCs/>
                <w:sz w:val="18"/>
                <w:szCs w:val="18"/>
              </w:rPr>
              <w:t>全年执行数</w:t>
            </w:r>
          </w:p>
        </w:tc>
        <w:tc>
          <w:tcPr>
            <w:tcW w:w="1134" w:type="dxa"/>
            <w:tcBorders>
              <w:top w:val="nil"/>
              <w:left w:val="nil"/>
              <w:bottom w:val="single" w:color="auto" w:sz="4" w:space="0"/>
              <w:right w:val="single" w:color="auto" w:sz="4" w:space="0"/>
            </w:tcBorders>
            <w:vAlign w:val="center"/>
          </w:tcPr>
          <w:p w14:paraId="2EEC3910">
            <w:pPr>
              <w:jc w:val="center"/>
              <w:rPr>
                <w:rFonts w:hint="eastAsia" w:ascii="宋体" w:hAnsi="宋体" w:eastAsia="宋体" w:cs="宋体"/>
                <w:b/>
                <w:bCs/>
                <w:sz w:val="18"/>
                <w:szCs w:val="18"/>
              </w:rPr>
            </w:pPr>
            <w:r>
              <w:rPr>
                <w:rFonts w:hint="eastAsia" w:ascii="宋体" w:hAnsi="宋体" w:eastAsia="宋体" w:cs="宋体"/>
                <w:b/>
                <w:bCs/>
                <w:sz w:val="18"/>
                <w:szCs w:val="18"/>
              </w:rPr>
              <w:t>分值权重</w:t>
            </w:r>
          </w:p>
        </w:tc>
        <w:tc>
          <w:tcPr>
            <w:tcW w:w="1310" w:type="dxa"/>
            <w:tcBorders>
              <w:top w:val="nil"/>
              <w:left w:val="nil"/>
              <w:bottom w:val="single" w:color="auto" w:sz="4" w:space="0"/>
              <w:right w:val="single" w:color="auto" w:sz="4" w:space="0"/>
            </w:tcBorders>
            <w:vAlign w:val="center"/>
          </w:tcPr>
          <w:p w14:paraId="3755E5D1">
            <w:pPr>
              <w:jc w:val="center"/>
              <w:rPr>
                <w:rFonts w:hint="eastAsia" w:ascii="宋体" w:hAnsi="宋体" w:eastAsia="宋体" w:cs="宋体"/>
                <w:b/>
                <w:bCs/>
                <w:sz w:val="18"/>
                <w:szCs w:val="18"/>
              </w:rPr>
            </w:pPr>
            <w:r>
              <w:rPr>
                <w:rFonts w:hint="eastAsia" w:ascii="宋体" w:hAnsi="宋体" w:eastAsia="宋体" w:cs="宋体"/>
                <w:b/>
                <w:bCs/>
                <w:sz w:val="18"/>
                <w:szCs w:val="18"/>
              </w:rPr>
              <w:t>执行率</w:t>
            </w:r>
          </w:p>
        </w:tc>
        <w:tc>
          <w:tcPr>
            <w:tcW w:w="720" w:type="dxa"/>
            <w:tcBorders>
              <w:top w:val="nil"/>
              <w:left w:val="nil"/>
              <w:bottom w:val="single" w:color="auto" w:sz="4" w:space="0"/>
              <w:right w:val="single" w:color="auto" w:sz="4" w:space="0"/>
            </w:tcBorders>
            <w:vAlign w:val="center"/>
          </w:tcPr>
          <w:p w14:paraId="755E55F2">
            <w:pPr>
              <w:jc w:val="center"/>
              <w:rPr>
                <w:rFonts w:hint="eastAsia" w:ascii="宋体" w:hAnsi="宋体" w:eastAsia="宋体" w:cs="宋体"/>
                <w:b/>
                <w:bCs/>
                <w:sz w:val="18"/>
                <w:szCs w:val="18"/>
              </w:rPr>
            </w:pPr>
            <w:r>
              <w:rPr>
                <w:rFonts w:hint="eastAsia" w:ascii="宋体" w:hAnsi="宋体" w:eastAsia="宋体" w:cs="宋体"/>
                <w:b/>
                <w:bCs/>
                <w:sz w:val="18"/>
                <w:szCs w:val="18"/>
              </w:rPr>
              <w:t>得分</w:t>
            </w:r>
          </w:p>
        </w:tc>
        <w:tc>
          <w:tcPr>
            <w:tcW w:w="284" w:type="dxa"/>
            <w:tcBorders>
              <w:top w:val="nil"/>
              <w:left w:val="nil"/>
              <w:bottom w:val="nil"/>
              <w:right w:val="nil"/>
            </w:tcBorders>
            <w:noWrap/>
            <w:vAlign w:val="center"/>
          </w:tcPr>
          <w:p w14:paraId="3F1408A5">
            <w:pPr>
              <w:jc w:val="center"/>
              <w:rPr>
                <w:rFonts w:hint="eastAsia" w:ascii="宋体" w:hAnsi="宋体" w:eastAsia="宋体" w:cs="宋体"/>
                <w:b/>
                <w:bCs/>
                <w:sz w:val="18"/>
                <w:szCs w:val="18"/>
              </w:rPr>
            </w:pPr>
          </w:p>
        </w:tc>
      </w:tr>
      <w:tr w14:paraId="1F054AEE">
        <w:tblPrEx>
          <w:tblCellMar>
            <w:top w:w="0" w:type="dxa"/>
            <w:left w:w="108" w:type="dxa"/>
            <w:bottom w:w="0" w:type="dxa"/>
            <w:right w:w="108" w:type="dxa"/>
          </w:tblCellMar>
        </w:tblPrEx>
        <w:trPr>
          <w:cantSplit/>
          <w:trHeight w:val="48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52EC88D9">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noWrap/>
            <w:vAlign w:val="center"/>
          </w:tcPr>
          <w:p w14:paraId="574AC22D">
            <w:pPr>
              <w:jc w:val="center"/>
              <w:rPr>
                <w:rFonts w:hint="eastAsia" w:ascii="宋体" w:hAnsi="宋体" w:eastAsia="宋体" w:cs="宋体"/>
                <w:b/>
                <w:bCs/>
                <w:sz w:val="18"/>
                <w:szCs w:val="18"/>
              </w:rPr>
            </w:pPr>
            <w:r>
              <w:rPr>
                <w:rFonts w:hint="eastAsia" w:ascii="宋体" w:hAnsi="宋体" w:eastAsia="宋体" w:cs="宋体"/>
                <w:b/>
                <w:bCs/>
                <w:sz w:val="18"/>
                <w:szCs w:val="18"/>
              </w:rPr>
              <w:t>上级资金</w:t>
            </w:r>
          </w:p>
        </w:tc>
        <w:tc>
          <w:tcPr>
            <w:tcW w:w="1418" w:type="dxa"/>
            <w:tcBorders>
              <w:top w:val="nil"/>
              <w:left w:val="nil"/>
              <w:bottom w:val="single" w:color="auto" w:sz="4" w:space="0"/>
              <w:right w:val="single" w:color="auto" w:sz="4" w:space="0"/>
            </w:tcBorders>
            <w:vAlign w:val="center"/>
          </w:tcPr>
          <w:p w14:paraId="6A080DEA">
            <w:pPr>
              <w:jc w:val="center"/>
              <w:rPr>
                <w:rFonts w:hint="eastAsia" w:ascii="宋体" w:hAnsi="宋体" w:eastAsia="宋体" w:cs="宋体"/>
                <w:sz w:val="18"/>
                <w:szCs w:val="18"/>
              </w:rPr>
            </w:pPr>
            <w:r>
              <w:rPr>
                <w:rFonts w:hint="eastAsia" w:ascii="宋体" w:hAnsi="宋体" w:eastAsia="宋体" w:cs="宋体"/>
                <w:sz w:val="18"/>
                <w:szCs w:val="18"/>
              </w:rPr>
              <w:t>1,484.96</w:t>
            </w:r>
          </w:p>
        </w:tc>
        <w:tc>
          <w:tcPr>
            <w:tcW w:w="1242" w:type="dxa"/>
            <w:tcBorders>
              <w:top w:val="nil"/>
              <w:left w:val="nil"/>
              <w:bottom w:val="single" w:color="auto" w:sz="4" w:space="0"/>
              <w:right w:val="single" w:color="auto" w:sz="4" w:space="0"/>
            </w:tcBorders>
            <w:vAlign w:val="center"/>
          </w:tcPr>
          <w:p w14:paraId="520AB47B">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417" w:type="dxa"/>
            <w:tcBorders>
              <w:top w:val="nil"/>
              <w:left w:val="nil"/>
              <w:bottom w:val="single" w:color="auto" w:sz="4" w:space="0"/>
              <w:right w:val="single" w:color="auto" w:sz="4" w:space="0"/>
            </w:tcBorders>
            <w:vAlign w:val="center"/>
          </w:tcPr>
          <w:p w14:paraId="7FBAB0CA">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134" w:type="dxa"/>
            <w:tcBorders>
              <w:top w:val="nil"/>
              <w:left w:val="nil"/>
              <w:bottom w:val="single" w:color="auto" w:sz="4" w:space="0"/>
              <w:right w:val="single" w:color="auto" w:sz="4" w:space="0"/>
            </w:tcBorders>
            <w:vAlign w:val="center"/>
          </w:tcPr>
          <w:p w14:paraId="381D3AFB">
            <w:pPr>
              <w:jc w:val="center"/>
              <w:rPr>
                <w:rFonts w:hint="eastAsia" w:ascii="宋体" w:hAnsi="宋体" w:eastAsia="宋体" w:cs="宋体"/>
                <w:sz w:val="18"/>
                <w:szCs w:val="18"/>
              </w:rPr>
            </w:pPr>
            <w:r>
              <w:rPr>
                <w:rFonts w:hint="eastAsia" w:ascii="宋体" w:hAnsi="宋体" w:eastAsia="宋体" w:cs="宋体"/>
                <w:sz w:val="18"/>
                <w:szCs w:val="18"/>
              </w:rPr>
              <w:t>10</w:t>
            </w:r>
          </w:p>
        </w:tc>
        <w:tc>
          <w:tcPr>
            <w:tcW w:w="1310" w:type="dxa"/>
            <w:tcBorders>
              <w:top w:val="nil"/>
              <w:left w:val="nil"/>
              <w:bottom w:val="single" w:color="auto" w:sz="4" w:space="0"/>
              <w:right w:val="single" w:color="auto" w:sz="4" w:space="0"/>
            </w:tcBorders>
            <w:vAlign w:val="center"/>
          </w:tcPr>
          <w:p w14:paraId="546C83ED">
            <w:pPr>
              <w:jc w:val="center"/>
              <w:rPr>
                <w:rFonts w:hint="eastAsia" w:ascii="宋体" w:hAnsi="宋体" w:eastAsia="宋体" w:cs="宋体"/>
                <w:sz w:val="18"/>
                <w:szCs w:val="18"/>
              </w:rPr>
            </w:pPr>
            <w:r>
              <w:rPr>
                <w:rFonts w:hint="eastAsia" w:ascii="宋体" w:hAnsi="宋体" w:eastAsia="宋体" w:cs="宋体"/>
                <w:sz w:val="18"/>
                <w:szCs w:val="18"/>
              </w:rPr>
              <w:t>100%</w:t>
            </w:r>
          </w:p>
        </w:tc>
        <w:tc>
          <w:tcPr>
            <w:tcW w:w="720" w:type="dxa"/>
            <w:tcBorders>
              <w:top w:val="nil"/>
              <w:left w:val="nil"/>
              <w:bottom w:val="single" w:color="auto" w:sz="4" w:space="0"/>
              <w:right w:val="single" w:color="auto" w:sz="4" w:space="0"/>
            </w:tcBorders>
            <w:vAlign w:val="center"/>
          </w:tcPr>
          <w:p w14:paraId="620E05A5">
            <w:pPr>
              <w:jc w:val="center"/>
              <w:rPr>
                <w:rFonts w:hint="eastAsia" w:ascii="宋体" w:hAnsi="宋体" w:eastAsia="宋体" w:cs="宋体"/>
                <w:sz w:val="18"/>
                <w:szCs w:val="18"/>
              </w:rPr>
            </w:pPr>
            <w:r>
              <w:rPr>
                <w:rFonts w:hint="eastAsia" w:ascii="宋体" w:hAnsi="宋体" w:eastAsia="宋体" w:cs="宋体"/>
                <w:sz w:val="18"/>
                <w:szCs w:val="18"/>
              </w:rPr>
              <w:t>10</w:t>
            </w:r>
          </w:p>
        </w:tc>
        <w:tc>
          <w:tcPr>
            <w:tcW w:w="284" w:type="dxa"/>
            <w:tcBorders>
              <w:top w:val="nil"/>
              <w:left w:val="nil"/>
              <w:bottom w:val="nil"/>
              <w:right w:val="nil"/>
            </w:tcBorders>
            <w:noWrap/>
            <w:vAlign w:val="center"/>
          </w:tcPr>
          <w:p w14:paraId="4EFB7005">
            <w:pPr>
              <w:jc w:val="center"/>
              <w:rPr>
                <w:rFonts w:hint="eastAsia" w:ascii="宋体" w:hAnsi="宋体" w:eastAsia="宋体" w:cs="宋体"/>
                <w:b/>
                <w:bCs/>
                <w:sz w:val="18"/>
                <w:szCs w:val="18"/>
              </w:rPr>
            </w:pPr>
          </w:p>
        </w:tc>
      </w:tr>
      <w:tr w14:paraId="0F7A8255">
        <w:tblPrEx>
          <w:tblCellMar>
            <w:top w:w="0" w:type="dxa"/>
            <w:left w:w="108" w:type="dxa"/>
            <w:bottom w:w="0" w:type="dxa"/>
            <w:right w:w="108" w:type="dxa"/>
          </w:tblCellMar>
        </w:tblPrEx>
        <w:trPr>
          <w:cantSplit/>
          <w:trHeight w:val="42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29186182">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276171EC">
            <w:pPr>
              <w:jc w:val="center"/>
              <w:rPr>
                <w:rFonts w:hint="eastAsia" w:ascii="宋体" w:hAnsi="宋体" w:eastAsia="宋体" w:cs="宋体"/>
                <w:b/>
                <w:bCs/>
                <w:sz w:val="18"/>
                <w:szCs w:val="18"/>
              </w:rPr>
            </w:pPr>
            <w:r>
              <w:rPr>
                <w:rFonts w:hint="eastAsia" w:ascii="宋体" w:hAnsi="宋体" w:eastAsia="宋体" w:cs="宋体"/>
                <w:b/>
                <w:bCs/>
                <w:sz w:val="18"/>
                <w:szCs w:val="18"/>
              </w:rPr>
              <w:t>本级资金</w:t>
            </w:r>
          </w:p>
        </w:tc>
        <w:tc>
          <w:tcPr>
            <w:tcW w:w="1418" w:type="dxa"/>
            <w:tcBorders>
              <w:top w:val="nil"/>
              <w:left w:val="nil"/>
              <w:bottom w:val="single" w:color="auto" w:sz="4" w:space="0"/>
              <w:right w:val="single" w:color="auto" w:sz="4" w:space="0"/>
            </w:tcBorders>
            <w:vAlign w:val="center"/>
          </w:tcPr>
          <w:p w14:paraId="605C3F54">
            <w:pPr>
              <w:jc w:val="center"/>
              <w:rPr>
                <w:rFonts w:hint="eastAsia" w:ascii="宋体" w:hAnsi="宋体" w:eastAsia="宋体" w:cs="宋体"/>
                <w:sz w:val="18"/>
                <w:szCs w:val="18"/>
              </w:rPr>
            </w:pPr>
            <w:r>
              <w:rPr>
                <w:rFonts w:hint="eastAsia" w:ascii="宋体" w:hAnsi="宋体" w:eastAsia="宋体" w:cs="宋体"/>
                <w:sz w:val="18"/>
                <w:szCs w:val="18"/>
              </w:rPr>
              <w:t>19,895.50</w:t>
            </w:r>
          </w:p>
        </w:tc>
        <w:tc>
          <w:tcPr>
            <w:tcW w:w="1242" w:type="dxa"/>
            <w:tcBorders>
              <w:top w:val="nil"/>
              <w:left w:val="nil"/>
              <w:bottom w:val="single" w:color="auto" w:sz="4" w:space="0"/>
              <w:right w:val="single" w:color="auto" w:sz="4" w:space="0"/>
            </w:tcBorders>
            <w:vAlign w:val="center"/>
          </w:tcPr>
          <w:p w14:paraId="4DF65620">
            <w:pPr>
              <w:jc w:val="center"/>
              <w:rPr>
                <w:rFonts w:hint="eastAsia" w:ascii="宋体" w:hAnsi="宋体" w:eastAsia="宋体" w:cs="宋体"/>
                <w:sz w:val="18"/>
                <w:szCs w:val="18"/>
              </w:rPr>
            </w:pPr>
            <w:r>
              <w:rPr>
                <w:rFonts w:hint="eastAsia" w:ascii="宋体" w:hAnsi="宋体" w:eastAsia="宋体" w:cs="宋体"/>
                <w:sz w:val="18"/>
                <w:szCs w:val="18"/>
              </w:rPr>
              <w:t>27,394.28</w:t>
            </w:r>
          </w:p>
        </w:tc>
        <w:tc>
          <w:tcPr>
            <w:tcW w:w="1417" w:type="dxa"/>
            <w:tcBorders>
              <w:top w:val="nil"/>
              <w:left w:val="nil"/>
              <w:bottom w:val="single" w:color="auto" w:sz="4" w:space="0"/>
              <w:right w:val="single" w:color="auto" w:sz="4" w:space="0"/>
            </w:tcBorders>
            <w:vAlign w:val="center"/>
          </w:tcPr>
          <w:p w14:paraId="7E52F6F1">
            <w:pPr>
              <w:jc w:val="center"/>
              <w:rPr>
                <w:rFonts w:hint="eastAsia" w:ascii="宋体" w:hAnsi="宋体" w:eastAsia="宋体" w:cs="宋体"/>
                <w:sz w:val="18"/>
                <w:szCs w:val="18"/>
              </w:rPr>
            </w:pPr>
            <w:r>
              <w:rPr>
                <w:rFonts w:hint="eastAsia" w:ascii="宋体" w:hAnsi="宋体" w:eastAsia="宋体" w:cs="宋体"/>
                <w:sz w:val="18"/>
                <w:szCs w:val="18"/>
              </w:rPr>
              <w:t>27,394.28</w:t>
            </w:r>
          </w:p>
        </w:tc>
        <w:tc>
          <w:tcPr>
            <w:tcW w:w="1134" w:type="dxa"/>
            <w:tcBorders>
              <w:top w:val="nil"/>
              <w:left w:val="nil"/>
              <w:bottom w:val="single" w:color="auto" w:sz="4" w:space="0"/>
              <w:right w:val="single" w:color="auto" w:sz="4" w:space="0"/>
            </w:tcBorders>
            <w:vAlign w:val="center"/>
          </w:tcPr>
          <w:p w14:paraId="4FD87C47">
            <w:pPr>
              <w:jc w:val="center"/>
              <w:rPr>
                <w:rFonts w:hint="eastAsia" w:ascii="宋体" w:hAnsi="宋体" w:eastAsia="宋体" w:cs="宋体"/>
                <w:sz w:val="18"/>
                <w:szCs w:val="18"/>
              </w:rPr>
            </w:pPr>
            <w:r>
              <w:rPr>
                <w:rFonts w:hint="eastAsia" w:ascii="宋体" w:hAnsi="宋体" w:eastAsia="宋体"/>
                <w:sz w:val="18"/>
                <w:szCs w:val="18"/>
              </w:rPr>
              <w:t>-</w:t>
            </w:r>
          </w:p>
        </w:tc>
        <w:tc>
          <w:tcPr>
            <w:tcW w:w="1310" w:type="dxa"/>
            <w:tcBorders>
              <w:top w:val="nil"/>
              <w:left w:val="nil"/>
              <w:bottom w:val="single" w:color="auto" w:sz="4" w:space="0"/>
              <w:right w:val="single" w:color="auto" w:sz="4" w:space="0"/>
            </w:tcBorders>
            <w:vAlign w:val="center"/>
          </w:tcPr>
          <w:p w14:paraId="3F248C08">
            <w:pPr>
              <w:jc w:val="center"/>
              <w:rPr>
                <w:rFonts w:hint="eastAsia" w:ascii="宋体" w:hAnsi="宋体" w:eastAsia="宋体" w:cs="宋体"/>
                <w:sz w:val="18"/>
                <w:szCs w:val="18"/>
              </w:rPr>
            </w:pPr>
            <w:r>
              <w:rPr>
                <w:rFonts w:hint="eastAsia" w:ascii="宋体" w:hAnsi="宋体" w:eastAsia="宋体"/>
                <w:sz w:val="18"/>
                <w:szCs w:val="18"/>
              </w:rPr>
              <w:t>-</w:t>
            </w:r>
          </w:p>
        </w:tc>
        <w:tc>
          <w:tcPr>
            <w:tcW w:w="720" w:type="dxa"/>
            <w:tcBorders>
              <w:top w:val="nil"/>
              <w:left w:val="nil"/>
              <w:bottom w:val="single" w:color="auto" w:sz="4" w:space="0"/>
              <w:right w:val="single" w:color="auto" w:sz="4" w:space="0"/>
            </w:tcBorders>
            <w:vAlign w:val="center"/>
          </w:tcPr>
          <w:p w14:paraId="781CD962">
            <w:pPr>
              <w:jc w:val="center"/>
              <w:rPr>
                <w:rFonts w:hint="eastAsia" w:ascii="宋体" w:hAnsi="宋体" w:eastAsia="宋体" w:cs="宋体"/>
                <w:sz w:val="18"/>
                <w:szCs w:val="18"/>
              </w:rPr>
            </w:pPr>
            <w:r>
              <w:rPr>
                <w:rFonts w:hint="eastAsia" w:ascii="宋体" w:hAnsi="宋体" w:eastAsia="宋体"/>
                <w:sz w:val="18"/>
                <w:szCs w:val="18"/>
              </w:rPr>
              <w:t>-</w:t>
            </w:r>
          </w:p>
        </w:tc>
        <w:tc>
          <w:tcPr>
            <w:tcW w:w="284" w:type="dxa"/>
            <w:tcBorders>
              <w:top w:val="nil"/>
              <w:left w:val="nil"/>
              <w:bottom w:val="nil"/>
              <w:right w:val="nil"/>
            </w:tcBorders>
            <w:noWrap/>
            <w:vAlign w:val="center"/>
          </w:tcPr>
          <w:p w14:paraId="05CC7393">
            <w:pPr>
              <w:jc w:val="center"/>
              <w:rPr>
                <w:rFonts w:hint="eastAsia" w:ascii="宋体" w:hAnsi="宋体" w:eastAsia="宋体" w:cs="宋体"/>
                <w:sz w:val="18"/>
                <w:szCs w:val="18"/>
              </w:rPr>
            </w:pPr>
          </w:p>
        </w:tc>
      </w:tr>
      <w:tr w14:paraId="5EF73929">
        <w:tblPrEx>
          <w:tblCellMar>
            <w:top w:w="0" w:type="dxa"/>
            <w:left w:w="108" w:type="dxa"/>
            <w:bottom w:w="0" w:type="dxa"/>
            <w:right w:w="108" w:type="dxa"/>
          </w:tblCellMar>
        </w:tblPrEx>
        <w:trPr>
          <w:cantSplit/>
          <w:trHeight w:val="416"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69E6A5A2">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506D1EE1">
            <w:pPr>
              <w:jc w:val="center"/>
              <w:rPr>
                <w:rFonts w:hint="eastAsia" w:ascii="宋体" w:hAnsi="宋体" w:eastAsia="宋体" w:cs="宋体"/>
                <w:b/>
                <w:bCs/>
                <w:sz w:val="18"/>
                <w:szCs w:val="18"/>
              </w:rPr>
            </w:pPr>
            <w:r>
              <w:rPr>
                <w:rFonts w:hint="eastAsia" w:ascii="宋体" w:hAnsi="宋体" w:eastAsia="宋体" w:cs="宋体"/>
                <w:b/>
                <w:bCs/>
                <w:sz w:val="18"/>
                <w:szCs w:val="18"/>
              </w:rPr>
              <w:t>其他资金</w:t>
            </w:r>
          </w:p>
        </w:tc>
        <w:tc>
          <w:tcPr>
            <w:tcW w:w="1418" w:type="dxa"/>
            <w:tcBorders>
              <w:top w:val="nil"/>
              <w:left w:val="nil"/>
              <w:bottom w:val="single" w:color="auto" w:sz="4" w:space="0"/>
              <w:right w:val="single" w:color="auto" w:sz="4" w:space="0"/>
            </w:tcBorders>
            <w:vAlign w:val="center"/>
          </w:tcPr>
          <w:p w14:paraId="05466E37">
            <w:pPr>
              <w:jc w:val="center"/>
              <w:rPr>
                <w:rFonts w:hint="eastAsia" w:ascii="宋体" w:hAnsi="宋体" w:eastAsia="宋体" w:cs="宋体"/>
                <w:sz w:val="18"/>
                <w:szCs w:val="18"/>
              </w:rPr>
            </w:pPr>
            <w:r>
              <w:rPr>
                <w:rFonts w:hint="eastAsia" w:ascii="宋体" w:hAnsi="宋体" w:eastAsia="宋体" w:cs="宋体"/>
                <w:sz w:val="18"/>
                <w:szCs w:val="18"/>
              </w:rPr>
              <w:t>248.62</w:t>
            </w:r>
          </w:p>
        </w:tc>
        <w:tc>
          <w:tcPr>
            <w:tcW w:w="1242" w:type="dxa"/>
            <w:tcBorders>
              <w:top w:val="nil"/>
              <w:left w:val="nil"/>
              <w:bottom w:val="single" w:color="auto" w:sz="4" w:space="0"/>
              <w:right w:val="single" w:color="auto" w:sz="4" w:space="0"/>
            </w:tcBorders>
            <w:vAlign w:val="center"/>
          </w:tcPr>
          <w:p w14:paraId="79FEEA9A">
            <w:pPr>
              <w:jc w:val="center"/>
              <w:rPr>
                <w:rFonts w:hint="eastAsia" w:ascii="宋体" w:hAnsi="宋体" w:eastAsia="宋体" w:cs="宋体"/>
                <w:sz w:val="18"/>
                <w:szCs w:val="18"/>
              </w:rPr>
            </w:pPr>
            <w:r>
              <w:rPr>
                <w:rFonts w:hint="eastAsia" w:ascii="宋体" w:hAnsi="宋体" w:eastAsia="宋体" w:cs="宋体"/>
                <w:sz w:val="18"/>
                <w:szCs w:val="18"/>
              </w:rPr>
              <w:t>0.82</w:t>
            </w:r>
          </w:p>
        </w:tc>
        <w:tc>
          <w:tcPr>
            <w:tcW w:w="1417" w:type="dxa"/>
            <w:tcBorders>
              <w:top w:val="nil"/>
              <w:left w:val="nil"/>
              <w:bottom w:val="single" w:color="auto" w:sz="4" w:space="0"/>
              <w:right w:val="single" w:color="auto" w:sz="4" w:space="0"/>
            </w:tcBorders>
            <w:vAlign w:val="center"/>
          </w:tcPr>
          <w:p w14:paraId="437AFFBF">
            <w:pPr>
              <w:jc w:val="center"/>
              <w:rPr>
                <w:rFonts w:hint="eastAsia" w:ascii="宋体" w:hAnsi="宋体" w:eastAsia="宋体" w:cs="宋体"/>
                <w:sz w:val="18"/>
                <w:szCs w:val="18"/>
              </w:rPr>
            </w:pPr>
            <w:r>
              <w:rPr>
                <w:rFonts w:hint="eastAsia" w:ascii="宋体" w:hAnsi="宋体" w:eastAsia="宋体" w:cs="宋体"/>
                <w:sz w:val="18"/>
                <w:szCs w:val="18"/>
              </w:rPr>
              <w:t>0.82</w:t>
            </w:r>
          </w:p>
        </w:tc>
        <w:tc>
          <w:tcPr>
            <w:tcW w:w="1134" w:type="dxa"/>
            <w:tcBorders>
              <w:top w:val="nil"/>
              <w:left w:val="nil"/>
              <w:bottom w:val="single" w:color="auto" w:sz="4" w:space="0"/>
              <w:right w:val="single" w:color="auto" w:sz="4" w:space="0"/>
            </w:tcBorders>
            <w:vAlign w:val="center"/>
          </w:tcPr>
          <w:p w14:paraId="60B20825">
            <w:pPr>
              <w:jc w:val="center"/>
              <w:rPr>
                <w:rFonts w:hint="eastAsia" w:ascii="宋体" w:hAnsi="宋体" w:eastAsia="宋体" w:cs="宋体"/>
                <w:sz w:val="18"/>
                <w:szCs w:val="18"/>
              </w:rPr>
            </w:pPr>
            <w:r>
              <w:rPr>
                <w:rFonts w:hint="eastAsia" w:ascii="宋体" w:hAnsi="宋体" w:eastAsia="宋体"/>
                <w:sz w:val="18"/>
                <w:szCs w:val="18"/>
              </w:rPr>
              <w:t>-</w:t>
            </w:r>
          </w:p>
        </w:tc>
        <w:tc>
          <w:tcPr>
            <w:tcW w:w="1310" w:type="dxa"/>
            <w:tcBorders>
              <w:top w:val="nil"/>
              <w:left w:val="nil"/>
              <w:bottom w:val="single" w:color="auto" w:sz="4" w:space="0"/>
              <w:right w:val="single" w:color="auto" w:sz="4" w:space="0"/>
            </w:tcBorders>
            <w:vAlign w:val="center"/>
          </w:tcPr>
          <w:p w14:paraId="28EF5167">
            <w:pPr>
              <w:jc w:val="center"/>
              <w:rPr>
                <w:rFonts w:hint="eastAsia" w:ascii="宋体" w:hAnsi="宋体" w:eastAsia="宋体" w:cs="宋体"/>
                <w:sz w:val="18"/>
                <w:szCs w:val="18"/>
              </w:rPr>
            </w:pPr>
            <w:r>
              <w:rPr>
                <w:rFonts w:hint="eastAsia" w:ascii="宋体" w:hAnsi="宋体" w:eastAsia="宋体"/>
                <w:sz w:val="18"/>
                <w:szCs w:val="18"/>
              </w:rPr>
              <w:t>-</w:t>
            </w:r>
          </w:p>
        </w:tc>
        <w:tc>
          <w:tcPr>
            <w:tcW w:w="720" w:type="dxa"/>
            <w:tcBorders>
              <w:top w:val="nil"/>
              <w:left w:val="nil"/>
              <w:bottom w:val="single" w:color="auto" w:sz="4" w:space="0"/>
              <w:right w:val="single" w:color="auto" w:sz="4" w:space="0"/>
            </w:tcBorders>
            <w:vAlign w:val="center"/>
          </w:tcPr>
          <w:p w14:paraId="0012ADB8">
            <w:pPr>
              <w:jc w:val="center"/>
              <w:rPr>
                <w:rFonts w:hint="eastAsia" w:ascii="宋体" w:hAnsi="宋体" w:eastAsia="宋体" w:cs="宋体"/>
                <w:sz w:val="18"/>
                <w:szCs w:val="18"/>
              </w:rPr>
            </w:pPr>
            <w:r>
              <w:rPr>
                <w:rFonts w:hint="eastAsia" w:ascii="宋体" w:hAnsi="宋体" w:eastAsia="宋体"/>
                <w:sz w:val="18"/>
                <w:szCs w:val="18"/>
              </w:rPr>
              <w:t>-</w:t>
            </w:r>
          </w:p>
        </w:tc>
        <w:tc>
          <w:tcPr>
            <w:tcW w:w="284" w:type="dxa"/>
            <w:tcBorders>
              <w:top w:val="nil"/>
              <w:left w:val="nil"/>
              <w:bottom w:val="nil"/>
              <w:right w:val="nil"/>
            </w:tcBorders>
            <w:noWrap/>
            <w:vAlign w:val="center"/>
          </w:tcPr>
          <w:p w14:paraId="679F2264">
            <w:pPr>
              <w:jc w:val="center"/>
              <w:rPr>
                <w:rFonts w:hint="eastAsia" w:ascii="宋体" w:hAnsi="宋体" w:eastAsia="宋体" w:cs="宋体"/>
                <w:sz w:val="18"/>
                <w:szCs w:val="18"/>
              </w:rPr>
            </w:pPr>
          </w:p>
        </w:tc>
      </w:tr>
      <w:tr w14:paraId="70024EA4">
        <w:tblPrEx>
          <w:tblCellMar>
            <w:top w:w="0" w:type="dxa"/>
            <w:left w:w="108" w:type="dxa"/>
            <w:bottom w:w="0" w:type="dxa"/>
            <w:right w:w="108" w:type="dxa"/>
          </w:tblCellMar>
        </w:tblPrEx>
        <w:trPr>
          <w:cantSplit/>
          <w:trHeight w:val="41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4D58B169">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5E9AE8FA">
            <w:pPr>
              <w:jc w:val="center"/>
              <w:rPr>
                <w:rFonts w:hint="eastAsia" w:ascii="宋体" w:hAnsi="宋体" w:eastAsia="宋体" w:cs="宋体"/>
                <w:b/>
                <w:bCs/>
                <w:sz w:val="18"/>
                <w:szCs w:val="18"/>
              </w:rPr>
            </w:pPr>
            <w:r>
              <w:rPr>
                <w:rFonts w:hint="eastAsia" w:ascii="宋体" w:hAnsi="宋体" w:eastAsia="宋体" w:cs="宋体"/>
                <w:b/>
                <w:bCs/>
                <w:sz w:val="18"/>
                <w:szCs w:val="18"/>
              </w:rPr>
              <w:t>合计</w:t>
            </w:r>
          </w:p>
        </w:tc>
        <w:tc>
          <w:tcPr>
            <w:tcW w:w="1418" w:type="dxa"/>
            <w:tcBorders>
              <w:top w:val="nil"/>
              <w:left w:val="nil"/>
              <w:bottom w:val="single" w:color="auto" w:sz="4" w:space="0"/>
              <w:right w:val="single" w:color="auto" w:sz="4" w:space="0"/>
            </w:tcBorders>
            <w:vAlign w:val="center"/>
          </w:tcPr>
          <w:p w14:paraId="77E8A4DF">
            <w:pPr>
              <w:jc w:val="center"/>
              <w:rPr>
                <w:rFonts w:hint="eastAsia" w:ascii="宋体" w:hAnsi="宋体" w:eastAsia="宋体" w:cs="宋体"/>
                <w:sz w:val="18"/>
                <w:szCs w:val="18"/>
              </w:rPr>
            </w:pPr>
            <w:r>
              <w:rPr>
                <w:rFonts w:hint="eastAsia" w:ascii="宋体" w:hAnsi="宋体" w:eastAsia="宋体" w:cs="宋体"/>
                <w:sz w:val="18"/>
                <w:szCs w:val="18"/>
              </w:rPr>
              <w:t>21,629.08</w:t>
            </w:r>
          </w:p>
        </w:tc>
        <w:tc>
          <w:tcPr>
            <w:tcW w:w="1242" w:type="dxa"/>
            <w:tcBorders>
              <w:top w:val="nil"/>
              <w:left w:val="nil"/>
              <w:bottom w:val="single" w:color="auto" w:sz="4" w:space="0"/>
              <w:right w:val="single" w:color="auto" w:sz="4" w:space="0"/>
            </w:tcBorders>
            <w:vAlign w:val="center"/>
          </w:tcPr>
          <w:p w14:paraId="3309E7FD">
            <w:pPr>
              <w:jc w:val="center"/>
              <w:rPr>
                <w:rFonts w:hint="eastAsia" w:ascii="宋体" w:hAnsi="宋体" w:eastAsia="宋体" w:cs="宋体"/>
                <w:sz w:val="18"/>
                <w:szCs w:val="18"/>
              </w:rPr>
            </w:pPr>
            <w:bookmarkStart w:id="1" w:name="_Hlk209107449"/>
            <w:r>
              <w:rPr>
                <w:rFonts w:hint="eastAsia" w:ascii="宋体" w:hAnsi="宋体" w:eastAsia="宋体" w:cs="宋体"/>
                <w:sz w:val="18"/>
                <w:szCs w:val="18"/>
              </w:rPr>
              <w:t>27,395.10</w:t>
            </w:r>
            <w:bookmarkEnd w:id="1"/>
          </w:p>
        </w:tc>
        <w:tc>
          <w:tcPr>
            <w:tcW w:w="1417" w:type="dxa"/>
            <w:tcBorders>
              <w:top w:val="nil"/>
              <w:left w:val="nil"/>
              <w:bottom w:val="single" w:color="auto" w:sz="4" w:space="0"/>
              <w:right w:val="single" w:color="auto" w:sz="4" w:space="0"/>
            </w:tcBorders>
            <w:vAlign w:val="center"/>
          </w:tcPr>
          <w:p w14:paraId="1E159AD2">
            <w:pPr>
              <w:jc w:val="center"/>
              <w:rPr>
                <w:rFonts w:hint="eastAsia" w:ascii="宋体" w:hAnsi="宋体" w:eastAsia="宋体" w:cs="宋体"/>
                <w:sz w:val="18"/>
                <w:szCs w:val="18"/>
              </w:rPr>
            </w:pPr>
            <w:r>
              <w:rPr>
                <w:rFonts w:hint="eastAsia" w:ascii="宋体" w:hAnsi="宋体" w:eastAsia="宋体" w:cs="宋体"/>
                <w:sz w:val="18"/>
                <w:szCs w:val="18"/>
              </w:rPr>
              <w:t>27,395.10</w:t>
            </w:r>
          </w:p>
        </w:tc>
        <w:tc>
          <w:tcPr>
            <w:tcW w:w="1134" w:type="dxa"/>
            <w:tcBorders>
              <w:top w:val="nil"/>
              <w:left w:val="nil"/>
              <w:bottom w:val="single" w:color="auto" w:sz="4" w:space="0"/>
              <w:right w:val="single" w:color="auto" w:sz="4" w:space="0"/>
            </w:tcBorders>
            <w:vAlign w:val="center"/>
          </w:tcPr>
          <w:p w14:paraId="3DE12FD3">
            <w:pPr>
              <w:jc w:val="center"/>
              <w:rPr>
                <w:rFonts w:hint="eastAsia" w:ascii="宋体" w:hAnsi="宋体" w:eastAsia="宋体" w:cs="宋体"/>
                <w:sz w:val="18"/>
                <w:szCs w:val="18"/>
              </w:rPr>
            </w:pPr>
            <w:r>
              <w:rPr>
                <w:rFonts w:hint="eastAsia" w:ascii="宋体" w:hAnsi="宋体" w:eastAsia="宋体" w:cs="宋体"/>
                <w:sz w:val="18"/>
                <w:szCs w:val="18"/>
              </w:rPr>
              <w:t>-</w:t>
            </w:r>
          </w:p>
        </w:tc>
        <w:tc>
          <w:tcPr>
            <w:tcW w:w="1310" w:type="dxa"/>
            <w:tcBorders>
              <w:top w:val="nil"/>
              <w:left w:val="nil"/>
              <w:bottom w:val="single" w:color="auto" w:sz="4" w:space="0"/>
              <w:right w:val="single" w:color="auto" w:sz="4" w:space="0"/>
            </w:tcBorders>
            <w:vAlign w:val="center"/>
          </w:tcPr>
          <w:p w14:paraId="02F47AB6">
            <w:pPr>
              <w:jc w:val="center"/>
              <w:rPr>
                <w:rFonts w:hint="eastAsia" w:ascii="宋体" w:hAnsi="宋体" w:eastAsia="宋体" w:cs="宋体"/>
                <w:sz w:val="18"/>
                <w:szCs w:val="18"/>
              </w:rPr>
            </w:pPr>
            <w:r>
              <w:rPr>
                <w:rFonts w:hint="eastAsia" w:ascii="宋体" w:hAnsi="宋体" w:eastAsia="宋体" w:cs="宋体"/>
                <w:sz w:val="18"/>
                <w:szCs w:val="18"/>
              </w:rPr>
              <w:t>-</w:t>
            </w:r>
          </w:p>
        </w:tc>
        <w:tc>
          <w:tcPr>
            <w:tcW w:w="720" w:type="dxa"/>
            <w:tcBorders>
              <w:top w:val="nil"/>
              <w:left w:val="nil"/>
              <w:bottom w:val="single" w:color="auto" w:sz="4" w:space="0"/>
              <w:right w:val="single" w:color="auto" w:sz="4" w:space="0"/>
            </w:tcBorders>
            <w:vAlign w:val="center"/>
          </w:tcPr>
          <w:p w14:paraId="78144F69">
            <w:pPr>
              <w:jc w:val="center"/>
              <w:rPr>
                <w:rFonts w:hint="eastAsia" w:ascii="宋体" w:hAnsi="宋体" w:eastAsia="宋体" w:cs="宋体"/>
                <w:sz w:val="18"/>
                <w:szCs w:val="18"/>
              </w:rPr>
            </w:pPr>
            <w:r>
              <w:rPr>
                <w:rFonts w:hint="eastAsia" w:ascii="宋体" w:hAnsi="宋体" w:eastAsia="宋体" w:cs="宋体"/>
                <w:sz w:val="18"/>
                <w:szCs w:val="18"/>
              </w:rPr>
              <w:t>-</w:t>
            </w:r>
          </w:p>
        </w:tc>
        <w:tc>
          <w:tcPr>
            <w:tcW w:w="284" w:type="dxa"/>
            <w:tcBorders>
              <w:top w:val="nil"/>
              <w:left w:val="nil"/>
              <w:bottom w:val="nil"/>
              <w:right w:val="nil"/>
            </w:tcBorders>
            <w:noWrap/>
            <w:vAlign w:val="center"/>
          </w:tcPr>
          <w:p w14:paraId="3E37714C">
            <w:pPr>
              <w:jc w:val="center"/>
              <w:rPr>
                <w:rFonts w:hint="eastAsia" w:ascii="宋体" w:hAnsi="宋体" w:eastAsia="宋体" w:cs="宋体"/>
                <w:sz w:val="18"/>
                <w:szCs w:val="18"/>
              </w:rPr>
            </w:pPr>
          </w:p>
        </w:tc>
      </w:tr>
      <w:tr w14:paraId="684898A2">
        <w:tblPrEx>
          <w:tblCellMar>
            <w:top w:w="0" w:type="dxa"/>
            <w:left w:w="108" w:type="dxa"/>
            <w:bottom w:w="0" w:type="dxa"/>
            <w:right w:w="108" w:type="dxa"/>
          </w:tblCellMar>
        </w:tblPrEx>
        <w:trPr>
          <w:cantSplit/>
          <w:trHeight w:val="341"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238FE836">
            <w:pPr>
              <w:jc w:val="center"/>
              <w:rPr>
                <w:rFonts w:hint="eastAsia" w:ascii="宋体" w:hAnsi="宋体" w:eastAsia="宋体" w:cs="宋体"/>
                <w:b/>
                <w:bCs/>
                <w:sz w:val="18"/>
                <w:szCs w:val="18"/>
              </w:rPr>
            </w:pPr>
            <w:r>
              <w:rPr>
                <w:rFonts w:hint="eastAsia" w:ascii="宋体" w:hAnsi="宋体" w:eastAsia="宋体" w:cs="宋体"/>
                <w:b/>
                <w:bCs/>
                <w:sz w:val="18"/>
                <w:szCs w:val="18"/>
              </w:rPr>
              <w:t>年度总体目标</w:t>
            </w:r>
          </w:p>
        </w:tc>
        <w:tc>
          <w:tcPr>
            <w:tcW w:w="4077" w:type="dxa"/>
            <w:gridSpan w:val="3"/>
            <w:tcBorders>
              <w:top w:val="single" w:color="auto" w:sz="4" w:space="0"/>
              <w:left w:val="nil"/>
              <w:bottom w:val="single" w:color="auto" w:sz="4" w:space="0"/>
              <w:right w:val="single" w:color="auto" w:sz="4" w:space="0"/>
            </w:tcBorders>
            <w:noWrap/>
            <w:vAlign w:val="center"/>
          </w:tcPr>
          <w:p w14:paraId="62CC1231">
            <w:pPr>
              <w:jc w:val="center"/>
              <w:rPr>
                <w:rFonts w:hint="eastAsia" w:ascii="宋体" w:hAnsi="宋体" w:eastAsia="宋体" w:cs="宋体"/>
                <w:b/>
                <w:bCs/>
                <w:sz w:val="18"/>
                <w:szCs w:val="18"/>
              </w:rPr>
            </w:pPr>
            <w:r>
              <w:rPr>
                <w:rFonts w:hint="eastAsia" w:ascii="宋体" w:hAnsi="宋体" w:eastAsia="宋体" w:cs="宋体"/>
                <w:b/>
                <w:bCs/>
                <w:sz w:val="18"/>
                <w:szCs w:val="18"/>
              </w:rPr>
              <w:t>预期目标</w:t>
            </w:r>
          </w:p>
        </w:tc>
        <w:tc>
          <w:tcPr>
            <w:tcW w:w="4581" w:type="dxa"/>
            <w:gridSpan w:val="4"/>
            <w:tcBorders>
              <w:top w:val="single" w:color="auto" w:sz="4" w:space="0"/>
              <w:left w:val="nil"/>
              <w:bottom w:val="single" w:color="auto" w:sz="4" w:space="0"/>
              <w:right w:val="single" w:color="auto" w:sz="4" w:space="0"/>
            </w:tcBorders>
            <w:noWrap/>
            <w:vAlign w:val="center"/>
          </w:tcPr>
          <w:p w14:paraId="49E2D2F1">
            <w:pPr>
              <w:jc w:val="center"/>
              <w:rPr>
                <w:rFonts w:hint="eastAsia" w:ascii="宋体" w:hAnsi="宋体" w:eastAsia="宋体" w:cs="宋体"/>
                <w:b/>
                <w:bCs/>
                <w:sz w:val="18"/>
                <w:szCs w:val="18"/>
              </w:rPr>
            </w:pPr>
            <w:r>
              <w:rPr>
                <w:rFonts w:hint="eastAsia" w:ascii="宋体" w:hAnsi="宋体" w:eastAsia="宋体" w:cs="宋体"/>
                <w:b/>
                <w:bCs/>
                <w:sz w:val="18"/>
                <w:szCs w:val="18"/>
              </w:rPr>
              <w:t>实际完成情况</w:t>
            </w:r>
          </w:p>
        </w:tc>
        <w:tc>
          <w:tcPr>
            <w:tcW w:w="284" w:type="dxa"/>
            <w:tcBorders>
              <w:top w:val="nil"/>
              <w:left w:val="nil"/>
              <w:bottom w:val="nil"/>
              <w:right w:val="nil"/>
            </w:tcBorders>
            <w:noWrap/>
            <w:vAlign w:val="center"/>
          </w:tcPr>
          <w:p w14:paraId="1DC34C08">
            <w:pPr>
              <w:rPr>
                <w:rFonts w:hint="eastAsia" w:ascii="宋体" w:hAnsi="宋体" w:eastAsia="宋体" w:cs="宋体"/>
                <w:b/>
                <w:bCs/>
                <w:sz w:val="18"/>
                <w:szCs w:val="18"/>
              </w:rPr>
            </w:pPr>
          </w:p>
        </w:tc>
      </w:tr>
      <w:tr w14:paraId="277C40F2">
        <w:tblPrEx>
          <w:tblCellMar>
            <w:top w:w="0" w:type="dxa"/>
            <w:left w:w="108" w:type="dxa"/>
            <w:bottom w:w="0" w:type="dxa"/>
            <w:right w:w="108" w:type="dxa"/>
          </w:tblCellMar>
        </w:tblPrEx>
        <w:trPr>
          <w:cantSplit/>
          <w:trHeight w:val="70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441474DD">
            <w:pPr>
              <w:rPr>
                <w:rFonts w:hint="eastAsia" w:ascii="宋体" w:hAnsi="宋体" w:eastAsia="宋体" w:cs="宋体"/>
                <w:b/>
                <w:bCs/>
                <w:sz w:val="18"/>
                <w:szCs w:val="18"/>
              </w:rPr>
            </w:pPr>
          </w:p>
        </w:tc>
        <w:tc>
          <w:tcPr>
            <w:tcW w:w="4077" w:type="dxa"/>
            <w:gridSpan w:val="3"/>
            <w:tcBorders>
              <w:top w:val="single" w:color="auto" w:sz="4" w:space="0"/>
              <w:left w:val="nil"/>
              <w:bottom w:val="single" w:color="auto" w:sz="4" w:space="0"/>
              <w:right w:val="single" w:color="auto" w:sz="4" w:space="0"/>
            </w:tcBorders>
          </w:tcPr>
          <w:p w14:paraId="5FD41F58">
            <w:pPr>
              <w:rPr>
                <w:rFonts w:hint="eastAsia" w:ascii="宋体" w:hAnsi="宋体" w:eastAsia="宋体" w:cs="宋体"/>
                <w:sz w:val="18"/>
                <w:szCs w:val="18"/>
                <w:lang w:eastAsia="zh-CN"/>
              </w:rPr>
            </w:pPr>
            <w:r>
              <w:rPr>
                <w:rFonts w:hint="eastAsia" w:ascii="宋体" w:hAnsi="宋体" w:eastAsia="宋体" w:cs="宋体"/>
                <w:sz w:val="18"/>
                <w:szCs w:val="18"/>
                <w:lang w:eastAsia="zh-CN"/>
              </w:rPr>
              <w:t>目标1：坚决捍卫整治</w:t>
            </w:r>
            <w:bookmarkStart w:id="3" w:name="_GoBack"/>
            <w:bookmarkEnd w:id="3"/>
            <w:r>
              <w:rPr>
                <w:rFonts w:hint="eastAsia" w:ascii="宋体" w:hAnsi="宋体" w:eastAsia="宋体" w:cs="宋体"/>
                <w:sz w:val="18"/>
                <w:szCs w:val="18"/>
                <w:lang w:eastAsia="zh-CN"/>
              </w:rPr>
              <w:t>安全，依法打击各类违法犯罪行为，确保整治大局和社会治安稳定，组织实施重大活动安全保卫工作，为经济发展打造良好社会环境；目标2：保证全局民、辅警工资、五险一金及时发放。目标3：保障水、电、暖、电话费、办公费、办案差旅费等运转类经费及时发放，保障全局工作的正常运行。</w:t>
            </w:r>
          </w:p>
        </w:tc>
        <w:tc>
          <w:tcPr>
            <w:tcW w:w="4581" w:type="dxa"/>
            <w:gridSpan w:val="4"/>
            <w:tcBorders>
              <w:top w:val="single" w:color="auto" w:sz="4" w:space="0"/>
              <w:left w:val="nil"/>
              <w:bottom w:val="single" w:color="auto" w:sz="4" w:space="0"/>
              <w:right w:val="single" w:color="auto" w:sz="4" w:space="0"/>
            </w:tcBorders>
          </w:tcPr>
          <w:p w14:paraId="67C363BC">
            <w:pPr>
              <w:rPr>
                <w:rFonts w:hint="eastAsia" w:ascii="宋体" w:hAnsi="宋体" w:eastAsia="宋体" w:cs="宋体"/>
                <w:sz w:val="18"/>
                <w:szCs w:val="18"/>
                <w:lang w:eastAsia="zh-CN"/>
              </w:rPr>
            </w:pPr>
            <w:r>
              <w:rPr>
                <w:rFonts w:hint="eastAsia" w:ascii="宋体" w:hAnsi="宋体" w:eastAsia="宋体" w:cs="宋体"/>
                <w:sz w:val="18"/>
                <w:szCs w:val="18"/>
                <w:lang w:eastAsia="zh-CN"/>
              </w:rPr>
              <w:t>截止2024年底，我单位全年预算数27395.1万元，执行数27395.1万元，执行率100%，本年完成了拨缴全局民、辅警的工资、五险一金，发放离退休人员交通费、独生子女奖励金、遗属生活费，保障全局的水、电暖费、办公费、培训费、差旅费、被装购置等正常业务开展所需费用，开展警务技能培训，严格按合同规定工程进度进行工程款项的拨付，确保县局基础设施建设高质量高效率完工,截止2024年底，开展反诈宣传活动次数700次，破案率70%，违法犯罪嫌疑人基础信息采集率100%，提升街面见警率，震慑违法犯罪，降低发案率,以上工作已全部完成。</w:t>
            </w:r>
          </w:p>
        </w:tc>
        <w:tc>
          <w:tcPr>
            <w:tcW w:w="284" w:type="dxa"/>
            <w:tcBorders>
              <w:top w:val="nil"/>
              <w:left w:val="nil"/>
              <w:bottom w:val="nil"/>
              <w:right w:val="nil"/>
            </w:tcBorders>
            <w:noWrap/>
            <w:vAlign w:val="center"/>
          </w:tcPr>
          <w:p w14:paraId="4DD60B4C">
            <w:pPr>
              <w:rPr>
                <w:rFonts w:hint="eastAsia" w:ascii="宋体" w:hAnsi="宋体" w:eastAsia="宋体" w:cs="宋体"/>
                <w:sz w:val="18"/>
                <w:szCs w:val="18"/>
                <w:lang w:eastAsia="zh-CN"/>
              </w:rPr>
            </w:pPr>
          </w:p>
        </w:tc>
      </w:tr>
      <w:tr w14:paraId="528BCA1C">
        <w:tblPrEx>
          <w:tblCellMar>
            <w:top w:w="0" w:type="dxa"/>
            <w:left w:w="108" w:type="dxa"/>
            <w:bottom w:w="0" w:type="dxa"/>
            <w:right w:w="108" w:type="dxa"/>
          </w:tblCellMar>
        </w:tblPrEx>
        <w:trPr>
          <w:cantSplit/>
          <w:trHeight w:val="716" w:hRule="atLeast"/>
        </w:trPr>
        <w:tc>
          <w:tcPr>
            <w:tcW w:w="993" w:type="dxa"/>
            <w:tcBorders>
              <w:top w:val="single" w:color="auto" w:sz="4" w:space="0"/>
              <w:left w:val="single" w:color="auto" w:sz="4" w:space="0"/>
              <w:bottom w:val="single" w:color="auto" w:sz="4" w:space="0"/>
              <w:right w:val="single" w:color="auto" w:sz="4" w:space="0"/>
            </w:tcBorders>
            <w:vAlign w:val="center"/>
          </w:tcPr>
          <w:p w14:paraId="64D451B0">
            <w:pPr>
              <w:jc w:val="center"/>
              <w:rPr>
                <w:rFonts w:hint="eastAsia" w:ascii="宋体" w:hAnsi="宋体" w:eastAsia="宋体" w:cs="宋体"/>
                <w:b/>
                <w:bCs/>
                <w:sz w:val="18"/>
                <w:szCs w:val="18"/>
              </w:rPr>
            </w:pPr>
            <w:r>
              <w:rPr>
                <w:rFonts w:hint="eastAsia" w:ascii="宋体" w:hAnsi="宋体" w:eastAsia="宋体" w:cs="宋体"/>
                <w:b/>
                <w:bCs/>
                <w:sz w:val="18"/>
                <w:szCs w:val="18"/>
              </w:rPr>
              <w:t>一级指标</w:t>
            </w:r>
          </w:p>
        </w:tc>
        <w:tc>
          <w:tcPr>
            <w:tcW w:w="1417" w:type="dxa"/>
            <w:tcBorders>
              <w:top w:val="nil"/>
              <w:left w:val="nil"/>
              <w:bottom w:val="single" w:color="auto" w:sz="4" w:space="0"/>
              <w:right w:val="single" w:color="auto" w:sz="4" w:space="0"/>
            </w:tcBorders>
            <w:vAlign w:val="center"/>
          </w:tcPr>
          <w:p w14:paraId="404EBB9B">
            <w:pPr>
              <w:jc w:val="center"/>
              <w:rPr>
                <w:rFonts w:hint="eastAsia" w:ascii="宋体" w:hAnsi="宋体" w:eastAsia="宋体" w:cs="宋体"/>
                <w:b/>
                <w:bCs/>
                <w:sz w:val="18"/>
                <w:szCs w:val="18"/>
              </w:rPr>
            </w:pPr>
            <w:r>
              <w:rPr>
                <w:rFonts w:hint="eastAsia" w:ascii="宋体" w:hAnsi="宋体" w:eastAsia="宋体" w:cs="宋体"/>
                <w:b/>
                <w:bCs/>
                <w:sz w:val="18"/>
                <w:szCs w:val="18"/>
              </w:rPr>
              <w:t>二级指标</w:t>
            </w:r>
          </w:p>
        </w:tc>
        <w:tc>
          <w:tcPr>
            <w:tcW w:w="1418" w:type="dxa"/>
            <w:tcBorders>
              <w:top w:val="nil"/>
              <w:left w:val="nil"/>
              <w:bottom w:val="single" w:color="auto" w:sz="4" w:space="0"/>
              <w:right w:val="single" w:color="auto" w:sz="4" w:space="0"/>
            </w:tcBorders>
            <w:vAlign w:val="center"/>
          </w:tcPr>
          <w:p w14:paraId="27800E04">
            <w:pPr>
              <w:jc w:val="center"/>
              <w:rPr>
                <w:rFonts w:hint="eastAsia" w:ascii="宋体" w:hAnsi="宋体" w:eastAsia="宋体" w:cs="宋体"/>
                <w:b/>
                <w:bCs/>
                <w:sz w:val="18"/>
                <w:szCs w:val="18"/>
              </w:rPr>
            </w:pPr>
            <w:r>
              <w:rPr>
                <w:rFonts w:hint="eastAsia" w:ascii="宋体" w:hAnsi="宋体" w:eastAsia="宋体" w:cs="宋体"/>
                <w:b/>
                <w:bCs/>
                <w:sz w:val="18"/>
                <w:szCs w:val="18"/>
              </w:rPr>
              <w:t>三级指标</w:t>
            </w:r>
          </w:p>
        </w:tc>
        <w:tc>
          <w:tcPr>
            <w:tcW w:w="1242" w:type="dxa"/>
            <w:tcBorders>
              <w:top w:val="nil"/>
              <w:left w:val="nil"/>
              <w:bottom w:val="single" w:color="auto" w:sz="4" w:space="0"/>
              <w:right w:val="single" w:color="auto" w:sz="4" w:space="0"/>
            </w:tcBorders>
            <w:vAlign w:val="center"/>
          </w:tcPr>
          <w:p w14:paraId="76A667B9">
            <w:pPr>
              <w:jc w:val="center"/>
              <w:rPr>
                <w:rFonts w:hint="eastAsia" w:ascii="宋体" w:hAnsi="宋体" w:eastAsia="宋体" w:cs="宋体"/>
                <w:b/>
                <w:bCs/>
                <w:sz w:val="18"/>
                <w:szCs w:val="18"/>
              </w:rPr>
            </w:pPr>
            <w:r>
              <w:rPr>
                <w:rFonts w:hint="eastAsia" w:ascii="宋体" w:hAnsi="宋体" w:eastAsia="宋体" w:cs="宋体"/>
                <w:b/>
                <w:bCs/>
                <w:sz w:val="18"/>
                <w:szCs w:val="18"/>
              </w:rPr>
              <w:t>预期指标值</w:t>
            </w:r>
          </w:p>
        </w:tc>
        <w:tc>
          <w:tcPr>
            <w:tcW w:w="1417" w:type="dxa"/>
            <w:tcBorders>
              <w:top w:val="nil"/>
              <w:left w:val="nil"/>
              <w:bottom w:val="single" w:color="auto" w:sz="4" w:space="0"/>
              <w:right w:val="single" w:color="auto" w:sz="4" w:space="0"/>
            </w:tcBorders>
            <w:vAlign w:val="center"/>
          </w:tcPr>
          <w:p w14:paraId="68E60DDB">
            <w:pPr>
              <w:jc w:val="center"/>
              <w:rPr>
                <w:rFonts w:hint="eastAsia" w:ascii="宋体" w:hAnsi="宋体" w:eastAsia="宋体" w:cs="宋体"/>
                <w:b/>
                <w:bCs/>
                <w:sz w:val="18"/>
                <w:szCs w:val="18"/>
              </w:rPr>
            </w:pPr>
            <w:r>
              <w:rPr>
                <w:rFonts w:hint="eastAsia" w:ascii="宋体" w:hAnsi="宋体" w:eastAsia="宋体" w:cs="宋体"/>
                <w:b/>
                <w:bCs/>
                <w:sz w:val="18"/>
                <w:szCs w:val="18"/>
              </w:rPr>
              <w:t>指标值设定依据</w:t>
            </w:r>
          </w:p>
        </w:tc>
        <w:tc>
          <w:tcPr>
            <w:tcW w:w="1134" w:type="dxa"/>
            <w:tcBorders>
              <w:top w:val="nil"/>
              <w:left w:val="nil"/>
              <w:bottom w:val="single" w:color="auto" w:sz="4" w:space="0"/>
              <w:right w:val="single" w:color="auto" w:sz="4" w:space="0"/>
            </w:tcBorders>
            <w:vAlign w:val="center"/>
          </w:tcPr>
          <w:p w14:paraId="5CAE68E4">
            <w:pPr>
              <w:jc w:val="center"/>
              <w:rPr>
                <w:rFonts w:hint="eastAsia" w:ascii="宋体" w:hAnsi="宋体" w:eastAsia="宋体" w:cs="宋体"/>
                <w:b/>
                <w:bCs/>
                <w:sz w:val="18"/>
                <w:szCs w:val="18"/>
              </w:rPr>
            </w:pPr>
            <w:r>
              <w:rPr>
                <w:rFonts w:hint="eastAsia" w:ascii="宋体" w:hAnsi="宋体" w:eastAsia="宋体" w:cs="宋体"/>
                <w:b/>
                <w:bCs/>
                <w:sz w:val="18"/>
                <w:szCs w:val="18"/>
              </w:rPr>
              <w:t>分值权重</w:t>
            </w:r>
          </w:p>
        </w:tc>
        <w:tc>
          <w:tcPr>
            <w:tcW w:w="1310" w:type="dxa"/>
            <w:tcBorders>
              <w:top w:val="nil"/>
              <w:left w:val="nil"/>
              <w:bottom w:val="single" w:color="auto" w:sz="4" w:space="0"/>
              <w:right w:val="single" w:color="auto" w:sz="4" w:space="0"/>
            </w:tcBorders>
            <w:vAlign w:val="center"/>
          </w:tcPr>
          <w:p w14:paraId="29FAE6F8">
            <w:pPr>
              <w:jc w:val="center"/>
              <w:rPr>
                <w:rFonts w:hint="eastAsia" w:ascii="宋体" w:hAnsi="宋体" w:eastAsia="宋体" w:cs="宋体"/>
                <w:b/>
                <w:bCs/>
                <w:sz w:val="18"/>
                <w:szCs w:val="18"/>
              </w:rPr>
            </w:pPr>
            <w:r>
              <w:rPr>
                <w:rFonts w:hint="eastAsia" w:ascii="宋体" w:hAnsi="宋体" w:eastAsia="宋体" w:cs="宋体"/>
                <w:b/>
                <w:bCs/>
                <w:sz w:val="18"/>
                <w:szCs w:val="18"/>
              </w:rPr>
              <w:t>实际完成指标值</w:t>
            </w:r>
          </w:p>
        </w:tc>
        <w:tc>
          <w:tcPr>
            <w:tcW w:w="720" w:type="dxa"/>
            <w:tcBorders>
              <w:top w:val="nil"/>
              <w:left w:val="nil"/>
              <w:bottom w:val="single" w:color="auto" w:sz="4" w:space="0"/>
              <w:right w:val="single" w:color="auto" w:sz="4" w:space="0"/>
            </w:tcBorders>
            <w:vAlign w:val="center"/>
          </w:tcPr>
          <w:p w14:paraId="197B8067">
            <w:pPr>
              <w:jc w:val="center"/>
              <w:rPr>
                <w:rFonts w:hint="eastAsia" w:ascii="宋体" w:hAnsi="宋体" w:eastAsia="宋体" w:cs="宋体"/>
                <w:b/>
                <w:bCs/>
                <w:sz w:val="18"/>
                <w:szCs w:val="18"/>
              </w:rPr>
            </w:pPr>
            <w:r>
              <w:rPr>
                <w:rFonts w:hint="eastAsia" w:ascii="宋体" w:hAnsi="宋体" w:eastAsia="宋体" w:cs="宋体"/>
                <w:b/>
                <w:bCs/>
                <w:sz w:val="18"/>
                <w:szCs w:val="18"/>
              </w:rPr>
              <w:t>得分</w:t>
            </w:r>
          </w:p>
        </w:tc>
        <w:tc>
          <w:tcPr>
            <w:tcW w:w="284" w:type="dxa"/>
            <w:tcBorders>
              <w:top w:val="nil"/>
              <w:left w:val="nil"/>
              <w:bottom w:val="nil"/>
              <w:right w:val="nil"/>
            </w:tcBorders>
            <w:noWrap/>
            <w:vAlign w:val="center"/>
          </w:tcPr>
          <w:p w14:paraId="31F9ADC2">
            <w:pPr>
              <w:rPr>
                <w:rFonts w:hint="eastAsia" w:ascii="宋体" w:hAnsi="宋体" w:eastAsia="宋体" w:cs="宋体"/>
                <w:b/>
                <w:bCs/>
                <w:sz w:val="18"/>
                <w:szCs w:val="18"/>
              </w:rPr>
            </w:pPr>
          </w:p>
        </w:tc>
      </w:tr>
      <w:tr w14:paraId="40315C74">
        <w:tblPrEx>
          <w:tblCellMar>
            <w:top w:w="0" w:type="dxa"/>
            <w:left w:w="108" w:type="dxa"/>
            <w:bottom w:w="0" w:type="dxa"/>
            <w:right w:w="108" w:type="dxa"/>
          </w:tblCellMar>
        </w:tblPrEx>
        <w:trPr>
          <w:cantSplit/>
          <w:trHeight w:val="740" w:hRule="atLeast"/>
        </w:trPr>
        <w:tc>
          <w:tcPr>
            <w:tcW w:w="993" w:type="dxa"/>
            <w:vMerge w:val="restart"/>
            <w:tcBorders>
              <w:top w:val="single" w:color="auto" w:sz="4" w:space="0"/>
              <w:left w:val="single" w:color="auto" w:sz="4" w:space="0"/>
              <w:right w:val="single" w:color="auto" w:sz="4" w:space="0"/>
            </w:tcBorders>
            <w:noWrap/>
            <w:vAlign w:val="center"/>
          </w:tcPr>
          <w:p w14:paraId="57D57DD2">
            <w:pPr>
              <w:jc w:val="center"/>
              <w:rPr>
                <w:rFonts w:hint="eastAsia" w:ascii="宋体" w:hAnsi="宋体" w:eastAsia="宋体" w:cs="宋体"/>
                <w:sz w:val="18"/>
                <w:szCs w:val="18"/>
              </w:rPr>
            </w:pPr>
            <w:r>
              <w:rPr>
                <w:rFonts w:hint="eastAsia" w:ascii="宋体" w:hAnsi="宋体" w:eastAsia="宋体" w:cs="宋体"/>
                <w:sz w:val="18"/>
                <w:szCs w:val="18"/>
              </w:rPr>
              <w:t>履职效能</w:t>
            </w:r>
          </w:p>
        </w:tc>
        <w:tc>
          <w:tcPr>
            <w:tcW w:w="1417" w:type="dxa"/>
            <w:tcBorders>
              <w:top w:val="nil"/>
              <w:left w:val="nil"/>
              <w:bottom w:val="single" w:color="auto" w:sz="4" w:space="0"/>
              <w:right w:val="single" w:color="auto" w:sz="4" w:space="0"/>
            </w:tcBorders>
            <w:noWrap/>
            <w:vAlign w:val="center"/>
          </w:tcPr>
          <w:p w14:paraId="3448BF7A">
            <w:pPr>
              <w:jc w:val="center"/>
              <w:rPr>
                <w:rFonts w:hint="eastAsia" w:ascii="宋体" w:hAnsi="宋体" w:eastAsia="宋体" w:cs="宋体"/>
                <w:sz w:val="18"/>
                <w:szCs w:val="18"/>
              </w:rPr>
            </w:pPr>
            <w:r>
              <w:rPr>
                <w:rFonts w:hint="eastAsia" w:ascii="宋体" w:hAnsi="宋体" w:eastAsia="宋体" w:cs="宋体"/>
                <w:sz w:val="18"/>
                <w:szCs w:val="18"/>
              </w:rPr>
              <w:t>数量指标</w:t>
            </w:r>
          </w:p>
        </w:tc>
        <w:tc>
          <w:tcPr>
            <w:tcW w:w="1418" w:type="dxa"/>
            <w:tcBorders>
              <w:top w:val="nil"/>
              <w:left w:val="nil"/>
              <w:bottom w:val="single" w:color="auto" w:sz="4" w:space="0"/>
              <w:right w:val="single" w:color="auto" w:sz="4" w:space="0"/>
            </w:tcBorders>
            <w:noWrap/>
            <w:vAlign w:val="center"/>
          </w:tcPr>
          <w:p w14:paraId="65E66B28">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开展禁毒宣传活动次数</w:t>
            </w:r>
          </w:p>
        </w:tc>
        <w:tc>
          <w:tcPr>
            <w:tcW w:w="1242" w:type="dxa"/>
            <w:tcBorders>
              <w:top w:val="nil"/>
              <w:left w:val="nil"/>
              <w:bottom w:val="single" w:color="auto" w:sz="4" w:space="0"/>
              <w:right w:val="single" w:color="auto" w:sz="4" w:space="0"/>
            </w:tcBorders>
            <w:noWrap/>
            <w:vAlign w:val="center"/>
          </w:tcPr>
          <w:p w14:paraId="53A9D471">
            <w:pPr>
              <w:jc w:val="center"/>
              <w:rPr>
                <w:rFonts w:hint="eastAsia" w:ascii="宋体" w:hAnsi="宋体" w:eastAsia="宋体" w:cs="宋体"/>
                <w:sz w:val="18"/>
                <w:szCs w:val="18"/>
              </w:rPr>
            </w:pPr>
            <w:r>
              <w:rPr>
                <w:rFonts w:hint="eastAsia" w:ascii="宋体" w:hAnsi="宋体" w:eastAsia="宋体" w:cs="宋体"/>
                <w:sz w:val="18"/>
                <w:szCs w:val="18"/>
              </w:rPr>
              <w:t>&gt;=700次</w:t>
            </w:r>
          </w:p>
        </w:tc>
        <w:tc>
          <w:tcPr>
            <w:tcW w:w="1417" w:type="dxa"/>
            <w:tcBorders>
              <w:top w:val="nil"/>
              <w:left w:val="nil"/>
              <w:bottom w:val="single" w:color="auto" w:sz="4" w:space="0"/>
              <w:right w:val="single" w:color="auto" w:sz="4" w:space="0"/>
            </w:tcBorders>
            <w:noWrap/>
            <w:vAlign w:val="center"/>
          </w:tcPr>
          <w:p w14:paraId="3547D702">
            <w:pPr>
              <w:rPr>
                <w:rFonts w:hint="eastAsia" w:ascii="宋体" w:hAnsi="宋体" w:eastAsia="宋体" w:cs="宋体"/>
                <w:sz w:val="18"/>
                <w:szCs w:val="18"/>
                <w:lang w:eastAsia="zh-CN"/>
              </w:rPr>
            </w:pPr>
            <w:r>
              <w:rPr>
                <w:rFonts w:hint="eastAsia" w:ascii="宋体" w:hAnsi="宋体" w:eastAsia="宋体" w:cs="宋体"/>
                <w:sz w:val="18"/>
                <w:szCs w:val="18"/>
                <w:lang w:eastAsia="zh-CN"/>
              </w:rPr>
              <w:t>奇台县公安局2024年度工作考核指标</w:t>
            </w:r>
          </w:p>
        </w:tc>
        <w:tc>
          <w:tcPr>
            <w:tcW w:w="1134" w:type="dxa"/>
            <w:tcBorders>
              <w:top w:val="nil"/>
              <w:left w:val="nil"/>
              <w:bottom w:val="single" w:color="auto" w:sz="4" w:space="0"/>
              <w:right w:val="single" w:color="auto" w:sz="4" w:space="0"/>
            </w:tcBorders>
            <w:noWrap/>
            <w:vAlign w:val="center"/>
          </w:tcPr>
          <w:p w14:paraId="2010270B">
            <w:pPr>
              <w:jc w:val="center"/>
              <w:rPr>
                <w:rFonts w:hint="eastAsia" w:ascii="宋体" w:hAnsi="宋体" w:eastAsia="宋体" w:cs="宋体"/>
                <w:sz w:val="18"/>
                <w:szCs w:val="18"/>
              </w:rPr>
            </w:pPr>
            <w:r>
              <w:rPr>
                <w:rFonts w:hint="eastAsia" w:ascii="宋体" w:hAnsi="宋体" w:eastAsia="宋体" w:cs="宋体"/>
                <w:sz w:val="18"/>
                <w:szCs w:val="18"/>
              </w:rPr>
              <w:t>20</w:t>
            </w:r>
          </w:p>
        </w:tc>
        <w:tc>
          <w:tcPr>
            <w:tcW w:w="1310" w:type="dxa"/>
            <w:tcBorders>
              <w:top w:val="nil"/>
              <w:left w:val="nil"/>
              <w:bottom w:val="single" w:color="auto" w:sz="4" w:space="0"/>
              <w:right w:val="single" w:color="auto" w:sz="4" w:space="0"/>
            </w:tcBorders>
            <w:noWrap/>
            <w:vAlign w:val="center"/>
          </w:tcPr>
          <w:p w14:paraId="26B69721">
            <w:pPr>
              <w:jc w:val="center"/>
              <w:rPr>
                <w:rFonts w:hint="eastAsia" w:ascii="宋体" w:hAnsi="宋体" w:eastAsia="宋体" w:cs="宋体"/>
                <w:sz w:val="18"/>
                <w:szCs w:val="18"/>
              </w:rPr>
            </w:pPr>
            <w:r>
              <w:rPr>
                <w:rFonts w:hint="eastAsia" w:ascii="宋体" w:hAnsi="宋体" w:eastAsia="宋体" w:cs="宋体"/>
                <w:sz w:val="18"/>
                <w:szCs w:val="18"/>
              </w:rPr>
              <w:t>=700次</w:t>
            </w:r>
          </w:p>
        </w:tc>
        <w:tc>
          <w:tcPr>
            <w:tcW w:w="720" w:type="dxa"/>
            <w:tcBorders>
              <w:top w:val="nil"/>
              <w:left w:val="nil"/>
              <w:bottom w:val="single" w:color="auto" w:sz="4" w:space="0"/>
              <w:right w:val="single" w:color="auto" w:sz="4" w:space="0"/>
            </w:tcBorders>
            <w:noWrap/>
            <w:vAlign w:val="center"/>
          </w:tcPr>
          <w:p w14:paraId="45D0A76D">
            <w:pPr>
              <w:jc w:val="center"/>
              <w:rPr>
                <w:rFonts w:hint="eastAsia" w:ascii="宋体" w:hAnsi="宋体" w:eastAsia="宋体" w:cs="宋体"/>
                <w:sz w:val="18"/>
                <w:szCs w:val="18"/>
              </w:rPr>
            </w:pPr>
            <w:r>
              <w:rPr>
                <w:rFonts w:hint="eastAsia" w:ascii="宋体" w:hAnsi="宋体" w:eastAsia="宋体" w:cs="宋体"/>
                <w:sz w:val="18"/>
                <w:szCs w:val="18"/>
              </w:rPr>
              <w:t>20</w:t>
            </w:r>
          </w:p>
        </w:tc>
        <w:tc>
          <w:tcPr>
            <w:tcW w:w="284" w:type="dxa"/>
            <w:tcBorders>
              <w:top w:val="nil"/>
              <w:left w:val="nil"/>
              <w:bottom w:val="nil"/>
              <w:right w:val="nil"/>
            </w:tcBorders>
            <w:noWrap/>
            <w:vAlign w:val="center"/>
          </w:tcPr>
          <w:p w14:paraId="70B3E3A6">
            <w:pPr>
              <w:jc w:val="center"/>
              <w:rPr>
                <w:rFonts w:hint="eastAsia" w:ascii="宋体" w:hAnsi="宋体" w:eastAsia="宋体" w:cs="宋体"/>
                <w:sz w:val="18"/>
                <w:szCs w:val="18"/>
              </w:rPr>
            </w:pPr>
          </w:p>
        </w:tc>
      </w:tr>
      <w:tr w14:paraId="318FC2EE">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40B49F70">
            <w:pPr>
              <w:jc w:val="center"/>
              <w:rPr>
                <w:rFonts w:hint="eastAsia" w:ascii="宋体" w:hAnsi="宋体" w:eastAsia="宋体" w:cs="宋体"/>
                <w:sz w:val="18"/>
                <w:szCs w:val="18"/>
              </w:rPr>
            </w:pPr>
          </w:p>
        </w:tc>
        <w:tc>
          <w:tcPr>
            <w:tcW w:w="1417" w:type="dxa"/>
            <w:vMerge w:val="restart"/>
            <w:tcBorders>
              <w:top w:val="nil"/>
              <w:left w:val="nil"/>
              <w:right w:val="single" w:color="auto" w:sz="4" w:space="0"/>
            </w:tcBorders>
            <w:noWrap/>
            <w:vAlign w:val="center"/>
          </w:tcPr>
          <w:p w14:paraId="6C556899">
            <w:pPr>
              <w:jc w:val="center"/>
              <w:rPr>
                <w:rFonts w:hint="eastAsia" w:ascii="宋体" w:hAnsi="宋体" w:eastAsia="宋体" w:cs="宋体"/>
                <w:sz w:val="18"/>
                <w:szCs w:val="18"/>
              </w:rPr>
            </w:pPr>
            <w:r>
              <w:rPr>
                <w:rFonts w:hint="eastAsia" w:ascii="宋体" w:hAnsi="宋体" w:eastAsia="宋体" w:cs="宋体"/>
                <w:sz w:val="18"/>
                <w:szCs w:val="18"/>
              </w:rPr>
              <w:t>质量指标</w:t>
            </w:r>
          </w:p>
        </w:tc>
        <w:tc>
          <w:tcPr>
            <w:tcW w:w="1418" w:type="dxa"/>
            <w:tcBorders>
              <w:top w:val="nil"/>
              <w:left w:val="nil"/>
              <w:bottom w:val="single" w:color="auto" w:sz="4" w:space="0"/>
              <w:right w:val="single" w:color="auto" w:sz="4" w:space="0"/>
            </w:tcBorders>
            <w:noWrap/>
            <w:vAlign w:val="center"/>
          </w:tcPr>
          <w:p w14:paraId="239A986A">
            <w:pPr>
              <w:jc w:val="center"/>
              <w:rPr>
                <w:rFonts w:hint="eastAsia" w:ascii="宋体" w:hAnsi="宋体" w:eastAsia="宋体" w:cs="宋体"/>
                <w:sz w:val="18"/>
                <w:szCs w:val="18"/>
              </w:rPr>
            </w:pPr>
            <w:r>
              <w:rPr>
                <w:rFonts w:hint="eastAsia" w:ascii="宋体" w:hAnsi="宋体" w:eastAsia="宋体" w:cs="宋体"/>
                <w:sz w:val="18"/>
                <w:szCs w:val="18"/>
              </w:rPr>
              <w:t>公安机关案件破案率</w:t>
            </w:r>
          </w:p>
        </w:tc>
        <w:tc>
          <w:tcPr>
            <w:tcW w:w="1242" w:type="dxa"/>
            <w:tcBorders>
              <w:top w:val="nil"/>
              <w:left w:val="nil"/>
              <w:bottom w:val="single" w:color="auto" w:sz="4" w:space="0"/>
              <w:right w:val="single" w:color="auto" w:sz="4" w:space="0"/>
            </w:tcBorders>
            <w:noWrap/>
            <w:vAlign w:val="center"/>
          </w:tcPr>
          <w:p w14:paraId="7CD5E475">
            <w:pPr>
              <w:jc w:val="center"/>
              <w:rPr>
                <w:rFonts w:hint="eastAsia" w:ascii="宋体" w:hAnsi="宋体" w:eastAsia="宋体" w:cs="宋体"/>
                <w:sz w:val="18"/>
                <w:szCs w:val="18"/>
              </w:rPr>
            </w:pPr>
            <w:r>
              <w:rPr>
                <w:rFonts w:hint="eastAsia" w:ascii="宋体" w:hAnsi="宋体" w:eastAsia="宋体" w:cs="宋体"/>
                <w:sz w:val="18"/>
                <w:szCs w:val="18"/>
              </w:rPr>
              <w:t>&gt;=70%</w:t>
            </w:r>
          </w:p>
        </w:tc>
        <w:tc>
          <w:tcPr>
            <w:tcW w:w="1417" w:type="dxa"/>
            <w:tcBorders>
              <w:top w:val="nil"/>
              <w:left w:val="nil"/>
              <w:bottom w:val="single" w:color="auto" w:sz="4" w:space="0"/>
              <w:right w:val="single" w:color="auto" w:sz="4" w:space="0"/>
            </w:tcBorders>
            <w:noWrap/>
            <w:vAlign w:val="center"/>
          </w:tcPr>
          <w:p w14:paraId="34AA676C">
            <w:pPr>
              <w:rPr>
                <w:rFonts w:hint="eastAsia" w:ascii="宋体" w:hAnsi="宋体" w:eastAsia="宋体" w:cs="宋体"/>
                <w:sz w:val="18"/>
                <w:szCs w:val="18"/>
                <w:lang w:eastAsia="zh-CN"/>
              </w:rPr>
            </w:pPr>
            <w:r>
              <w:rPr>
                <w:rFonts w:hint="eastAsia" w:ascii="宋体" w:hAnsi="宋体" w:eastAsia="宋体" w:cs="宋体"/>
                <w:sz w:val="18"/>
                <w:szCs w:val="18"/>
                <w:lang w:eastAsia="zh-CN"/>
              </w:rPr>
              <w:t>奇台县公安局2024年年度重点工作计划</w:t>
            </w:r>
          </w:p>
        </w:tc>
        <w:tc>
          <w:tcPr>
            <w:tcW w:w="1134" w:type="dxa"/>
            <w:tcBorders>
              <w:top w:val="nil"/>
              <w:left w:val="nil"/>
              <w:bottom w:val="single" w:color="auto" w:sz="4" w:space="0"/>
              <w:right w:val="single" w:color="auto" w:sz="4" w:space="0"/>
            </w:tcBorders>
            <w:noWrap/>
            <w:vAlign w:val="center"/>
          </w:tcPr>
          <w:p w14:paraId="084E6B16">
            <w:pPr>
              <w:jc w:val="center"/>
              <w:rPr>
                <w:rFonts w:hint="eastAsia" w:ascii="宋体" w:hAnsi="宋体" w:eastAsia="宋体" w:cs="宋体"/>
                <w:sz w:val="18"/>
                <w:szCs w:val="18"/>
              </w:rPr>
            </w:pPr>
            <w:r>
              <w:rPr>
                <w:rFonts w:hint="eastAsia" w:ascii="宋体" w:hAnsi="宋体" w:eastAsia="宋体" w:cs="宋体"/>
                <w:sz w:val="18"/>
                <w:szCs w:val="18"/>
              </w:rPr>
              <w:t>50</w:t>
            </w:r>
          </w:p>
        </w:tc>
        <w:tc>
          <w:tcPr>
            <w:tcW w:w="1310" w:type="dxa"/>
            <w:tcBorders>
              <w:top w:val="nil"/>
              <w:left w:val="nil"/>
              <w:bottom w:val="single" w:color="auto" w:sz="4" w:space="0"/>
              <w:right w:val="single" w:color="auto" w:sz="4" w:space="0"/>
            </w:tcBorders>
            <w:noWrap/>
            <w:vAlign w:val="center"/>
          </w:tcPr>
          <w:p w14:paraId="436EDE18">
            <w:pPr>
              <w:jc w:val="center"/>
              <w:rPr>
                <w:rFonts w:hint="eastAsia" w:ascii="宋体" w:hAnsi="宋体" w:eastAsia="宋体" w:cs="宋体"/>
                <w:sz w:val="18"/>
                <w:szCs w:val="18"/>
              </w:rPr>
            </w:pPr>
            <w:r>
              <w:rPr>
                <w:rFonts w:hint="eastAsia" w:ascii="宋体" w:hAnsi="宋体" w:eastAsia="宋体" w:cs="宋体"/>
                <w:sz w:val="18"/>
                <w:szCs w:val="18"/>
              </w:rPr>
              <w:t>=70%</w:t>
            </w:r>
          </w:p>
        </w:tc>
        <w:tc>
          <w:tcPr>
            <w:tcW w:w="720" w:type="dxa"/>
            <w:tcBorders>
              <w:top w:val="nil"/>
              <w:left w:val="nil"/>
              <w:bottom w:val="single" w:color="auto" w:sz="4" w:space="0"/>
              <w:right w:val="single" w:color="auto" w:sz="4" w:space="0"/>
            </w:tcBorders>
            <w:noWrap/>
            <w:vAlign w:val="center"/>
          </w:tcPr>
          <w:p w14:paraId="0F4B13EA">
            <w:pPr>
              <w:jc w:val="center"/>
              <w:rPr>
                <w:rFonts w:hint="eastAsia" w:ascii="宋体" w:hAnsi="宋体" w:eastAsia="宋体" w:cs="宋体"/>
                <w:sz w:val="18"/>
                <w:szCs w:val="18"/>
              </w:rPr>
            </w:pPr>
            <w:r>
              <w:rPr>
                <w:rFonts w:hint="eastAsia" w:ascii="宋体" w:hAnsi="宋体" w:eastAsia="宋体" w:cs="宋体"/>
                <w:sz w:val="18"/>
                <w:szCs w:val="18"/>
              </w:rPr>
              <w:t>50</w:t>
            </w:r>
          </w:p>
        </w:tc>
        <w:tc>
          <w:tcPr>
            <w:tcW w:w="284" w:type="dxa"/>
            <w:tcBorders>
              <w:top w:val="nil"/>
              <w:left w:val="nil"/>
              <w:bottom w:val="nil"/>
              <w:right w:val="nil"/>
            </w:tcBorders>
            <w:noWrap/>
            <w:vAlign w:val="center"/>
          </w:tcPr>
          <w:p w14:paraId="4E47BFA4">
            <w:pPr>
              <w:jc w:val="center"/>
              <w:rPr>
                <w:rFonts w:hint="eastAsia" w:ascii="宋体" w:hAnsi="宋体" w:eastAsia="宋体" w:cs="宋体"/>
                <w:sz w:val="18"/>
                <w:szCs w:val="18"/>
              </w:rPr>
            </w:pPr>
          </w:p>
        </w:tc>
      </w:tr>
      <w:tr w14:paraId="26072FB2">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bottom w:val="single" w:color="auto" w:sz="4" w:space="0"/>
              <w:right w:val="single" w:color="auto" w:sz="4" w:space="0"/>
            </w:tcBorders>
            <w:noWrap/>
            <w:vAlign w:val="center"/>
          </w:tcPr>
          <w:p w14:paraId="733601D2">
            <w:pPr>
              <w:jc w:val="center"/>
              <w:rPr>
                <w:rFonts w:hint="eastAsia" w:ascii="宋体" w:hAnsi="宋体" w:eastAsia="宋体" w:cs="宋体"/>
                <w:sz w:val="18"/>
                <w:szCs w:val="18"/>
              </w:rPr>
            </w:pPr>
          </w:p>
        </w:tc>
        <w:tc>
          <w:tcPr>
            <w:tcW w:w="1417" w:type="dxa"/>
            <w:vMerge w:val="continue"/>
            <w:tcBorders>
              <w:left w:val="nil"/>
              <w:bottom w:val="single" w:color="auto" w:sz="4" w:space="0"/>
              <w:right w:val="single" w:color="auto" w:sz="4" w:space="0"/>
            </w:tcBorders>
            <w:noWrap/>
            <w:vAlign w:val="center"/>
          </w:tcPr>
          <w:p w14:paraId="79F0BB90">
            <w:pPr>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23588145">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违法犯罪嫌疑人基础信息采集率</w:t>
            </w:r>
          </w:p>
        </w:tc>
        <w:tc>
          <w:tcPr>
            <w:tcW w:w="1242" w:type="dxa"/>
            <w:tcBorders>
              <w:top w:val="nil"/>
              <w:left w:val="nil"/>
              <w:bottom w:val="single" w:color="auto" w:sz="4" w:space="0"/>
              <w:right w:val="single" w:color="auto" w:sz="4" w:space="0"/>
            </w:tcBorders>
            <w:noWrap/>
            <w:vAlign w:val="center"/>
          </w:tcPr>
          <w:p w14:paraId="1563F495">
            <w:pPr>
              <w:jc w:val="center"/>
              <w:rPr>
                <w:rFonts w:hint="eastAsia" w:ascii="宋体" w:hAnsi="宋体" w:eastAsia="宋体" w:cs="宋体"/>
                <w:sz w:val="18"/>
                <w:szCs w:val="18"/>
              </w:rPr>
            </w:pPr>
            <w:r>
              <w:rPr>
                <w:rFonts w:hint="eastAsia" w:ascii="宋体" w:hAnsi="宋体" w:eastAsia="宋体" w:cs="宋体"/>
                <w:sz w:val="18"/>
                <w:szCs w:val="18"/>
              </w:rPr>
              <w:t>=100%</w:t>
            </w:r>
          </w:p>
        </w:tc>
        <w:tc>
          <w:tcPr>
            <w:tcW w:w="1417" w:type="dxa"/>
            <w:tcBorders>
              <w:top w:val="nil"/>
              <w:left w:val="nil"/>
              <w:bottom w:val="single" w:color="auto" w:sz="4" w:space="0"/>
              <w:right w:val="single" w:color="auto" w:sz="4" w:space="0"/>
            </w:tcBorders>
            <w:noWrap/>
            <w:vAlign w:val="center"/>
          </w:tcPr>
          <w:p w14:paraId="36AABAAB">
            <w:pPr>
              <w:rPr>
                <w:rFonts w:hint="eastAsia" w:ascii="宋体" w:hAnsi="宋体" w:eastAsia="宋体" w:cs="宋体"/>
                <w:sz w:val="18"/>
                <w:szCs w:val="18"/>
                <w:lang w:eastAsia="zh-CN"/>
              </w:rPr>
            </w:pPr>
            <w:r>
              <w:rPr>
                <w:rFonts w:hint="eastAsia" w:ascii="宋体" w:hAnsi="宋体" w:eastAsia="宋体" w:cs="宋体"/>
                <w:sz w:val="18"/>
                <w:szCs w:val="18"/>
                <w:lang w:eastAsia="zh-CN"/>
              </w:rPr>
              <w:t>奇台县公安局2024年度重点工作计划</w:t>
            </w:r>
          </w:p>
        </w:tc>
        <w:tc>
          <w:tcPr>
            <w:tcW w:w="1134" w:type="dxa"/>
            <w:tcBorders>
              <w:top w:val="nil"/>
              <w:left w:val="nil"/>
              <w:bottom w:val="single" w:color="auto" w:sz="4" w:space="0"/>
              <w:right w:val="single" w:color="auto" w:sz="4" w:space="0"/>
            </w:tcBorders>
            <w:noWrap/>
            <w:vAlign w:val="center"/>
          </w:tcPr>
          <w:p w14:paraId="4EC7F0FC">
            <w:pPr>
              <w:jc w:val="center"/>
              <w:rPr>
                <w:rFonts w:hint="eastAsia" w:ascii="宋体" w:hAnsi="宋体" w:eastAsia="宋体" w:cs="宋体"/>
                <w:sz w:val="18"/>
                <w:szCs w:val="18"/>
              </w:rPr>
            </w:pPr>
            <w:r>
              <w:rPr>
                <w:rFonts w:hint="eastAsia" w:ascii="宋体" w:hAnsi="宋体" w:eastAsia="宋体" w:cs="宋体"/>
                <w:sz w:val="18"/>
                <w:szCs w:val="18"/>
              </w:rPr>
              <w:t>20</w:t>
            </w:r>
          </w:p>
        </w:tc>
        <w:tc>
          <w:tcPr>
            <w:tcW w:w="1310" w:type="dxa"/>
            <w:tcBorders>
              <w:top w:val="nil"/>
              <w:left w:val="nil"/>
              <w:bottom w:val="single" w:color="auto" w:sz="4" w:space="0"/>
              <w:right w:val="single" w:color="auto" w:sz="4" w:space="0"/>
            </w:tcBorders>
            <w:noWrap/>
            <w:vAlign w:val="center"/>
          </w:tcPr>
          <w:p w14:paraId="6774DC98">
            <w:pPr>
              <w:jc w:val="center"/>
              <w:rPr>
                <w:rFonts w:hint="eastAsia" w:ascii="宋体" w:hAnsi="宋体" w:eastAsia="宋体" w:cs="宋体"/>
                <w:sz w:val="18"/>
                <w:szCs w:val="18"/>
              </w:rPr>
            </w:pPr>
            <w:r>
              <w:rPr>
                <w:rFonts w:hint="eastAsia" w:ascii="宋体" w:hAnsi="宋体" w:eastAsia="宋体" w:cs="宋体"/>
                <w:sz w:val="18"/>
                <w:szCs w:val="18"/>
              </w:rPr>
              <w:t>=100%</w:t>
            </w:r>
          </w:p>
        </w:tc>
        <w:tc>
          <w:tcPr>
            <w:tcW w:w="720" w:type="dxa"/>
            <w:tcBorders>
              <w:top w:val="nil"/>
              <w:left w:val="nil"/>
              <w:bottom w:val="single" w:color="auto" w:sz="4" w:space="0"/>
              <w:right w:val="single" w:color="auto" w:sz="4" w:space="0"/>
            </w:tcBorders>
            <w:noWrap/>
            <w:vAlign w:val="center"/>
          </w:tcPr>
          <w:p w14:paraId="093FA663">
            <w:pPr>
              <w:jc w:val="center"/>
              <w:rPr>
                <w:rFonts w:hint="eastAsia" w:ascii="宋体" w:hAnsi="宋体" w:eastAsia="宋体" w:cs="宋体"/>
                <w:sz w:val="18"/>
                <w:szCs w:val="18"/>
              </w:rPr>
            </w:pPr>
            <w:r>
              <w:rPr>
                <w:rFonts w:hint="eastAsia" w:ascii="宋体" w:hAnsi="宋体" w:eastAsia="宋体" w:cs="宋体"/>
                <w:sz w:val="18"/>
                <w:szCs w:val="18"/>
              </w:rPr>
              <w:t>20</w:t>
            </w:r>
          </w:p>
        </w:tc>
        <w:tc>
          <w:tcPr>
            <w:tcW w:w="284" w:type="dxa"/>
            <w:tcBorders>
              <w:top w:val="nil"/>
              <w:left w:val="nil"/>
              <w:bottom w:val="nil"/>
              <w:right w:val="nil"/>
            </w:tcBorders>
            <w:noWrap/>
            <w:vAlign w:val="center"/>
          </w:tcPr>
          <w:p w14:paraId="69DEDE68">
            <w:pPr>
              <w:jc w:val="center"/>
              <w:rPr>
                <w:rFonts w:hint="eastAsia" w:ascii="宋体" w:hAnsi="宋体" w:eastAsia="宋体" w:cs="宋体"/>
                <w:sz w:val="18"/>
                <w:szCs w:val="18"/>
              </w:rPr>
            </w:pPr>
          </w:p>
        </w:tc>
      </w:tr>
    </w:tbl>
    <w:p w14:paraId="7CBD996D">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10B3DBAB">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bookmarkEnd w:id="0"/>
    <w:tbl>
      <w:tblPr>
        <w:tblStyle w:val="12"/>
        <w:tblW w:w="5001" w:type="pct"/>
        <w:tblInd w:w="0" w:type="dxa"/>
        <w:tblLayout w:type="autofit"/>
        <w:tblCellMar>
          <w:top w:w="0" w:type="dxa"/>
          <w:left w:w="108" w:type="dxa"/>
          <w:bottom w:w="0" w:type="dxa"/>
          <w:right w:w="108" w:type="dxa"/>
        </w:tblCellMar>
      </w:tblPr>
      <w:tblGrid>
        <w:gridCol w:w="578"/>
        <w:gridCol w:w="542"/>
        <w:gridCol w:w="556"/>
        <w:gridCol w:w="811"/>
        <w:gridCol w:w="455"/>
        <w:gridCol w:w="113"/>
        <w:gridCol w:w="666"/>
        <w:gridCol w:w="666"/>
        <w:gridCol w:w="556"/>
        <w:gridCol w:w="756"/>
        <w:gridCol w:w="583"/>
        <w:gridCol w:w="560"/>
        <w:gridCol w:w="636"/>
        <w:gridCol w:w="569"/>
        <w:gridCol w:w="811"/>
      </w:tblGrid>
      <w:tr w14:paraId="30271A8A">
        <w:tblPrEx>
          <w:tblCellMar>
            <w:top w:w="0" w:type="dxa"/>
            <w:left w:w="108" w:type="dxa"/>
            <w:bottom w:w="0" w:type="dxa"/>
            <w:right w:w="108" w:type="dxa"/>
          </w:tblCellMar>
        </w:tblPrEx>
        <w:trPr>
          <w:trHeight w:val="614" w:hRule="atLeast"/>
        </w:trPr>
        <w:tc>
          <w:tcPr>
            <w:tcW w:w="632" w:type="pct"/>
            <w:gridSpan w:val="2"/>
            <w:tcBorders>
              <w:top w:val="single" w:color="auto" w:sz="4" w:space="0"/>
              <w:left w:val="single" w:color="auto" w:sz="4" w:space="0"/>
              <w:bottom w:val="single" w:color="auto" w:sz="4" w:space="0"/>
              <w:right w:val="single" w:color="auto" w:sz="4" w:space="0"/>
            </w:tcBorders>
            <w:vAlign w:val="center"/>
          </w:tcPr>
          <w:p w14:paraId="5EFEE657">
            <w:pPr>
              <w:jc w:val="center"/>
              <w:rPr>
                <w:rFonts w:hint="eastAsia" w:ascii="宋体" w:hAnsi="宋体" w:eastAsia="宋体" w:cs="宋体"/>
                <w:b/>
                <w:bCs/>
                <w:color w:val="000000"/>
                <w:sz w:val="18"/>
                <w:szCs w:val="18"/>
              </w:rPr>
            </w:pPr>
            <w:bookmarkStart w:id="2" w:name="_Hlk201837198"/>
            <w:r>
              <w:rPr>
                <w:rFonts w:hint="eastAsia" w:ascii="宋体" w:hAnsi="宋体" w:eastAsia="宋体" w:cs="宋体"/>
                <w:b/>
                <w:bCs/>
                <w:color w:val="000000"/>
                <w:sz w:val="18"/>
                <w:szCs w:val="18"/>
              </w:rPr>
              <w:t>项目名称</w:t>
            </w:r>
          </w:p>
        </w:tc>
        <w:tc>
          <w:tcPr>
            <w:tcW w:w="4368" w:type="pct"/>
            <w:gridSpan w:val="13"/>
            <w:tcBorders>
              <w:top w:val="single" w:color="auto" w:sz="4" w:space="0"/>
              <w:left w:val="nil"/>
              <w:bottom w:val="single" w:color="auto" w:sz="4" w:space="0"/>
              <w:right w:val="single" w:color="auto" w:sz="4" w:space="0"/>
            </w:tcBorders>
            <w:vAlign w:val="center"/>
          </w:tcPr>
          <w:p w14:paraId="73D792C9">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昌州财行[2024]11号关于下达昌吉州“庭州英才”人才计划支持资金的通知</w:t>
            </w:r>
          </w:p>
        </w:tc>
      </w:tr>
      <w:tr w14:paraId="49F9786D">
        <w:tblPrEx>
          <w:tblCellMar>
            <w:top w:w="0" w:type="dxa"/>
            <w:left w:w="108" w:type="dxa"/>
            <w:bottom w:w="0" w:type="dxa"/>
            <w:right w:w="108" w:type="dxa"/>
          </w:tblCellMar>
        </w:tblPrEx>
        <w:trPr>
          <w:trHeight w:val="380" w:hRule="atLeast"/>
        </w:trPr>
        <w:tc>
          <w:tcPr>
            <w:tcW w:w="632" w:type="pct"/>
            <w:gridSpan w:val="2"/>
            <w:tcBorders>
              <w:top w:val="single" w:color="auto" w:sz="4" w:space="0"/>
              <w:left w:val="single" w:color="auto" w:sz="4" w:space="0"/>
              <w:bottom w:val="single" w:color="auto" w:sz="4" w:space="0"/>
              <w:right w:val="single" w:color="auto" w:sz="4" w:space="0"/>
            </w:tcBorders>
            <w:vAlign w:val="center"/>
          </w:tcPr>
          <w:p w14:paraId="6731DAC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1845" w:type="pct"/>
            <w:gridSpan w:val="6"/>
            <w:tcBorders>
              <w:top w:val="single" w:color="auto" w:sz="4" w:space="0"/>
              <w:left w:val="nil"/>
              <w:bottom w:val="single" w:color="auto" w:sz="4" w:space="0"/>
              <w:right w:val="single" w:color="auto" w:sz="4" w:space="0"/>
            </w:tcBorders>
            <w:vAlign w:val="center"/>
          </w:tcPr>
          <w:p w14:paraId="7EA3CCE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奇台县人民政府</w:t>
            </w:r>
          </w:p>
        </w:tc>
        <w:tc>
          <w:tcPr>
            <w:tcW w:w="741" w:type="pct"/>
            <w:gridSpan w:val="2"/>
            <w:tcBorders>
              <w:top w:val="single" w:color="auto" w:sz="4" w:space="0"/>
              <w:left w:val="nil"/>
              <w:bottom w:val="single" w:color="auto" w:sz="4" w:space="0"/>
              <w:right w:val="single" w:color="auto" w:sz="4" w:space="0"/>
            </w:tcBorders>
            <w:vAlign w:val="center"/>
          </w:tcPr>
          <w:p w14:paraId="6CF993D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1783" w:type="pct"/>
            <w:gridSpan w:val="5"/>
            <w:tcBorders>
              <w:top w:val="single" w:color="auto" w:sz="4" w:space="0"/>
              <w:left w:val="nil"/>
              <w:bottom w:val="single" w:color="auto" w:sz="4" w:space="0"/>
              <w:right w:val="single" w:color="auto" w:sz="4" w:space="0"/>
            </w:tcBorders>
            <w:vAlign w:val="center"/>
          </w:tcPr>
          <w:p w14:paraId="3DAA513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奇台县公安局</w:t>
            </w:r>
          </w:p>
        </w:tc>
      </w:tr>
      <w:tr w14:paraId="35FF0C93">
        <w:tblPrEx>
          <w:tblCellMar>
            <w:top w:w="0" w:type="dxa"/>
            <w:left w:w="108" w:type="dxa"/>
            <w:bottom w:w="0" w:type="dxa"/>
            <w:right w:w="108" w:type="dxa"/>
          </w:tblCellMar>
        </w:tblPrEx>
        <w:trPr>
          <w:trHeight w:val="380" w:hRule="atLeast"/>
        </w:trPr>
        <w:tc>
          <w:tcPr>
            <w:tcW w:w="326" w:type="pct"/>
            <w:vMerge w:val="restart"/>
            <w:tcBorders>
              <w:top w:val="nil"/>
              <w:left w:val="single" w:color="auto" w:sz="4" w:space="0"/>
              <w:bottom w:val="single" w:color="auto" w:sz="4" w:space="0"/>
              <w:right w:val="single" w:color="auto" w:sz="4" w:space="0"/>
            </w:tcBorders>
            <w:vAlign w:val="center"/>
          </w:tcPr>
          <w:p w14:paraId="028DCD3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620" w:type="pct"/>
            <w:gridSpan w:val="2"/>
            <w:tcBorders>
              <w:top w:val="single" w:color="auto" w:sz="4" w:space="0"/>
              <w:left w:val="nil"/>
              <w:bottom w:val="single" w:color="auto" w:sz="4" w:space="0"/>
              <w:right w:val="single" w:color="auto" w:sz="4" w:space="0"/>
            </w:tcBorders>
            <w:vAlign w:val="center"/>
          </w:tcPr>
          <w:p w14:paraId="15063B67">
            <w:pPr>
              <w:jc w:val="center"/>
              <w:rPr>
                <w:rFonts w:hint="eastAsia" w:ascii="宋体" w:hAnsi="宋体" w:eastAsia="宋体" w:cs="宋体"/>
                <w:color w:val="000000"/>
                <w:sz w:val="18"/>
                <w:szCs w:val="18"/>
              </w:rPr>
            </w:pPr>
          </w:p>
        </w:tc>
        <w:tc>
          <w:tcPr>
            <w:tcW w:w="715" w:type="pct"/>
            <w:gridSpan w:val="2"/>
            <w:tcBorders>
              <w:top w:val="single" w:color="auto" w:sz="4" w:space="0"/>
              <w:left w:val="nil"/>
              <w:bottom w:val="single" w:color="auto" w:sz="4" w:space="0"/>
              <w:right w:val="single" w:color="auto" w:sz="4" w:space="0"/>
            </w:tcBorders>
            <w:vAlign w:val="center"/>
          </w:tcPr>
          <w:p w14:paraId="2B21AD6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816" w:type="pct"/>
            <w:gridSpan w:val="3"/>
            <w:tcBorders>
              <w:top w:val="single" w:color="auto" w:sz="4" w:space="0"/>
              <w:left w:val="nil"/>
              <w:bottom w:val="single" w:color="auto" w:sz="4" w:space="0"/>
              <w:right w:val="single" w:color="auto" w:sz="4" w:space="0"/>
            </w:tcBorders>
            <w:vAlign w:val="center"/>
          </w:tcPr>
          <w:p w14:paraId="4605D76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741" w:type="pct"/>
            <w:gridSpan w:val="2"/>
            <w:tcBorders>
              <w:top w:val="single" w:color="auto" w:sz="4" w:space="0"/>
              <w:left w:val="nil"/>
              <w:bottom w:val="single" w:color="auto" w:sz="4" w:space="0"/>
              <w:right w:val="single" w:color="auto" w:sz="4" w:space="0"/>
            </w:tcBorders>
            <w:vAlign w:val="center"/>
          </w:tcPr>
          <w:p w14:paraId="692570D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645" w:type="pct"/>
            <w:gridSpan w:val="2"/>
            <w:tcBorders>
              <w:top w:val="nil"/>
              <w:left w:val="nil"/>
              <w:bottom w:val="single" w:color="auto" w:sz="4" w:space="0"/>
              <w:right w:val="single" w:color="auto" w:sz="4" w:space="0"/>
            </w:tcBorders>
            <w:vAlign w:val="center"/>
          </w:tcPr>
          <w:p w14:paraId="5C66F3E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680" w:type="pct"/>
            <w:gridSpan w:val="2"/>
            <w:tcBorders>
              <w:top w:val="single" w:color="auto" w:sz="4" w:space="0"/>
              <w:left w:val="nil"/>
              <w:bottom w:val="single" w:color="auto" w:sz="4" w:space="0"/>
              <w:right w:val="single" w:color="auto" w:sz="4" w:space="0"/>
            </w:tcBorders>
            <w:vAlign w:val="center"/>
          </w:tcPr>
          <w:p w14:paraId="74A87C5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457" w:type="pct"/>
            <w:tcBorders>
              <w:top w:val="nil"/>
              <w:left w:val="nil"/>
              <w:bottom w:val="single" w:color="auto" w:sz="4" w:space="0"/>
              <w:right w:val="single" w:color="auto" w:sz="4" w:space="0"/>
            </w:tcBorders>
            <w:vAlign w:val="center"/>
          </w:tcPr>
          <w:p w14:paraId="7EB662F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117F6FF9">
        <w:tblPrEx>
          <w:tblCellMar>
            <w:top w:w="0" w:type="dxa"/>
            <w:left w:w="108" w:type="dxa"/>
            <w:bottom w:w="0" w:type="dxa"/>
            <w:right w:w="108" w:type="dxa"/>
          </w:tblCellMar>
        </w:tblPrEx>
        <w:trPr>
          <w:trHeight w:val="380" w:hRule="atLeast"/>
        </w:trPr>
        <w:tc>
          <w:tcPr>
            <w:tcW w:w="326" w:type="pct"/>
            <w:vMerge w:val="continue"/>
            <w:tcBorders>
              <w:top w:val="nil"/>
              <w:left w:val="single" w:color="auto" w:sz="4" w:space="0"/>
              <w:bottom w:val="single" w:color="auto" w:sz="4" w:space="0"/>
              <w:right w:val="single" w:color="auto" w:sz="4" w:space="0"/>
            </w:tcBorders>
            <w:vAlign w:val="center"/>
          </w:tcPr>
          <w:p w14:paraId="14922677">
            <w:pPr>
              <w:rPr>
                <w:rFonts w:hint="eastAsia" w:ascii="宋体" w:hAnsi="宋体" w:eastAsia="宋体" w:cs="宋体"/>
                <w:color w:val="000000"/>
                <w:sz w:val="18"/>
                <w:szCs w:val="18"/>
              </w:rPr>
            </w:pPr>
          </w:p>
        </w:tc>
        <w:tc>
          <w:tcPr>
            <w:tcW w:w="620" w:type="pct"/>
            <w:gridSpan w:val="2"/>
            <w:tcBorders>
              <w:top w:val="single" w:color="auto" w:sz="4" w:space="0"/>
              <w:left w:val="nil"/>
              <w:bottom w:val="single" w:color="auto" w:sz="4" w:space="0"/>
              <w:right w:val="single" w:color="auto" w:sz="4" w:space="0"/>
            </w:tcBorders>
            <w:vAlign w:val="center"/>
          </w:tcPr>
          <w:p w14:paraId="45DA6C8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715" w:type="pct"/>
            <w:gridSpan w:val="2"/>
            <w:tcBorders>
              <w:top w:val="single" w:color="auto" w:sz="4" w:space="0"/>
              <w:left w:val="nil"/>
              <w:bottom w:val="single" w:color="auto" w:sz="4" w:space="0"/>
              <w:right w:val="single" w:color="auto" w:sz="4" w:space="0"/>
            </w:tcBorders>
            <w:vAlign w:val="center"/>
          </w:tcPr>
          <w:p w14:paraId="6781A9C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3.00</w:t>
            </w:r>
          </w:p>
        </w:tc>
        <w:tc>
          <w:tcPr>
            <w:tcW w:w="816" w:type="pct"/>
            <w:gridSpan w:val="3"/>
            <w:tcBorders>
              <w:top w:val="single" w:color="auto" w:sz="4" w:space="0"/>
              <w:left w:val="nil"/>
              <w:bottom w:val="single" w:color="auto" w:sz="4" w:space="0"/>
              <w:right w:val="single" w:color="auto" w:sz="4" w:space="0"/>
            </w:tcBorders>
            <w:vAlign w:val="center"/>
          </w:tcPr>
          <w:p w14:paraId="745BA02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3.00</w:t>
            </w:r>
          </w:p>
        </w:tc>
        <w:tc>
          <w:tcPr>
            <w:tcW w:w="741" w:type="pct"/>
            <w:gridSpan w:val="2"/>
            <w:tcBorders>
              <w:top w:val="single" w:color="auto" w:sz="4" w:space="0"/>
              <w:left w:val="nil"/>
              <w:bottom w:val="single" w:color="auto" w:sz="4" w:space="0"/>
              <w:right w:val="single" w:color="auto" w:sz="4" w:space="0"/>
            </w:tcBorders>
            <w:vAlign w:val="center"/>
          </w:tcPr>
          <w:p w14:paraId="7A1C802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3.00</w:t>
            </w:r>
          </w:p>
        </w:tc>
        <w:tc>
          <w:tcPr>
            <w:tcW w:w="645" w:type="pct"/>
            <w:gridSpan w:val="2"/>
            <w:tcBorders>
              <w:top w:val="nil"/>
              <w:left w:val="nil"/>
              <w:bottom w:val="single" w:color="auto" w:sz="4" w:space="0"/>
              <w:right w:val="single" w:color="auto" w:sz="4" w:space="0"/>
            </w:tcBorders>
            <w:vAlign w:val="center"/>
          </w:tcPr>
          <w:p w14:paraId="326CBBE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80" w:type="pct"/>
            <w:gridSpan w:val="2"/>
            <w:tcBorders>
              <w:top w:val="single" w:color="auto" w:sz="4" w:space="0"/>
              <w:left w:val="nil"/>
              <w:bottom w:val="single" w:color="auto" w:sz="4" w:space="0"/>
              <w:right w:val="single" w:color="auto" w:sz="4" w:space="0"/>
            </w:tcBorders>
            <w:vAlign w:val="center"/>
          </w:tcPr>
          <w:p w14:paraId="1072144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457" w:type="pct"/>
            <w:tcBorders>
              <w:top w:val="nil"/>
              <w:left w:val="nil"/>
              <w:bottom w:val="single" w:color="auto" w:sz="4" w:space="0"/>
              <w:right w:val="single" w:color="auto" w:sz="4" w:space="0"/>
            </w:tcBorders>
            <w:vAlign w:val="center"/>
          </w:tcPr>
          <w:p w14:paraId="038146A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1E16758E">
        <w:tblPrEx>
          <w:tblCellMar>
            <w:top w:w="0" w:type="dxa"/>
            <w:left w:w="108" w:type="dxa"/>
            <w:bottom w:w="0" w:type="dxa"/>
            <w:right w:w="108" w:type="dxa"/>
          </w:tblCellMar>
        </w:tblPrEx>
        <w:trPr>
          <w:trHeight w:val="380" w:hRule="atLeast"/>
        </w:trPr>
        <w:tc>
          <w:tcPr>
            <w:tcW w:w="326" w:type="pct"/>
            <w:vMerge w:val="continue"/>
            <w:tcBorders>
              <w:top w:val="nil"/>
              <w:left w:val="single" w:color="auto" w:sz="4" w:space="0"/>
              <w:bottom w:val="single" w:color="auto" w:sz="4" w:space="0"/>
              <w:right w:val="single" w:color="auto" w:sz="4" w:space="0"/>
            </w:tcBorders>
            <w:vAlign w:val="center"/>
          </w:tcPr>
          <w:p w14:paraId="60F762FF">
            <w:pPr>
              <w:rPr>
                <w:rFonts w:hint="eastAsia" w:ascii="宋体" w:hAnsi="宋体" w:eastAsia="宋体" w:cs="宋体"/>
                <w:color w:val="000000"/>
                <w:sz w:val="18"/>
                <w:szCs w:val="18"/>
              </w:rPr>
            </w:pPr>
          </w:p>
        </w:tc>
        <w:tc>
          <w:tcPr>
            <w:tcW w:w="620" w:type="pct"/>
            <w:gridSpan w:val="2"/>
            <w:tcBorders>
              <w:top w:val="single" w:color="auto" w:sz="4" w:space="0"/>
              <w:left w:val="nil"/>
              <w:bottom w:val="single" w:color="auto" w:sz="4" w:space="0"/>
              <w:right w:val="single" w:color="auto" w:sz="4" w:space="0"/>
            </w:tcBorders>
            <w:vAlign w:val="center"/>
          </w:tcPr>
          <w:p w14:paraId="0D9DABA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715" w:type="pct"/>
            <w:gridSpan w:val="2"/>
            <w:tcBorders>
              <w:top w:val="single" w:color="auto" w:sz="4" w:space="0"/>
              <w:left w:val="nil"/>
              <w:bottom w:val="single" w:color="auto" w:sz="4" w:space="0"/>
              <w:right w:val="single" w:color="auto" w:sz="4" w:space="0"/>
            </w:tcBorders>
            <w:vAlign w:val="center"/>
          </w:tcPr>
          <w:p w14:paraId="74CFD9E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3.00</w:t>
            </w:r>
          </w:p>
        </w:tc>
        <w:tc>
          <w:tcPr>
            <w:tcW w:w="816" w:type="pct"/>
            <w:gridSpan w:val="3"/>
            <w:tcBorders>
              <w:top w:val="single" w:color="auto" w:sz="4" w:space="0"/>
              <w:left w:val="nil"/>
              <w:bottom w:val="single" w:color="auto" w:sz="4" w:space="0"/>
              <w:right w:val="single" w:color="auto" w:sz="4" w:space="0"/>
            </w:tcBorders>
            <w:vAlign w:val="center"/>
          </w:tcPr>
          <w:p w14:paraId="64E816E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3.00</w:t>
            </w:r>
          </w:p>
        </w:tc>
        <w:tc>
          <w:tcPr>
            <w:tcW w:w="741" w:type="pct"/>
            <w:gridSpan w:val="2"/>
            <w:tcBorders>
              <w:top w:val="single" w:color="auto" w:sz="4" w:space="0"/>
              <w:left w:val="nil"/>
              <w:bottom w:val="single" w:color="auto" w:sz="4" w:space="0"/>
              <w:right w:val="single" w:color="auto" w:sz="4" w:space="0"/>
            </w:tcBorders>
            <w:vAlign w:val="center"/>
          </w:tcPr>
          <w:p w14:paraId="36C3E34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3.00</w:t>
            </w:r>
          </w:p>
        </w:tc>
        <w:tc>
          <w:tcPr>
            <w:tcW w:w="645" w:type="pct"/>
            <w:gridSpan w:val="2"/>
            <w:tcBorders>
              <w:top w:val="nil"/>
              <w:left w:val="nil"/>
              <w:bottom w:val="single" w:color="auto" w:sz="4" w:space="0"/>
              <w:right w:val="single" w:color="auto" w:sz="4" w:space="0"/>
            </w:tcBorders>
            <w:vAlign w:val="center"/>
          </w:tcPr>
          <w:p w14:paraId="13F3E81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80" w:type="pct"/>
            <w:gridSpan w:val="2"/>
            <w:tcBorders>
              <w:top w:val="single" w:color="auto" w:sz="4" w:space="0"/>
              <w:left w:val="nil"/>
              <w:bottom w:val="single" w:color="auto" w:sz="4" w:space="0"/>
              <w:right w:val="single" w:color="auto" w:sz="4" w:space="0"/>
            </w:tcBorders>
            <w:vAlign w:val="center"/>
          </w:tcPr>
          <w:p w14:paraId="0F1AF85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457" w:type="pct"/>
            <w:tcBorders>
              <w:top w:val="nil"/>
              <w:left w:val="nil"/>
              <w:bottom w:val="single" w:color="auto" w:sz="4" w:space="0"/>
              <w:right w:val="single" w:color="auto" w:sz="4" w:space="0"/>
            </w:tcBorders>
            <w:vAlign w:val="center"/>
          </w:tcPr>
          <w:p w14:paraId="18B620D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629D66F0">
        <w:tblPrEx>
          <w:tblCellMar>
            <w:top w:w="0" w:type="dxa"/>
            <w:left w:w="108" w:type="dxa"/>
            <w:bottom w:w="0" w:type="dxa"/>
            <w:right w:w="108" w:type="dxa"/>
          </w:tblCellMar>
        </w:tblPrEx>
        <w:trPr>
          <w:trHeight w:val="380" w:hRule="atLeast"/>
        </w:trPr>
        <w:tc>
          <w:tcPr>
            <w:tcW w:w="326" w:type="pct"/>
            <w:vMerge w:val="continue"/>
            <w:tcBorders>
              <w:top w:val="nil"/>
              <w:left w:val="single" w:color="auto" w:sz="4" w:space="0"/>
              <w:bottom w:val="single" w:color="auto" w:sz="4" w:space="0"/>
              <w:right w:val="single" w:color="auto" w:sz="4" w:space="0"/>
            </w:tcBorders>
            <w:vAlign w:val="center"/>
          </w:tcPr>
          <w:p w14:paraId="5EA88AD2">
            <w:pPr>
              <w:rPr>
                <w:rFonts w:hint="eastAsia" w:ascii="宋体" w:hAnsi="宋体" w:eastAsia="宋体" w:cs="宋体"/>
                <w:color w:val="000000"/>
                <w:sz w:val="18"/>
                <w:szCs w:val="18"/>
              </w:rPr>
            </w:pPr>
          </w:p>
        </w:tc>
        <w:tc>
          <w:tcPr>
            <w:tcW w:w="620" w:type="pct"/>
            <w:gridSpan w:val="2"/>
            <w:tcBorders>
              <w:top w:val="single" w:color="auto" w:sz="4" w:space="0"/>
              <w:left w:val="nil"/>
              <w:bottom w:val="single" w:color="auto" w:sz="4" w:space="0"/>
              <w:right w:val="single" w:color="auto" w:sz="4" w:space="0"/>
            </w:tcBorders>
            <w:vAlign w:val="center"/>
          </w:tcPr>
          <w:p w14:paraId="02E28A0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715" w:type="pct"/>
            <w:gridSpan w:val="2"/>
            <w:tcBorders>
              <w:top w:val="single" w:color="auto" w:sz="4" w:space="0"/>
              <w:left w:val="nil"/>
              <w:bottom w:val="single" w:color="auto" w:sz="4" w:space="0"/>
              <w:right w:val="single" w:color="auto" w:sz="4" w:space="0"/>
            </w:tcBorders>
            <w:vAlign w:val="center"/>
          </w:tcPr>
          <w:p w14:paraId="47D541E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816" w:type="pct"/>
            <w:gridSpan w:val="3"/>
            <w:tcBorders>
              <w:top w:val="single" w:color="auto" w:sz="4" w:space="0"/>
              <w:left w:val="nil"/>
              <w:bottom w:val="single" w:color="auto" w:sz="4" w:space="0"/>
              <w:right w:val="single" w:color="auto" w:sz="4" w:space="0"/>
            </w:tcBorders>
            <w:vAlign w:val="center"/>
          </w:tcPr>
          <w:p w14:paraId="5B4DDFD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741" w:type="pct"/>
            <w:gridSpan w:val="2"/>
            <w:tcBorders>
              <w:top w:val="single" w:color="auto" w:sz="4" w:space="0"/>
              <w:left w:val="nil"/>
              <w:bottom w:val="single" w:color="auto" w:sz="4" w:space="0"/>
              <w:right w:val="single" w:color="auto" w:sz="4" w:space="0"/>
            </w:tcBorders>
            <w:vAlign w:val="center"/>
          </w:tcPr>
          <w:p w14:paraId="5591DA7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645" w:type="pct"/>
            <w:gridSpan w:val="2"/>
            <w:tcBorders>
              <w:top w:val="nil"/>
              <w:left w:val="nil"/>
              <w:bottom w:val="single" w:color="auto" w:sz="4" w:space="0"/>
              <w:right w:val="single" w:color="auto" w:sz="4" w:space="0"/>
            </w:tcBorders>
            <w:vAlign w:val="center"/>
          </w:tcPr>
          <w:p w14:paraId="577684A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80" w:type="pct"/>
            <w:gridSpan w:val="2"/>
            <w:tcBorders>
              <w:top w:val="single" w:color="auto" w:sz="4" w:space="0"/>
              <w:left w:val="nil"/>
              <w:bottom w:val="single" w:color="auto" w:sz="4" w:space="0"/>
              <w:right w:val="single" w:color="auto" w:sz="4" w:space="0"/>
            </w:tcBorders>
            <w:vAlign w:val="center"/>
          </w:tcPr>
          <w:p w14:paraId="78CD00A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457" w:type="pct"/>
            <w:tcBorders>
              <w:top w:val="nil"/>
              <w:left w:val="nil"/>
              <w:bottom w:val="single" w:color="auto" w:sz="4" w:space="0"/>
              <w:right w:val="single" w:color="auto" w:sz="4" w:space="0"/>
            </w:tcBorders>
            <w:vAlign w:val="center"/>
          </w:tcPr>
          <w:p w14:paraId="6B9F8AD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1DF1A3FA">
        <w:tblPrEx>
          <w:tblCellMar>
            <w:top w:w="0" w:type="dxa"/>
            <w:left w:w="108" w:type="dxa"/>
            <w:bottom w:w="0" w:type="dxa"/>
            <w:right w:w="108" w:type="dxa"/>
          </w:tblCellMar>
        </w:tblPrEx>
        <w:trPr>
          <w:trHeight w:val="360" w:hRule="atLeast"/>
        </w:trPr>
        <w:tc>
          <w:tcPr>
            <w:tcW w:w="326" w:type="pct"/>
            <w:vMerge w:val="restart"/>
            <w:tcBorders>
              <w:top w:val="nil"/>
              <w:left w:val="single" w:color="auto" w:sz="4" w:space="0"/>
              <w:bottom w:val="single" w:color="auto" w:sz="4" w:space="0"/>
              <w:right w:val="single" w:color="auto" w:sz="4" w:space="0"/>
            </w:tcBorders>
            <w:vAlign w:val="center"/>
          </w:tcPr>
          <w:p w14:paraId="4B82FE7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2151" w:type="pct"/>
            <w:gridSpan w:val="7"/>
            <w:tcBorders>
              <w:top w:val="single" w:color="auto" w:sz="4" w:space="0"/>
              <w:left w:val="nil"/>
              <w:bottom w:val="single" w:color="auto" w:sz="4" w:space="0"/>
              <w:right w:val="single" w:color="auto" w:sz="4" w:space="0"/>
            </w:tcBorders>
            <w:vAlign w:val="center"/>
          </w:tcPr>
          <w:p w14:paraId="7B6A2AE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2523" w:type="pct"/>
            <w:gridSpan w:val="7"/>
            <w:tcBorders>
              <w:top w:val="single" w:color="auto" w:sz="4" w:space="0"/>
              <w:left w:val="nil"/>
              <w:bottom w:val="single" w:color="auto" w:sz="4" w:space="0"/>
              <w:right w:val="single" w:color="auto" w:sz="4" w:space="0"/>
            </w:tcBorders>
            <w:vAlign w:val="center"/>
          </w:tcPr>
          <w:p w14:paraId="32FC8E7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3D582D34">
        <w:tblPrEx>
          <w:tblCellMar>
            <w:top w:w="0" w:type="dxa"/>
            <w:left w:w="108" w:type="dxa"/>
            <w:bottom w:w="0" w:type="dxa"/>
            <w:right w:w="108" w:type="dxa"/>
          </w:tblCellMar>
        </w:tblPrEx>
        <w:trPr>
          <w:trHeight w:val="820" w:hRule="atLeast"/>
        </w:trPr>
        <w:tc>
          <w:tcPr>
            <w:tcW w:w="326" w:type="pct"/>
            <w:vMerge w:val="continue"/>
            <w:tcBorders>
              <w:top w:val="nil"/>
              <w:left w:val="single" w:color="auto" w:sz="4" w:space="0"/>
              <w:bottom w:val="single" w:color="auto" w:sz="4" w:space="0"/>
              <w:right w:val="single" w:color="auto" w:sz="4" w:space="0"/>
            </w:tcBorders>
            <w:vAlign w:val="center"/>
          </w:tcPr>
          <w:p w14:paraId="5A2C6B43">
            <w:pPr>
              <w:rPr>
                <w:rFonts w:hint="eastAsia" w:ascii="宋体" w:hAnsi="宋体" w:eastAsia="宋体" w:cs="宋体"/>
                <w:color w:val="000000"/>
                <w:sz w:val="18"/>
                <w:szCs w:val="18"/>
              </w:rPr>
            </w:pPr>
          </w:p>
        </w:tc>
        <w:tc>
          <w:tcPr>
            <w:tcW w:w="2151" w:type="pct"/>
            <w:gridSpan w:val="7"/>
            <w:tcBorders>
              <w:top w:val="single" w:color="auto" w:sz="4" w:space="0"/>
              <w:left w:val="nil"/>
              <w:bottom w:val="single" w:color="auto" w:sz="4" w:space="0"/>
              <w:right w:val="single" w:color="auto" w:sz="4" w:space="0"/>
            </w:tcBorders>
            <w:vAlign w:val="center"/>
          </w:tcPr>
          <w:p w14:paraId="751BC114">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通过该项目的实施，完成庭州法制人才经费保障工作，用于发放庭州法制人才人员补助，激发庭州法制人才工作积极性，实现更好的工作目标，进一步提高检验鉴定及侦查破案能力，实现更多的破小案、更快的破大案的目标，并在各类疑难重特大案（事）件侦破中，起到积极支撑作用。</w:t>
            </w:r>
          </w:p>
        </w:tc>
        <w:tc>
          <w:tcPr>
            <w:tcW w:w="2523" w:type="pct"/>
            <w:gridSpan w:val="7"/>
            <w:tcBorders>
              <w:top w:val="single" w:color="auto" w:sz="4" w:space="0"/>
              <w:left w:val="nil"/>
              <w:bottom w:val="single" w:color="auto" w:sz="4" w:space="0"/>
              <w:right w:val="single" w:color="auto" w:sz="4" w:space="0"/>
            </w:tcBorders>
            <w:vAlign w:val="center"/>
          </w:tcPr>
          <w:p w14:paraId="44CB1101">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支付庭州法制人才补助1人，发放补助到位率达到100%，发放补助准确率达到100%，发放补助准确率达到100%，激发工作积极性。</w:t>
            </w:r>
          </w:p>
        </w:tc>
      </w:tr>
      <w:tr w14:paraId="58FAA46A">
        <w:tblPrEx>
          <w:tblCellMar>
            <w:top w:w="0" w:type="dxa"/>
            <w:left w:w="108" w:type="dxa"/>
            <w:bottom w:w="0" w:type="dxa"/>
            <w:right w:w="108" w:type="dxa"/>
          </w:tblCellMar>
        </w:tblPrEx>
        <w:trPr>
          <w:trHeight w:val="820" w:hRule="atLeast"/>
        </w:trPr>
        <w:tc>
          <w:tcPr>
            <w:tcW w:w="326" w:type="pct"/>
            <w:tcBorders>
              <w:top w:val="nil"/>
              <w:left w:val="single" w:color="auto" w:sz="4" w:space="0"/>
              <w:bottom w:val="single" w:color="auto" w:sz="4" w:space="0"/>
              <w:right w:val="single" w:color="auto" w:sz="4" w:space="0"/>
            </w:tcBorders>
            <w:vAlign w:val="center"/>
          </w:tcPr>
          <w:p w14:paraId="7ACAF58F">
            <w:pPr>
              <w:rPr>
                <w:rFonts w:hint="eastAsia" w:ascii="宋体" w:hAnsi="宋体" w:eastAsia="宋体" w:cs="宋体"/>
                <w:color w:val="000000"/>
                <w:sz w:val="18"/>
                <w:szCs w:val="18"/>
                <w:lang w:eastAsia="zh-CN"/>
              </w:rPr>
            </w:pPr>
          </w:p>
        </w:tc>
        <w:tc>
          <w:tcPr>
            <w:tcW w:w="306" w:type="pct"/>
            <w:tcBorders>
              <w:top w:val="nil"/>
              <w:left w:val="nil"/>
              <w:bottom w:val="single" w:color="auto" w:sz="4" w:space="0"/>
              <w:right w:val="single" w:color="auto" w:sz="4" w:space="0"/>
            </w:tcBorders>
            <w:vAlign w:val="center"/>
          </w:tcPr>
          <w:p w14:paraId="573B6EB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314" w:type="pct"/>
            <w:tcBorders>
              <w:top w:val="nil"/>
              <w:left w:val="nil"/>
              <w:bottom w:val="single" w:color="auto" w:sz="4" w:space="0"/>
              <w:right w:val="single" w:color="auto" w:sz="4" w:space="0"/>
            </w:tcBorders>
            <w:vAlign w:val="center"/>
          </w:tcPr>
          <w:p w14:paraId="1E12BDB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458" w:type="pct"/>
            <w:tcBorders>
              <w:top w:val="single" w:color="auto" w:sz="4" w:space="0"/>
              <w:left w:val="nil"/>
              <w:bottom w:val="single" w:color="auto" w:sz="4" w:space="0"/>
              <w:right w:val="single" w:color="auto" w:sz="4" w:space="0"/>
            </w:tcBorders>
            <w:vAlign w:val="center"/>
          </w:tcPr>
          <w:p w14:paraId="5004020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321" w:type="pct"/>
            <w:gridSpan w:val="2"/>
            <w:tcBorders>
              <w:top w:val="nil"/>
              <w:left w:val="nil"/>
              <w:bottom w:val="single" w:color="auto" w:sz="4" w:space="0"/>
              <w:right w:val="single" w:color="auto" w:sz="4" w:space="0"/>
            </w:tcBorders>
            <w:vAlign w:val="center"/>
          </w:tcPr>
          <w:p w14:paraId="44CE680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376" w:type="pct"/>
            <w:tcBorders>
              <w:top w:val="nil"/>
              <w:left w:val="nil"/>
              <w:bottom w:val="single" w:color="auto" w:sz="4" w:space="0"/>
              <w:right w:val="single" w:color="auto" w:sz="4" w:space="0"/>
            </w:tcBorders>
            <w:vAlign w:val="center"/>
          </w:tcPr>
          <w:p w14:paraId="3D7A028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376" w:type="pct"/>
            <w:tcBorders>
              <w:top w:val="nil"/>
              <w:left w:val="nil"/>
              <w:bottom w:val="single" w:color="auto" w:sz="4" w:space="0"/>
              <w:right w:val="single" w:color="auto" w:sz="4" w:space="0"/>
            </w:tcBorders>
            <w:vAlign w:val="center"/>
          </w:tcPr>
          <w:p w14:paraId="0CBFC60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314" w:type="pct"/>
            <w:tcBorders>
              <w:top w:val="nil"/>
              <w:left w:val="nil"/>
              <w:bottom w:val="single" w:color="auto" w:sz="4" w:space="0"/>
              <w:right w:val="single" w:color="auto" w:sz="4" w:space="0"/>
            </w:tcBorders>
            <w:vAlign w:val="center"/>
          </w:tcPr>
          <w:p w14:paraId="341D550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427" w:type="pct"/>
            <w:tcBorders>
              <w:top w:val="nil"/>
              <w:left w:val="nil"/>
              <w:bottom w:val="single" w:color="auto" w:sz="4" w:space="0"/>
              <w:right w:val="single" w:color="auto" w:sz="4" w:space="0"/>
            </w:tcBorders>
            <w:vAlign w:val="center"/>
          </w:tcPr>
          <w:p w14:paraId="6454073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329" w:type="pct"/>
            <w:tcBorders>
              <w:top w:val="nil"/>
              <w:left w:val="nil"/>
              <w:bottom w:val="single" w:color="auto" w:sz="4" w:space="0"/>
              <w:right w:val="single" w:color="auto" w:sz="4" w:space="0"/>
            </w:tcBorders>
            <w:vAlign w:val="center"/>
          </w:tcPr>
          <w:p w14:paraId="06A5DE1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316" w:type="pct"/>
            <w:tcBorders>
              <w:top w:val="nil"/>
              <w:left w:val="nil"/>
              <w:bottom w:val="single" w:color="auto" w:sz="4" w:space="0"/>
              <w:right w:val="single" w:color="auto" w:sz="4" w:space="0"/>
            </w:tcBorders>
            <w:vAlign w:val="center"/>
          </w:tcPr>
          <w:p w14:paraId="2445DDA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359" w:type="pct"/>
            <w:tcBorders>
              <w:top w:val="nil"/>
              <w:left w:val="nil"/>
              <w:bottom w:val="single" w:color="auto" w:sz="4" w:space="0"/>
              <w:right w:val="single" w:color="auto" w:sz="4" w:space="0"/>
            </w:tcBorders>
            <w:vAlign w:val="center"/>
          </w:tcPr>
          <w:p w14:paraId="27559D4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321" w:type="pct"/>
            <w:tcBorders>
              <w:top w:val="nil"/>
              <w:left w:val="nil"/>
              <w:bottom w:val="single" w:color="auto" w:sz="4" w:space="0"/>
              <w:right w:val="single" w:color="auto" w:sz="4" w:space="0"/>
            </w:tcBorders>
            <w:vAlign w:val="center"/>
          </w:tcPr>
          <w:p w14:paraId="1A7F4A1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457" w:type="pct"/>
            <w:tcBorders>
              <w:top w:val="nil"/>
              <w:left w:val="nil"/>
              <w:bottom w:val="single" w:color="auto" w:sz="4" w:space="0"/>
              <w:right w:val="single" w:color="auto" w:sz="4" w:space="0"/>
            </w:tcBorders>
            <w:vAlign w:val="center"/>
          </w:tcPr>
          <w:p w14:paraId="204A2F05">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2B721EED">
        <w:tblPrEx>
          <w:tblCellMar>
            <w:top w:w="0" w:type="dxa"/>
            <w:left w:w="108" w:type="dxa"/>
            <w:bottom w:w="0" w:type="dxa"/>
            <w:right w:w="108" w:type="dxa"/>
          </w:tblCellMar>
        </w:tblPrEx>
        <w:trPr>
          <w:trHeight w:val="800" w:hRule="atLeast"/>
        </w:trPr>
        <w:tc>
          <w:tcPr>
            <w:tcW w:w="326" w:type="pct"/>
            <w:vMerge w:val="restart"/>
            <w:tcBorders>
              <w:top w:val="nil"/>
              <w:left w:val="single" w:color="auto" w:sz="4" w:space="0"/>
              <w:right w:val="single" w:color="auto" w:sz="4" w:space="0"/>
            </w:tcBorders>
            <w:vAlign w:val="center"/>
          </w:tcPr>
          <w:p w14:paraId="228248EE">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年度绩效指标完成情况</w:t>
            </w:r>
          </w:p>
        </w:tc>
        <w:tc>
          <w:tcPr>
            <w:tcW w:w="306" w:type="pct"/>
            <w:vMerge w:val="restart"/>
            <w:tcBorders>
              <w:top w:val="nil"/>
              <w:left w:val="nil"/>
              <w:right w:val="single" w:color="auto" w:sz="4" w:space="0"/>
            </w:tcBorders>
            <w:vAlign w:val="center"/>
          </w:tcPr>
          <w:p w14:paraId="7B34A4C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314" w:type="pct"/>
            <w:tcBorders>
              <w:top w:val="nil"/>
              <w:left w:val="nil"/>
              <w:bottom w:val="single" w:color="auto" w:sz="4" w:space="0"/>
              <w:right w:val="single" w:color="auto" w:sz="4" w:space="0"/>
            </w:tcBorders>
            <w:vAlign w:val="center"/>
          </w:tcPr>
          <w:p w14:paraId="2DA3649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58" w:type="pct"/>
            <w:tcBorders>
              <w:top w:val="single" w:color="auto" w:sz="4" w:space="0"/>
              <w:left w:val="nil"/>
              <w:bottom w:val="single" w:color="auto" w:sz="4" w:space="0"/>
              <w:right w:val="single" w:color="auto" w:sz="4" w:space="0"/>
            </w:tcBorders>
            <w:vAlign w:val="center"/>
          </w:tcPr>
          <w:p w14:paraId="70565169">
            <w:pPr>
              <w:rPr>
                <w:rFonts w:hint="eastAsia" w:ascii="宋体" w:hAnsi="宋体" w:eastAsia="宋体" w:cs="宋体"/>
                <w:color w:val="000000"/>
                <w:sz w:val="18"/>
                <w:szCs w:val="18"/>
              </w:rPr>
            </w:pPr>
            <w:r>
              <w:rPr>
                <w:rFonts w:hint="eastAsia" w:ascii="宋体" w:hAnsi="宋体" w:eastAsia="宋体" w:cs="宋体"/>
                <w:color w:val="000000"/>
                <w:sz w:val="18"/>
                <w:szCs w:val="18"/>
              </w:rPr>
              <w:t>发放补助人数</w:t>
            </w:r>
          </w:p>
        </w:tc>
        <w:tc>
          <w:tcPr>
            <w:tcW w:w="321" w:type="pct"/>
            <w:gridSpan w:val="2"/>
            <w:tcBorders>
              <w:top w:val="nil"/>
              <w:left w:val="nil"/>
              <w:bottom w:val="single" w:color="auto" w:sz="4" w:space="0"/>
              <w:right w:val="single" w:color="auto" w:sz="4" w:space="0"/>
            </w:tcBorders>
            <w:vAlign w:val="center"/>
          </w:tcPr>
          <w:p w14:paraId="3A7E2C9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76" w:type="pct"/>
            <w:tcBorders>
              <w:top w:val="nil"/>
              <w:left w:val="nil"/>
              <w:bottom w:val="single" w:color="auto" w:sz="4" w:space="0"/>
              <w:right w:val="single" w:color="auto" w:sz="4" w:space="0"/>
            </w:tcBorders>
            <w:vAlign w:val="center"/>
          </w:tcPr>
          <w:p w14:paraId="1580A79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=1人</w:t>
            </w:r>
          </w:p>
        </w:tc>
        <w:tc>
          <w:tcPr>
            <w:tcW w:w="376" w:type="pct"/>
            <w:tcBorders>
              <w:top w:val="nil"/>
              <w:left w:val="nil"/>
              <w:bottom w:val="single" w:color="auto" w:sz="4" w:space="0"/>
              <w:right w:val="single" w:color="auto" w:sz="4" w:space="0"/>
            </w:tcBorders>
            <w:vAlign w:val="center"/>
          </w:tcPr>
          <w:p w14:paraId="03AA41C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=1人</w:t>
            </w:r>
          </w:p>
        </w:tc>
        <w:tc>
          <w:tcPr>
            <w:tcW w:w="314" w:type="pct"/>
            <w:tcBorders>
              <w:top w:val="nil"/>
              <w:left w:val="nil"/>
              <w:bottom w:val="single" w:color="auto" w:sz="4" w:space="0"/>
              <w:right w:val="single" w:color="auto" w:sz="4" w:space="0"/>
            </w:tcBorders>
            <w:vAlign w:val="center"/>
          </w:tcPr>
          <w:p w14:paraId="35AADED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427" w:type="pct"/>
            <w:tcBorders>
              <w:top w:val="nil"/>
              <w:left w:val="nil"/>
              <w:bottom w:val="single" w:color="auto" w:sz="4" w:space="0"/>
              <w:right w:val="single" w:color="auto" w:sz="4" w:space="0"/>
            </w:tcBorders>
            <w:vAlign w:val="center"/>
          </w:tcPr>
          <w:p w14:paraId="7733ACA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29" w:type="pct"/>
            <w:tcBorders>
              <w:top w:val="nil"/>
              <w:left w:val="nil"/>
              <w:bottom w:val="single" w:color="auto" w:sz="4" w:space="0"/>
              <w:right w:val="single" w:color="auto" w:sz="4" w:space="0"/>
            </w:tcBorders>
            <w:vAlign w:val="center"/>
          </w:tcPr>
          <w:p w14:paraId="1472841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16" w:type="pct"/>
            <w:tcBorders>
              <w:top w:val="nil"/>
              <w:left w:val="nil"/>
              <w:bottom w:val="single" w:color="auto" w:sz="4" w:space="0"/>
              <w:right w:val="single" w:color="auto" w:sz="4" w:space="0"/>
            </w:tcBorders>
            <w:vAlign w:val="center"/>
          </w:tcPr>
          <w:p w14:paraId="08432E7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59" w:type="pct"/>
            <w:tcBorders>
              <w:top w:val="nil"/>
              <w:left w:val="nil"/>
              <w:bottom w:val="single" w:color="auto" w:sz="4" w:space="0"/>
              <w:right w:val="single" w:color="auto" w:sz="4" w:space="0"/>
            </w:tcBorders>
            <w:vAlign w:val="center"/>
          </w:tcPr>
          <w:p w14:paraId="145A749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1" w:type="pct"/>
            <w:tcBorders>
              <w:top w:val="nil"/>
              <w:left w:val="nil"/>
              <w:bottom w:val="single" w:color="auto" w:sz="4" w:space="0"/>
              <w:right w:val="single" w:color="auto" w:sz="4" w:space="0"/>
            </w:tcBorders>
            <w:vAlign w:val="center"/>
          </w:tcPr>
          <w:p w14:paraId="6D373A7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457" w:type="pct"/>
            <w:tcBorders>
              <w:top w:val="nil"/>
              <w:left w:val="nil"/>
              <w:bottom w:val="single" w:color="auto" w:sz="4" w:space="0"/>
              <w:right w:val="single" w:color="auto" w:sz="4" w:space="0"/>
            </w:tcBorders>
            <w:vAlign w:val="center"/>
          </w:tcPr>
          <w:p w14:paraId="7AC9D15F">
            <w:pPr>
              <w:jc w:val="center"/>
              <w:rPr>
                <w:rFonts w:hint="eastAsia" w:ascii="宋体" w:hAnsi="宋体" w:eastAsia="宋体" w:cs="宋体"/>
                <w:color w:val="000000"/>
                <w:sz w:val="18"/>
                <w:szCs w:val="18"/>
              </w:rPr>
            </w:pPr>
          </w:p>
        </w:tc>
      </w:tr>
      <w:tr w14:paraId="5A663769">
        <w:tblPrEx>
          <w:tblCellMar>
            <w:top w:w="0" w:type="dxa"/>
            <w:left w:w="108" w:type="dxa"/>
            <w:bottom w:w="0" w:type="dxa"/>
            <w:right w:w="108" w:type="dxa"/>
          </w:tblCellMar>
        </w:tblPrEx>
        <w:trPr>
          <w:trHeight w:val="800" w:hRule="atLeast"/>
        </w:trPr>
        <w:tc>
          <w:tcPr>
            <w:tcW w:w="326" w:type="pct"/>
            <w:vMerge w:val="continue"/>
            <w:tcBorders>
              <w:left w:val="single" w:color="auto" w:sz="4" w:space="0"/>
              <w:right w:val="single" w:color="auto" w:sz="4" w:space="0"/>
            </w:tcBorders>
            <w:vAlign w:val="center"/>
          </w:tcPr>
          <w:p w14:paraId="541935D9">
            <w:pPr>
              <w:jc w:val="center"/>
              <w:rPr>
                <w:rFonts w:hint="eastAsia" w:ascii="宋体" w:hAnsi="宋体" w:eastAsia="宋体" w:cs="宋体"/>
                <w:color w:val="000000"/>
                <w:sz w:val="18"/>
                <w:szCs w:val="18"/>
              </w:rPr>
            </w:pPr>
          </w:p>
        </w:tc>
        <w:tc>
          <w:tcPr>
            <w:tcW w:w="306" w:type="pct"/>
            <w:vMerge w:val="continue"/>
            <w:tcBorders>
              <w:left w:val="nil"/>
              <w:right w:val="single" w:color="auto" w:sz="4" w:space="0"/>
            </w:tcBorders>
            <w:vAlign w:val="center"/>
          </w:tcPr>
          <w:p w14:paraId="6633B82C">
            <w:pPr>
              <w:jc w:val="center"/>
              <w:rPr>
                <w:rFonts w:hint="eastAsia" w:ascii="宋体" w:hAnsi="宋体" w:eastAsia="宋体" w:cs="宋体"/>
                <w:color w:val="000000"/>
                <w:sz w:val="18"/>
                <w:szCs w:val="18"/>
              </w:rPr>
            </w:pPr>
          </w:p>
        </w:tc>
        <w:tc>
          <w:tcPr>
            <w:tcW w:w="314" w:type="pct"/>
            <w:tcBorders>
              <w:top w:val="nil"/>
              <w:left w:val="nil"/>
              <w:bottom w:val="single" w:color="auto" w:sz="4" w:space="0"/>
              <w:right w:val="single" w:color="auto" w:sz="4" w:space="0"/>
            </w:tcBorders>
            <w:vAlign w:val="center"/>
          </w:tcPr>
          <w:p w14:paraId="692D50D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458" w:type="pct"/>
            <w:tcBorders>
              <w:top w:val="single" w:color="auto" w:sz="4" w:space="0"/>
              <w:left w:val="nil"/>
              <w:bottom w:val="single" w:color="auto" w:sz="4" w:space="0"/>
              <w:right w:val="single" w:color="auto" w:sz="4" w:space="0"/>
            </w:tcBorders>
            <w:vAlign w:val="center"/>
          </w:tcPr>
          <w:p w14:paraId="0A84292C">
            <w:pPr>
              <w:rPr>
                <w:rFonts w:hint="eastAsia" w:ascii="宋体" w:hAnsi="宋体" w:eastAsia="宋体" w:cs="宋体"/>
                <w:color w:val="000000"/>
                <w:sz w:val="18"/>
                <w:szCs w:val="18"/>
              </w:rPr>
            </w:pPr>
            <w:r>
              <w:rPr>
                <w:rFonts w:hint="eastAsia" w:ascii="宋体" w:hAnsi="宋体" w:eastAsia="宋体" w:cs="宋体"/>
                <w:color w:val="000000"/>
                <w:sz w:val="18"/>
                <w:szCs w:val="18"/>
              </w:rPr>
              <w:t>发放补助准确率</w:t>
            </w:r>
          </w:p>
        </w:tc>
        <w:tc>
          <w:tcPr>
            <w:tcW w:w="321" w:type="pct"/>
            <w:gridSpan w:val="2"/>
            <w:tcBorders>
              <w:top w:val="nil"/>
              <w:left w:val="nil"/>
              <w:bottom w:val="single" w:color="auto" w:sz="4" w:space="0"/>
              <w:right w:val="single" w:color="auto" w:sz="4" w:space="0"/>
            </w:tcBorders>
            <w:vAlign w:val="center"/>
          </w:tcPr>
          <w:p w14:paraId="0B2C2C4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76" w:type="pct"/>
            <w:tcBorders>
              <w:top w:val="nil"/>
              <w:left w:val="nil"/>
              <w:bottom w:val="single" w:color="auto" w:sz="4" w:space="0"/>
              <w:right w:val="single" w:color="auto" w:sz="4" w:space="0"/>
            </w:tcBorders>
            <w:vAlign w:val="center"/>
          </w:tcPr>
          <w:p w14:paraId="38AAF7C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6" w:type="pct"/>
            <w:tcBorders>
              <w:top w:val="nil"/>
              <w:left w:val="nil"/>
              <w:bottom w:val="single" w:color="auto" w:sz="4" w:space="0"/>
              <w:right w:val="single" w:color="auto" w:sz="4" w:space="0"/>
            </w:tcBorders>
            <w:vAlign w:val="center"/>
          </w:tcPr>
          <w:p w14:paraId="11F08DA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14" w:type="pct"/>
            <w:tcBorders>
              <w:top w:val="nil"/>
              <w:left w:val="nil"/>
              <w:bottom w:val="single" w:color="auto" w:sz="4" w:space="0"/>
              <w:right w:val="single" w:color="auto" w:sz="4" w:space="0"/>
            </w:tcBorders>
            <w:vAlign w:val="center"/>
          </w:tcPr>
          <w:p w14:paraId="5476D28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427" w:type="pct"/>
            <w:tcBorders>
              <w:top w:val="nil"/>
              <w:left w:val="nil"/>
              <w:bottom w:val="single" w:color="auto" w:sz="4" w:space="0"/>
              <w:right w:val="single" w:color="auto" w:sz="4" w:space="0"/>
            </w:tcBorders>
            <w:vAlign w:val="center"/>
          </w:tcPr>
          <w:p w14:paraId="6D783C5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29" w:type="pct"/>
            <w:tcBorders>
              <w:top w:val="nil"/>
              <w:left w:val="nil"/>
              <w:bottom w:val="single" w:color="auto" w:sz="4" w:space="0"/>
              <w:right w:val="single" w:color="auto" w:sz="4" w:space="0"/>
            </w:tcBorders>
            <w:vAlign w:val="center"/>
          </w:tcPr>
          <w:p w14:paraId="38B0D77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16" w:type="pct"/>
            <w:tcBorders>
              <w:top w:val="nil"/>
              <w:left w:val="nil"/>
              <w:bottom w:val="single" w:color="auto" w:sz="4" w:space="0"/>
              <w:right w:val="single" w:color="auto" w:sz="4" w:space="0"/>
            </w:tcBorders>
            <w:vAlign w:val="center"/>
          </w:tcPr>
          <w:p w14:paraId="73479B4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59" w:type="pct"/>
            <w:tcBorders>
              <w:top w:val="nil"/>
              <w:left w:val="nil"/>
              <w:bottom w:val="single" w:color="auto" w:sz="4" w:space="0"/>
              <w:right w:val="single" w:color="auto" w:sz="4" w:space="0"/>
            </w:tcBorders>
            <w:vAlign w:val="center"/>
          </w:tcPr>
          <w:p w14:paraId="1D1C7D2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1" w:type="pct"/>
            <w:tcBorders>
              <w:top w:val="nil"/>
              <w:left w:val="nil"/>
              <w:bottom w:val="single" w:color="auto" w:sz="4" w:space="0"/>
              <w:right w:val="single" w:color="auto" w:sz="4" w:space="0"/>
            </w:tcBorders>
            <w:vAlign w:val="center"/>
          </w:tcPr>
          <w:p w14:paraId="68F95DE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457" w:type="pct"/>
            <w:tcBorders>
              <w:top w:val="nil"/>
              <w:left w:val="nil"/>
              <w:bottom w:val="single" w:color="auto" w:sz="4" w:space="0"/>
              <w:right w:val="single" w:color="auto" w:sz="4" w:space="0"/>
            </w:tcBorders>
            <w:vAlign w:val="center"/>
          </w:tcPr>
          <w:p w14:paraId="4193B3D1">
            <w:pPr>
              <w:jc w:val="center"/>
              <w:rPr>
                <w:rFonts w:hint="eastAsia" w:ascii="宋体" w:hAnsi="宋体" w:eastAsia="宋体" w:cs="宋体"/>
                <w:color w:val="000000"/>
                <w:sz w:val="18"/>
                <w:szCs w:val="18"/>
              </w:rPr>
            </w:pPr>
          </w:p>
        </w:tc>
      </w:tr>
      <w:tr w14:paraId="262A32E9">
        <w:tblPrEx>
          <w:tblCellMar>
            <w:top w:w="0" w:type="dxa"/>
            <w:left w:w="108" w:type="dxa"/>
            <w:bottom w:w="0" w:type="dxa"/>
            <w:right w:w="108" w:type="dxa"/>
          </w:tblCellMar>
        </w:tblPrEx>
        <w:trPr>
          <w:trHeight w:val="800" w:hRule="atLeast"/>
        </w:trPr>
        <w:tc>
          <w:tcPr>
            <w:tcW w:w="326" w:type="pct"/>
            <w:vMerge w:val="continue"/>
            <w:tcBorders>
              <w:left w:val="single" w:color="auto" w:sz="4" w:space="0"/>
              <w:right w:val="single" w:color="auto" w:sz="4" w:space="0"/>
            </w:tcBorders>
            <w:vAlign w:val="center"/>
          </w:tcPr>
          <w:p w14:paraId="1E6892DC">
            <w:pPr>
              <w:jc w:val="center"/>
              <w:rPr>
                <w:rFonts w:hint="eastAsia" w:ascii="宋体" w:hAnsi="宋体" w:eastAsia="宋体" w:cs="宋体"/>
                <w:color w:val="000000"/>
                <w:sz w:val="18"/>
                <w:szCs w:val="18"/>
              </w:rPr>
            </w:pPr>
          </w:p>
        </w:tc>
        <w:tc>
          <w:tcPr>
            <w:tcW w:w="306" w:type="pct"/>
            <w:vMerge w:val="continue"/>
            <w:tcBorders>
              <w:left w:val="nil"/>
              <w:right w:val="single" w:color="auto" w:sz="4" w:space="0"/>
            </w:tcBorders>
            <w:vAlign w:val="center"/>
          </w:tcPr>
          <w:p w14:paraId="2CD6C1FD">
            <w:pPr>
              <w:jc w:val="center"/>
              <w:rPr>
                <w:rFonts w:hint="eastAsia" w:ascii="宋体" w:hAnsi="宋体" w:eastAsia="宋体" w:cs="宋体"/>
                <w:color w:val="000000"/>
                <w:sz w:val="18"/>
                <w:szCs w:val="18"/>
              </w:rPr>
            </w:pPr>
          </w:p>
        </w:tc>
        <w:tc>
          <w:tcPr>
            <w:tcW w:w="314" w:type="pct"/>
            <w:tcBorders>
              <w:top w:val="nil"/>
              <w:left w:val="nil"/>
              <w:bottom w:val="single" w:color="auto" w:sz="4" w:space="0"/>
              <w:right w:val="single" w:color="auto" w:sz="4" w:space="0"/>
            </w:tcBorders>
            <w:vAlign w:val="center"/>
          </w:tcPr>
          <w:p w14:paraId="45DCC60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458" w:type="pct"/>
            <w:tcBorders>
              <w:top w:val="single" w:color="auto" w:sz="4" w:space="0"/>
              <w:left w:val="nil"/>
              <w:bottom w:val="single" w:color="auto" w:sz="4" w:space="0"/>
              <w:right w:val="single" w:color="auto" w:sz="4" w:space="0"/>
            </w:tcBorders>
            <w:vAlign w:val="center"/>
          </w:tcPr>
          <w:p w14:paraId="41A4C597">
            <w:pPr>
              <w:rPr>
                <w:rFonts w:hint="eastAsia" w:ascii="宋体" w:hAnsi="宋体" w:eastAsia="宋体" w:cs="宋体"/>
                <w:color w:val="000000"/>
                <w:sz w:val="18"/>
                <w:szCs w:val="18"/>
              </w:rPr>
            </w:pPr>
            <w:r>
              <w:rPr>
                <w:rFonts w:hint="eastAsia" w:ascii="宋体" w:hAnsi="宋体" w:eastAsia="宋体" w:cs="宋体"/>
                <w:color w:val="000000"/>
                <w:sz w:val="18"/>
                <w:szCs w:val="18"/>
              </w:rPr>
              <w:t>发放补助到位率</w:t>
            </w:r>
          </w:p>
        </w:tc>
        <w:tc>
          <w:tcPr>
            <w:tcW w:w="321" w:type="pct"/>
            <w:gridSpan w:val="2"/>
            <w:tcBorders>
              <w:top w:val="nil"/>
              <w:left w:val="nil"/>
              <w:bottom w:val="single" w:color="auto" w:sz="4" w:space="0"/>
              <w:right w:val="single" w:color="auto" w:sz="4" w:space="0"/>
            </w:tcBorders>
            <w:vAlign w:val="center"/>
          </w:tcPr>
          <w:p w14:paraId="693D18A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76" w:type="pct"/>
            <w:tcBorders>
              <w:top w:val="nil"/>
              <w:left w:val="nil"/>
              <w:bottom w:val="single" w:color="auto" w:sz="4" w:space="0"/>
              <w:right w:val="single" w:color="auto" w:sz="4" w:space="0"/>
            </w:tcBorders>
            <w:vAlign w:val="center"/>
          </w:tcPr>
          <w:p w14:paraId="67E7C6F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6" w:type="pct"/>
            <w:tcBorders>
              <w:top w:val="nil"/>
              <w:left w:val="nil"/>
              <w:bottom w:val="single" w:color="auto" w:sz="4" w:space="0"/>
              <w:right w:val="single" w:color="auto" w:sz="4" w:space="0"/>
            </w:tcBorders>
            <w:vAlign w:val="center"/>
          </w:tcPr>
          <w:p w14:paraId="41C8B4B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14" w:type="pct"/>
            <w:tcBorders>
              <w:top w:val="nil"/>
              <w:left w:val="nil"/>
              <w:bottom w:val="single" w:color="auto" w:sz="4" w:space="0"/>
              <w:right w:val="single" w:color="auto" w:sz="4" w:space="0"/>
            </w:tcBorders>
            <w:vAlign w:val="center"/>
          </w:tcPr>
          <w:p w14:paraId="4BC9B92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427" w:type="pct"/>
            <w:tcBorders>
              <w:top w:val="nil"/>
              <w:left w:val="nil"/>
              <w:bottom w:val="single" w:color="auto" w:sz="4" w:space="0"/>
              <w:right w:val="single" w:color="auto" w:sz="4" w:space="0"/>
            </w:tcBorders>
            <w:vAlign w:val="center"/>
          </w:tcPr>
          <w:p w14:paraId="14D103D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29" w:type="pct"/>
            <w:tcBorders>
              <w:top w:val="nil"/>
              <w:left w:val="nil"/>
              <w:bottom w:val="single" w:color="auto" w:sz="4" w:space="0"/>
              <w:right w:val="single" w:color="auto" w:sz="4" w:space="0"/>
            </w:tcBorders>
            <w:vAlign w:val="center"/>
          </w:tcPr>
          <w:p w14:paraId="318DB79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16" w:type="pct"/>
            <w:tcBorders>
              <w:top w:val="nil"/>
              <w:left w:val="nil"/>
              <w:bottom w:val="single" w:color="auto" w:sz="4" w:space="0"/>
              <w:right w:val="single" w:color="auto" w:sz="4" w:space="0"/>
            </w:tcBorders>
            <w:vAlign w:val="center"/>
          </w:tcPr>
          <w:p w14:paraId="24C9A75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59" w:type="pct"/>
            <w:tcBorders>
              <w:top w:val="nil"/>
              <w:left w:val="nil"/>
              <w:bottom w:val="single" w:color="auto" w:sz="4" w:space="0"/>
              <w:right w:val="single" w:color="auto" w:sz="4" w:space="0"/>
            </w:tcBorders>
            <w:vAlign w:val="center"/>
          </w:tcPr>
          <w:p w14:paraId="6725ECB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1" w:type="pct"/>
            <w:tcBorders>
              <w:top w:val="nil"/>
              <w:left w:val="nil"/>
              <w:bottom w:val="single" w:color="auto" w:sz="4" w:space="0"/>
              <w:right w:val="single" w:color="auto" w:sz="4" w:space="0"/>
            </w:tcBorders>
            <w:vAlign w:val="center"/>
          </w:tcPr>
          <w:p w14:paraId="34F69A6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457" w:type="pct"/>
            <w:tcBorders>
              <w:top w:val="nil"/>
              <w:left w:val="nil"/>
              <w:bottom w:val="single" w:color="auto" w:sz="4" w:space="0"/>
              <w:right w:val="single" w:color="auto" w:sz="4" w:space="0"/>
            </w:tcBorders>
            <w:vAlign w:val="center"/>
          </w:tcPr>
          <w:p w14:paraId="738DE8D5">
            <w:pPr>
              <w:jc w:val="center"/>
              <w:rPr>
                <w:rFonts w:hint="eastAsia" w:ascii="宋体" w:hAnsi="宋体" w:eastAsia="宋体" w:cs="宋体"/>
                <w:color w:val="000000"/>
                <w:sz w:val="18"/>
                <w:szCs w:val="18"/>
              </w:rPr>
            </w:pPr>
          </w:p>
        </w:tc>
      </w:tr>
      <w:tr w14:paraId="1BCCEA74">
        <w:tblPrEx>
          <w:tblCellMar>
            <w:top w:w="0" w:type="dxa"/>
            <w:left w:w="108" w:type="dxa"/>
            <w:bottom w:w="0" w:type="dxa"/>
            <w:right w:w="108" w:type="dxa"/>
          </w:tblCellMar>
        </w:tblPrEx>
        <w:trPr>
          <w:trHeight w:val="800" w:hRule="atLeast"/>
        </w:trPr>
        <w:tc>
          <w:tcPr>
            <w:tcW w:w="326" w:type="pct"/>
            <w:vMerge w:val="continue"/>
            <w:tcBorders>
              <w:left w:val="single" w:color="auto" w:sz="4" w:space="0"/>
              <w:right w:val="single" w:color="auto" w:sz="4" w:space="0"/>
            </w:tcBorders>
            <w:vAlign w:val="center"/>
          </w:tcPr>
          <w:p w14:paraId="3BEFCE1D">
            <w:pPr>
              <w:rPr>
                <w:rFonts w:hint="eastAsia" w:ascii="宋体" w:hAnsi="宋体" w:eastAsia="宋体" w:cs="宋体"/>
                <w:color w:val="000000"/>
                <w:sz w:val="18"/>
                <w:szCs w:val="18"/>
              </w:rPr>
            </w:pPr>
          </w:p>
        </w:tc>
        <w:tc>
          <w:tcPr>
            <w:tcW w:w="306" w:type="pct"/>
            <w:vMerge w:val="continue"/>
            <w:tcBorders>
              <w:left w:val="nil"/>
              <w:bottom w:val="single" w:color="auto" w:sz="4" w:space="0"/>
              <w:right w:val="single" w:color="auto" w:sz="4" w:space="0"/>
            </w:tcBorders>
            <w:vAlign w:val="center"/>
          </w:tcPr>
          <w:p w14:paraId="79C31496">
            <w:pPr>
              <w:jc w:val="center"/>
              <w:rPr>
                <w:rFonts w:hint="eastAsia" w:ascii="宋体" w:hAnsi="宋体" w:eastAsia="宋体" w:cs="宋体"/>
                <w:color w:val="000000"/>
                <w:sz w:val="18"/>
                <w:szCs w:val="18"/>
              </w:rPr>
            </w:pPr>
          </w:p>
        </w:tc>
        <w:tc>
          <w:tcPr>
            <w:tcW w:w="314" w:type="pct"/>
            <w:tcBorders>
              <w:top w:val="nil"/>
              <w:left w:val="nil"/>
              <w:bottom w:val="single" w:color="auto" w:sz="4" w:space="0"/>
              <w:right w:val="single" w:color="auto" w:sz="4" w:space="0"/>
            </w:tcBorders>
            <w:vAlign w:val="center"/>
          </w:tcPr>
          <w:p w14:paraId="4BF9A77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458" w:type="pct"/>
            <w:tcBorders>
              <w:top w:val="single" w:color="auto" w:sz="4" w:space="0"/>
              <w:left w:val="nil"/>
              <w:bottom w:val="single" w:color="auto" w:sz="4" w:space="0"/>
              <w:right w:val="single" w:color="auto" w:sz="4" w:space="0"/>
            </w:tcBorders>
            <w:vAlign w:val="center"/>
          </w:tcPr>
          <w:p w14:paraId="439A6C81">
            <w:pPr>
              <w:rPr>
                <w:rFonts w:hint="eastAsia" w:ascii="宋体" w:hAnsi="宋体" w:eastAsia="宋体" w:cs="宋体"/>
                <w:color w:val="000000"/>
                <w:sz w:val="18"/>
                <w:szCs w:val="18"/>
              </w:rPr>
            </w:pPr>
            <w:r>
              <w:rPr>
                <w:rFonts w:hint="eastAsia" w:ascii="宋体" w:hAnsi="宋体" w:eastAsia="宋体" w:cs="宋体"/>
                <w:color w:val="000000"/>
                <w:sz w:val="18"/>
                <w:szCs w:val="18"/>
              </w:rPr>
              <w:t>资金发放及时率</w:t>
            </w:r>
          </w:p>
        </w:tc>
        <w:tc>
          <w:tcPr>
            <w:tcW w:w="321" w:type="pct"/>
            <w:gridSpan w:val="2"/>
            <w:tcBorders>
              <w:top w:val="nil"/>
              <w:left w:val="nil"/>
              <w:bottom w:val="single" w:color="auto" w:sz="4" w:space="0"/>
              <w:right w:val="single" w:color="auto" w:sz="4" w:space="0"/>
            </w:tcBorders>
            <w:vAlign w:val="center"/>
          </w:tcPr>
          <w:p w14:paraId="1641566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76" w:type="pct"/>
            <w:tcBorders>
              <w:top w:val="nil"/>
              <w:left w:val="nil"/>
              <w:bottom w:val="single" w:color="auto" w:sz="4" w:space="0"/>
              <w:right w:val="single" w:color="auto" w:sz="4" w:space="0"/>
            </w:tcBorders>
            <w:vAlign w:val="center"/>
          </w:tcPr>
          <w:p w14:paraId="639C501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6" w:type="pct"/>
            <w:tcBorders>
              <w:top w:val="nil"/>
              <w:left w:val="nil"/>
              <w:bottom w:val="single" w:color="auto" w:sz="4" w:space="0"/>
              <w:right w:val="single" w:color="auto" w:sz="4" w:space="0"/>
            </w:tcBorders>
            <w:vAlign w:val="center"/>
          </w:tcPr>
          <w:p w14:paraId="7EBA1FD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14" w:type="pct"/>
            <w:tcBorders>
              <w:top w:val="nil"/>
              <w:left w:val="nil"/>
              <w:bottom w:val="single" w:color="auto" w:sz="4" w:space="0"/>
              <w:right w:val="single" w:color="auto" w:sz="4" w:space="0"/>
            </w:tcBorders>
            <w:vAlign w:val="center"/>
          </w:tcPr>
          <w:p w14:paraId="45640A2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427" w:type="pct"/>
            <w:tcBorders>
              <w:top w:val="nil"/>
              <w:left w:val="nil"/>
              <w:bottom w:val="single" w:color="auto" w:sz="4" w:space="0"/>
              <w:right w:val="single" w:color="auto" w:sz="4" w:space="0"/>
            </w:tcBorders>
            <w:vAlign w:val="center"/>
          </w:tcPr>
          <w:p w14:paraId="29E6DAB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29" w:type="pct"/>
            <w:tcBorders>
              <w:top w:val="nil"/>
              <w:left w:val="nil"/>
              <w:bottom w:val="single" w:color="auto" w:sz="4" w:space="0"/>
              <w:right w:val="single" w:color="auto" w:sz="4" w:space="0"/>
            </w:tcBorders>
            <w:vAlign w:val="center"/>
          </w:tcPr>
          <w:p w14:paraId="1861F9E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16" w:type="pct"/>
            <w:tcBorders>
              <w:top w:val="nil"/>
              <w:left w:val="nil"/>
              <w:bottom w:val="single" w:color="auto" w:sz="4" w:space="0"/>
              <w:right w:val="single" w:color="auto" w:sz="4" w:space="0"/>
            </w:tcBorders>
            <w:vAlign w:val="center"/>
          </w:tcPr>
          <w:p w14:paraId="01BBB3D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59" w:type="pct"/>
            <w:tcBorders>
              <w:top w:val="nil"/>
              <w:left w:val="nil"/>
              <w:bottom w:val="single" w:color="auto" w:sz="4" w:space="0"/>
              <w:right w:val="single" w:color="auto" w:sz="4" w:space="0"/>
            </w:tcBorders>
            <w:vAlign w:val="center"/>
          </w:tcPr>
          <w:p w14:paraId="18EFBC3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1" w:type="pct"/>
            <w:tcBorders>
              <w:top w:val="nil"/>
              <w:left w:val="nil"/>
              <w:bottom w:val="single" w:color="auto" w:sz="4" w:space="0"/>
              <w:right w:val="single" w:color="auto" w:sz="4" w:space="0"/>
            </w:tcBorders>
            <w:vAlign w:val="center"/>
          </w:tcPr>
          <w:p w14:paraId="401453C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457" w:type="pct"/>
            <w:tcBorders>
              <w:top w:val="nil"/>
              <w:left w:val="nil"/>
              <w:bottom w:val="single" w:color="auto" w:sz="4" w:space="0"/>
              <w:right w:val="single" w:color="auto" w:sz="4" w:space="0"/>
            </w:tcBorders>
            <w:vAlign w:val="center"/>
          </w:tcPr>
          <w:p w14:paraId="66DF33A3">
            <w:pPr>
              <w:jc w:val="center"/>
              <w:rPr>
                <w:rFonts w:hint="eastAsia" w:ascii="宋体" w:hAnsi="宋体" w:eastAsia="宋体" w:cs="宋体"/>
                <w:color w:val="000000"/>
                <w:sz w:val="18"/>
                <w:szCs w:val="18"/>
              </w:rPr>
            </w:pPr>
          </w:p>
        </w:tc>
      </w:tr>
      <w:tr w14:paraId="123F4B64">
        <w:tblPrEx>
          <w:tblCellMar>
            <w:top w:w="0" w:type="dxa"/>
            <w:left w:w="108" w:type="dxa"/>
            <w:bottom w:w="0" w:type="dxa"/>
            <w:right w:w="108" w:type="dxa"/>
          </w:tblCellMar>
        </w:tblPrEx>
        <w:trPr>
          <w:trHeight w:val="800" w:hRule="atLeast"/>
        </w:trPr>
        <w:tc>
          <w:tcPr>
            <w:tcW w:w="326" w:type="pct"/>
            <w:vMerge w:val="continue"/>
            <w:tcBorders>
              <w:left w:val="single" w:color="auto" w:sz="4" w:space="0"/>
              <w:right w:val="single" w:color="auto" w:sz="4" w:space="0"/>
            </w:tcBorders>
            <w:vAlign w:val="center"/>
          </w:tcPr>
          <w:p w14:paraId="1F4B2FBF">
            <w:pPr>
              <w:rPr>
                <w:rFonts w:hint="eastAsia" w:ascii="宋体" w:hAnsi="宋体" w:eastAsia="宋体" w:cs="宋体"/>
                <w:color w:val="000000"/>
                <w:sz w:val="18"/>
                <w:szCs w:val="18"/>
              </w:rPr>
            </w:pPr>
          </w:p>
        </w:tc>
        <w:tc>
          <w:tcPr>
            <w:tcW w:w="306" w:type="pct"/>
            <w:tcBorders>
              <w:top w:val="nil"/>
              <w:left w:val="nil"/>
              <w:bottom w:val="single" w:color="auto" w:sz="4" w:space="0"/>
              <w:right w:val="single" w:color="auto" w:sz="4" w:space="0"/>
            </w:tcBorders>
            <w:vAlign w:val="center"/>
          </w:tcPr>
          <w:p w14:paraId="2273706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314" w:type="pct"/>
            <w:tcBorders>
              <w:top w:val="nil"/>
              <w:left w:val="nil"/>
              <w:bottom w:val="single" w:color="auto" w:sz="4" w:space="0"/>
              <w:right w:val="single" w:color="auto" w:sz="4" w:space="0"/>
            </w:tcBorders>
            <w:vAlign w:val="center"/>
          </w:tcPr>
          <w:p w14:paraId="41ACEEB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58" w:type="pct"/>
            <w:tcBorders>
              <w:top w:val="single" w:color="auto" w:sz="4" w:space="0"/>
              <w:left w:val="nil"/>
              <w:bottom w:val="single" w:color="auto" w:sz="4" w:space="0"/>
              <w:right w:val="single" w:color="auto" w:sz="4" w:space="0"/>
            </w:tcBorders>
            <w:vAlign w:val="center"/>
          </w:tcPr>
          <w:p w14:paraId="224F02FB">
            <w:pPr>
              <w:rPr>
                <w:rFonts w:hint="eastAsia" w:ascii="宋体" w:hAnsi="宋体" w:eastAsia="宋体" w:cs="宋体"/>
                <w:color w:val="000000"/>
                <w:sz w:val="18"/>
                <w:szCs w:val="18"/>
              </w:rPr>
            </w:pPr>
            <w:r>
              <w:rPr>
                <w:rFonts w:hint="eastAsia" w:ascii="宋体" w:hAnsi="宋体" w:eastAsia="宋体" w:cs="宋体"/>
                <w:color w:val="000000"/>
                <w:sz w:val="18"/>
                <w:szCs w:val="18"/>
              </w:rPr>
              <w:t>人均补助标准</w:t>
            </w:r>
          </w:p>
        </w:tc>
        <w:tc>
          <w:tcPr>
            <w:tcW w:w="321" w:type="pct"/>
            <w:gridSpan w:val="2"/>
            <w:tcBorders>
              <w:top w:val="nil"/>
              <w:left w:val="nil"/>
              <w:bottom w:val="single" w:color="auto" w:sz="4" w:space="0"/>
              <w:right w:val="single" w:color="auto" w:sz="4" w:space="0"/>
            </w:tcBorders>
            <w:vAlign w:val="center"/>
          </w:tcPr>
          <w:p w14:paraId="4C320D8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76" w:type="pct"/>
            <w:tcBorders>
              <w:top w:val="nil"/>
              <w:left w:val="nil"/>
              <w:bottom w:val="single" w:color="auto" w:sz="4" w:space="0"/>
              <w:right w:val="single" w:color="auto" w:sz="4" w:space="0"/>
            </w:tcBorders>
            <w:vAlign w:val="center"/>
          </w:tcPr>
          <w:p w14:paraId="373D022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=3万元/人</w:t>
            </w:r>
          </w:p>
        </w:tc>
        <w:tc>
          <w:tcPr>
            <w:tcW w:w="376" w:type="pct"/>
            <w:tcBorders>
              <w:top w:val="nil"/>
              <w:left w:val="nil"/>
              <w:bottom w:val="single" w:color="auto" w:sz="4" w:space="0"/>
              <w:right w:val="single" w:color="auto" w:sz="4" w:space="0"/>
            </w:tcBorders>
            <w:vAlign w:val="center"/>
          </w:tcPr>
          <w:p w14:paraId="3A88686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=3万元/人</w:t>
            </w:r>
          </w:p>
        </w:tc>
        <w:tc>
          <w:tcPr>
            <w:tcW w:w="314" w:type="pct"/>
            <w:tcBorders>
              <w:top w:val="nil"/>
              <w:left w:val="nil"/>
              <w:bottom w:val="single" w:color="auto" w:sz="4" w:space="0"/>
              <w:right w:val="single" w:color="auto" w:sz="4" w:space="0"/>
            </w:tcBorders>
            <w:vAlign w:val="center"/>
          </w:tcPr>
          <w:p w14:paraId="1E1A609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427" w:type="pct"/>
            <w:tcBorders>
              <w:top w:val="nil"/>
              <w:left w:val="nil"/>
              <w:bottom w:val="single" w:color="auto" w:sz="4" w:space="0"/>
              <w:right w:val="single" w:color="auto" w:sz="4" w:space="0"/>
            </w:tcBorders>
            <w:vAlign w:val="center"/>
          </w:tcPr>
          <w:p w14:paraId="74F8F9B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29" w:type="pct"/>
            <w:tcBorders>
              <w:top w:val="nil"/>
              <w:left w:val="nil"/>
              <w:bottom w:val="single" w:color="auto" w:sz="4" w:space="0"/>
              <w:right w:val="single" w:color="auto" w:sz="4" w:space="0"/>
            </w:tcBorders>
            <w:vAlign w:val="center"/>
          </w:tcPr>
          <w:p w14:paraId="0E8FDDE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预算支出标准</w:t>
            </w:r>
          </w:p>
        </w:tc>
        <w:tc>
          <w:tcPr>
            <w:tcW w:w="316" w:type="pct"/>
            <w:tcBorders>
              <w:top w:val="nil"/>
              <w:left w:val="nil"/>
              <w:bottom w:val="single" w:color="auto" w:sz="4" w:space="0"/>
              <w:right w:val="single" w:color="auto" w:sz="4" w:space="0"/>
            </w:tcBorders>
            <w:vAlign w:val="center"/>
          </w:tcPr>
          <w:p w14:paraId="4040E89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59" w:type="pct"/>
            <w:tcBorders>
              <w:top w:val="nil"/>
              <w:left w:val="nil"/>
              <w:bottom w:val="single" w:color="auto" w:sz="4" w:space="0"/>
              <w:right w:val="single" w:color="auto" w:sz="4" w:space="0"/>
            </w:tcBorders>
            <w:vAlign w:val="center"/>
          </w:tcPr>
          <w:p w14:paraId="1528DF5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1" w:type="pct"/>
            <w:tcBorders>
              <w:top w:val="nil"/>
              <w:left w:val="nil"/>
              <w:bottom w:val="single" w:color="auto" w:sz="4" w:space="0"/>
              <w:right w:val="single" w:color="auto" w:sz="4" w:space="0"/>
            </w:tcBorders>
            <w:vAlign w:val="center"/>
          </w:tcPr>
          <w:p w14:paraId="5C0D2D0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457" w:type="pct"/>
            <w:tcBorders>
              <w:top w:val="nil"/>
              <w:left w:val="nil"/>
              <w:bottom w:val="single" w:color="auto" w:sz="4" w:space="0"/>
              <w:right w:val="single" w:color="auto" w:sz="4" w:space="0"/>
            </w:tcBorders>
            <w:vAlign w:val="center"/>
          </w:tcPr>
          <w:p w14:paraId="00853B44">
            <w:pPr>
              <w:jc w:val="center"/>
              <w:rPr>
                <w:rFonts w:hint="eastAsia" w:ascii="宋体" w:hAnsi="宋体" w:eastAsia="宋体" w:cs="宋体"/>
                <w:color w:val="000000"/>
                <w:sz w:val="18"/>
                <w:szCs w:val="18"/>
              </w:rPr>
            </w:pPr>
          </w:p>
        </w:tc>
      </w:tr>
      <w:tr w14:paraId="323685EA">
        <w:tblPrEx>
          <w:tblCellMar>
            <w:top w:w="0" w:type="dxa"/>
            <w:left w:w="108" w:type="dxa"/>
            <w:bottom w:w="0" w:type="dxa"/>
            <w:right w:w="108" w:type="dxa"/>
          </w:tblCellMar>
        </w:tblPrEx>
        <w:trPr>
          <w:trHeight w:val="800" w:hRule="atLeast"/>
        </w:trPr>
        <w:tc>
          <w:tcPr>
            <w:tcW w:w="326" w:type="pct"/>
            <w:vMerge w:val="continue"/>
            <w:tcBorders>
              <w:left w:val="single" w:color="auto" w:sz="4" w:space="0"/>
              <w:right w:val="single" w:color="auto" w:sz="4" w:space="0"/>
            </w:tcBorders>
            <w:vAlign w:val="center"/>
          </w:tcPr>
          <w:p w14:paraId="213BEAD6">
            <w:pPr>
              <w:rPr>
                <w:rFonts w:hint="eastAsia" w:ascii="宋体" w:hAnsi="宋体" w:eastAsia="宋体" w:cs="宋体"/>
                <w:color w:val="000000"/>
                <w:sz w:val="18"/>
                <w:szCs w:val="18"/>
              </w:rPr>
            </w:pPr>
          </w:p>
        </w:tc>
        <w:tc>
          <w:tcPr>
            <w:tcW w:w="306" w:type="pct"/>
            <w:tcBorders>
              <w:top w:val="nil"/>
              <w:left w:val="nil"/>
              <w:bottom w:val="single" w:color="auto" w:sz="4" w:space="0"/>
              <w:right w:val="single" w:color="auto" w:sz="4" w:space="0"/>
            </w:tcBorders>
            <w:vAlign w:val="center"/>
          </w:tcPr>
          <w:p w14:paraId="12ACD8D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314" w:type="pct"/>
            <w:tcBorders>
              <w:top w:val="nil"/>
              <w:left w:val="nil"/>
              <w:bottom w:val="single" w:color="auto" w:sz="4" w:space="0"/>
              <w:right w:val="single" w:color="auto" w:sz="4" w:space="0"/>
            </w:tcBorders>
            <w:vAlign w:val="center"/>
          </w:tcPr>
          <w:p w14:paraId="0C08729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458" w:type="pct"/>
            <w:tcBorders>
              <w:top w:val="single" w:color="auto" w:sz="4" w:space="0"/>
              <w:left w:val="nil"/>
              <w:bottom w:val="single" w:color="auto" w:sz="4" w:space="0"/>
              <w:right w:val="single" w:color="auto" w:sz="4" w:space="0"/>
            </w:tcBorders>
            <w:vAlign w:val="center"/>
          </w:tcPr>
          <w:p w14:paraId="3B1FB918">
            <w:pPr>
              <w:rPr>
                <w:rFonts w:hint="eastAsia" w:ascii="宋体" w:hAnsi="宋体" w:eastAsia="宋体" w:cs="宋体"/>
                <w:color w:val="000000"/>
                <w:sz w:val="18"/>
                <w:szCs w:val="18"/>
              </w:rPr>
            </w:pPr>
            <w:r>
              <w:rPr>
                <w:rFonts w:hint="eastAsia" w:ascii="宋体" w:hAnsi="宋体" w:eastAsia="宋体" w:cs="宋体"/>
                <w:color w:val="000000"/>
                <w:sz w:val="18"/>
                <w:szCs w:val="18"/>
              </w:rPr>
              <w:t>提高人才工作积极性</w:t>
            </w:r>
          </w:p>
        </w:tc>
        <w:tc>
          <w:tcPr>
            <w:tcW w:w="321" w:type="pct"/>
            <w:gridSpan w:val="2"/>
            <w:tcBorders>
              <w:top w:val="nil"/>
              <w:left w:val="nil"/>
              <w:bottom w:val="single" w:color="auto" w:sz="4" w:space="0"/>
              <w:right w:val="single" w:color="auto" w:sz="4" w:space="0"/>
            </w:tcBorders>
            <w:vAlign w:val="center"/>
          </w:tcPr>
          <w:p w14:paraId="4B0CA77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76" w:type="pct"/>
            <w:tcBorders>
              <w:top w:val="nil"/>
              <w:left w:val="nil"/>
              <w:bottom w:val="single" w:color="auto" w:sz="4" w:space="0"/>
              <w:right w:val="single" w:color="auto" w:sz="4" w:space="0"/>
            </w:tcBorders>
            <w:vAlign w:val="center"/>
          </w:tcPr>
          <w:p w14:paraId="3F809AC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显著提高</w:t>
            </w:r>
          </w:p>
        </w:tc>
        <w:tc>
          <w:tcPr>
            <w:tcW w:w="376" w:type="pct"/>
            <w:tcBorders>
              <w:top w:val="nil"/>
              <w:left w:val="nil"/>
              <w:bottom w:val="single" w:color="auto" w:sz="4" w:space="0"/>
              <w:right w:val="single" w:color="auto" w:sz="4" w:space="0"/>
            </w:tcBorders>
            <w:vAlign w:val="center"/>
          </w:tcPr>
          <w:p w14:paraId="43BEA06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显著提高</w:t>
            </w:r>
          </w:p>
        </w:tc>
        <w:tc>
          <w:tcPr>
            <w:tcW w:w="314" w:type="pct"/>
            <w:tcBorders>
              <w:top w:val="nil"/>
              <w:left w:val="nil"/>
              <w:bottom w:val="single" w:color="auto" w:sz="4" w:space="0"/>
              <w:right w:val="single" w:color="auto" w:sz="4" w:space="0"/>
            </w:tcBorders>
            <w:vAlign w:val="center"/>
          </w:tcPr>
          <w:p w14:paraId="031B8C2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427" w:type="pct"/>
            <w:tcBorders>
              <w:top w:val="nil"/>
              <w:left w:val="nil"/>
              <w:bottom w:val="single" w:color="auto" w:sz="4" w:space="0"/>
              <w:right w:val="single" w:color="auto" w:sz="4" w:space="0"/>
            </w:tcBorders>
            <w:vAlign w:val="center"/>
          </w:tcPr>
          <w:p w14:paraId="52DC384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29" w:type="pct"/>
            <w:tcBorders>
              <w:top w:val="nil"/>
              <w:left w:val="nil"/>
              <w:bottom w:val="single" w:color="auto" w:sz="4" w:space="0"/>
              <w:right w:val="single" w:color="auto" w:sz="4" w:space="0"/>
            </w:tcBorders>
            <w:vAlign w:val="center"/>
          </w:tcPr>
          <w:p w14:paraId="6568485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16" w:type="pct"/>
            <w:tcBorders>
              <w:top w:val="nil"/>
              <w:left w:val="nil"/>
              <w:bottom w:val="single" w:color="auto" w:sz="4" w:space="0"/>
              <w:right w:val="single" w:color="auto" w:sz="4" w:space="0"/>
            </w:tcBorders>
            <w:vAlign w:val="center"/>
          </w:tcPr>
          <w:p w14:paraId="6CAC6A8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59" w:type="pct"/>
            <w:tcBorders>
              <w:top w:val="nil"/>
              <w:left w:val="nil"/>
              <w:bottom w:val="single" w:color="auto" w:sz="4" w:space="0"/>
              <w:right w:val="single" w:color="auto" w:sz="4" w:space="0"/>
            </w:tcBorders>
            <w:vAlign w:val="center"/>
          </w:tcPr>
          <w:p w14:paraId="2D7FA1F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321" w:type="pct"/>
            <w:tcBorders>
              <w:top w:val="nil"/>
              <w:left w:val="nil"/>
              <w:bottom w:val="single" w:color="auto" w:sz="4" w:space="0"/>
              <w:right w:val="single" w:color="auto" w:sz="4" w:space="0"/>
            </w:tcBorders>
            <w:vAlign w:val="center"/>
          </w:tcPr>
          <w:p w14:paraId="14759AB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457" w:type="pct"/>
            <w:tcBorders>
              <w:top w:val="nil"/>
              <w:left w:val="nil"/>
              <w:bottom w:val="single" w:color="auto" w:sz="4" w:space="0"/>
              <w:right w:val="single" w:color="auto" w:sz="4" w:space="0"/>
            </w:tcBorders>
            <w:vAlign w:val="center"/>
          </w:tcPr>
          <w:p w14:paraId="7EBCF601">
            <w:pPr>
              <w:jc w:val="center"/>
              <w:rPr>
                <w:rFonts w:hint="eastAsia" w:ascii="宋体" w:hAnsi="宋体" w:eastAsia="宋体" w:cs="宋体"/>
                <w:color w:val="000000"/>
                <w:sz w:val="18"/>
                <w:szCs w:val="18"/>
              </w:rPr>
            </w:pPr>
          </w:p>
        </w:tc>
      </w:tr>
      <w:tr w14:paraId="67CFFBE7">
        <w:tblPrEx>
          <w:tblCellMar>
            <w:top w:w="0" w:type="dxa"/>
            <w:left w:w="108" w:type="dxa"/>
            <w:bottom w:w="0" w:type="dxa"/>
            <w:right w:w="108" w:type="dxa"/>
          </w:tblCellMar>
        </w:tblPrEx>
        <w:trPr>
          <w:trHeight w:val="800" w:hRule="atLeast"/>
        </w:trPr>
        <w:tc>
          <w:tcPr>
            <w:tcW w:w="326" w:type="pct"/>
            <w:vMerge w:val="continue"/>
            <w:tcBorders>
              <w:left w:val="single" w:color="auto" w:sz="4" w:space="0"/>
              <w:bottom w:val="single" w:color="auto" w:sz="4" w:space="0"/>
              <w:right w:val="single" w:color="auto" w:sz="4" w:space="0"/>
            </w:tcBorders>
            <w:vAlign w:val="center"/>
          </w:tcPr>
          <w:p w14:paraId="70BC3E18">
            <w:pPr>
              <w:rPr>
                <w:rFonts w:hint="eastAsia" w:ascii="宋体" w:hAnsi="宋体" w:eastAsia="宋体" w:cs="宋体"/>
                <w:color w:val="000000"/>
                <w:sz w:val="18"/>
                <w:szCs w:val="18"/>
              </w:rPr>
            </w:pPr>
          </w:p>
        </w:tc>
        <w:tc>
          <w:tcPr>
            <w:tcW w:w="306" w:type="pct"/>
            <w:tcBorders>
              <w:top w:val="nil"/>
              <w:left w:val="nil"/>
              <w:bottom w:val="single" w:color="auto" w:sz="4" w:space="0"/>
              <w:right w:val="single" w:color="auto" w:sz="4" w:space="0"/>
            </w:tcBorders>
            <w:vAlign w:val="center"/>
          </w:tcPr>
          <w:p w14:paraId="00A701A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314" w:type="pct"/>
            <w:tcBorders>
              <w:top w:val="nil"/>
              <w:left w:val="nil"/>
              <w:bottom w:val="single" w:color="auto" w:sz="4" w:space="0"/>
              <w:right w:val="single" w:color="auto" w:sz="4" w:space="0"/>
            </w:tcBorders>
            <w:vAlign w:val="center"/>
          </w:tcPr>
          <w:p w14:paraId="21F627F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458" w:type="pct"/>
            <w:tcBorders>
              <w:top w:val="single" w:color="auto" w:sz="4" w:space="0"/>
              <w:left w:val="nil"/>
              <w:bottom w:val="single" w:color="auto" w:sz="4" w:space="0"/>
              <w:right w:val="single" w:color="auto" w:sz="4" w:space="0"/>
            </w:tcBorders>
            <w:vAlign w:val="center"/>
          </w:tcPr>
          <w:p w14:paraId="7B6854EB">
            <w:pPr>
              <w:rPr>
                <w:rFonts w:hint="eastAsia" w:ascii="宋体" w:hAnsi="宋体" w:eastAsia="宋体" w:cs="宋体"/>
                <w:color w:val="000000"/>
                <w:sz w:val="18"/>
                <w:szCs w:val="18"/>
              </w:rPr>
            </w:pPr>
            <w:r>
              <w:rPr>
                <w:rFonts w:hint="eastAsia" w:ascii="宋体" w:hAnsi="宋体" w:eastAsia="宋体" w:cs="宋体"/>
                <w:color w:val="000000"/>
                <w:sz w:val="18"/>
                <w:szCs w:val="18"/>
              </w:rPr>
              <w:t>补助人员满意度</w:t>
            </w:r>
          </w:p>
        </w:tc>
        <w:tc>
          <w:tcPr>
            <w:tcW w:w="321" w:type="pct"/>
            <w:gridSpan w:val="2"/>
            <w:tcBorders>
              <w:top w:val="nil"/>
              <w:left w:val="nil"/>
              <w:bottom w:val="single" w:color="auto" w:sz="4" w:space="0"/>
              <w:right w:val="single" w:color="auto" w:sz="4" w:space="0"/>
            </w:tcBorders>
            <w:vAlign w:val="center"/>
          </w:tcPr>
          <w:p w14:paraId="6C8EC26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76" w:type="pct"/>
            <w:tcBorders>
              <w:top w:val="nil"/>
              <w:left w:val="nil"/>
              <w:bottom w:val="single" w:color="auto" w:sz="4" w:space="0"/>
              <w:right w:val="single" w:color="auto" w:sz="4" w:space="0"/>
            </w:tcBorders>
            <w:vAlign w:val="center"/>
          </w:tcPr>
          <w:p w14:paraId="3BC5CC5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&gt;=95%</w:t>
            </w:r>
          </w:p>
        </w:tc>
        <w:tc>
          <w:tcPr>
            <w:tcW w:w="376" w:type="pct"/>
            <w:tcBorders>
              <w:top w:val="nil"/>
              <w:left w:val="nil"/>
              <w:bottom w:val="single" w:color="auto" w:sz="4" w:space="0"/>
              <w:right w:val="single" w:color="auto" w:sz="4" w:space="0"/>
            </w:tcBorders>
            <w:vAlign w:val="center"/>
          </w:tcPr>
          <w:p w14:paraId="2E3D832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≥95%</w:t>
            </w:r>
          </w:p>
        </w:tc>
        <w:tc>
          <w:tcPr>
            <w:tcW w:w="314" w:type="pct"/>
            <w:tcBorders>
              <w:top w:val="nil"/>
              <w:left w:val="nil"/>
              <w:bottom w:val="single" w:color="auto" w:sz="4" w:space="0"/>
              <w:right w:val="single" w:color="auto" w:sz="4" w:space="0"/>
            </w:tcBorders>
            <w:vAlign w:val="center"/>
          </w:tcPr>
          <w:p w14:paraId="08DDE6B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427" w:type="pct"/>
            <w:tcBorders>
              <w:top w:val="nil"/>
              <w:left w:val="nil"/>
              <w:bottom w:val="single" w:color="auto" w:sz="4" w:space="0"/>
              <w:right w:val="single" w:color="auto" w:sz="4" w:space="0"/>
            </w:tcBorders>
            <w:vAlign w:val="center"/>
          </w:tcPr>
          <w:p w14:paraId="43E9732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29" w:type="pct"/>
            <w:tcBorders>
              <w:top w:val="nil"/>
              <w:left w:val="nil"/>
              <w:bottom w:val="single" w:color="auto" w:sz="4" w:space="0"/>
              <w:right w:val="single" w:color="auto" w:sz="4" w:space="0"/>
            </w:tcBorders>
            <w:vAlign w:val="center"/>
          </w:tcPr>
          <w:p w14:paraId="6DF40D4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历史标准</w:t>
            </w:r>
          </w:p>
        </w:tc>
        <w:tc>
          <w:tcPr>
            <w:tcW w:w="316" w:type="pct"/>
            <w:tcBorders>
              <w:top w:val="nil"/>
              <w:left w:val="nil"/>
              <w:bottom w:val="single" w:color="auto" w:sz="4" w:space="0"/>
              <w:right w:val="single" w:color="auto" w:sz="4" w:space="0"/>
            </w:tcBorders>
            <w:vAlign w:val="center"/>
          </w:tcPr>
          <w:p w14:paraId="46AEB37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59" w:type="pct"/>
            <w:tcBorders>
              <w:top w:val="nil"/>
              <w:left w:val="nil"/>
              <w:bottom w:val="single" w:color="auto" w:sz="4" w:space="0"/>
              <w:right w:val="single" w:color="auto" w:sz="4" w:space="0"/>
            </w:tcBorders>
            <w:vAlign w:val="center"/>
          </w:tcPr>
          <w:p w14:paraId="37279F2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321" w:type="pct"/>
            <w:tcBorders>
              <w:top w:val="nil"/>
              <w:left w:val="nil"/>
              <w:bottom w:val="single" w:color="auto" w:sz="4" w:space="0"/>
              <w:right w:val="single" w:color="auto" w:sz="4" w:space="0"/>
            </w:tcBorders>
            <w:vAlign w:val="center"/>
          </w:tcPr>
          <w:p w14:paraId="061109C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457" w:type="pct"/>
            <w:tcBorders>
              <w:top w:val="nil"/>
              <w:left w:val="nil"/>
              <w:bottom w:val="single" w:color="auto" w:sz="4" w:space="0"/>
              <w:right w:val="single" w:color="auto" w:sz="4" w:space="0"/>
            </w:tcBorders>
            <w:vAlign w:val="center"/>
          </w:tcPr>
          <w:p w14:paraId="56B13876">
            <w:pPr>
              <w:jc w:val="center"/>
              <w:rPr>
                <w:rFonts w:hint="eastAsia" w:ascii="宋体" w:hAnsi="宋体" w:eastAsia="宋体" w:cs="宋体"/>
                <w:color w:val="000000"/>
                <w:sz w:val="18"/>
                <w:szCs w:val="18"/>
              </w:rPr>
            </w:pPr>
          </w:p>
        </w:tc>
      </w:tr>
      <w:tr w14:paraId="0A823AC8">
        <w:tblPrEx>
          <w:tblCellMar>
            <w:top w:w="0" w:type="dxa"/>
            <w:left w:w="108" w:type="dxa"/>
            <w:bottom w:w="0" w:type="dxa"/>
            <w:right w:w="108" w:type="dxa"/>
          </w:tblCellMar>
        </w:tblPrEx>
        <w:trPr>
          <w:trHeight w:val="520" w:hRule="atLeast"/>
        </w:trPr>
        <w:tc>
          <w:tcPr>
            <w:tcW w:w="1404" w:type="pct"/>
            <w:gridSpan w:val="4"/>
            <w:tcBorders>
              <w:top w:val="single" w:color="auto" w:sz="4" w:space="0"/>
              <w:left w:val="single" w:color="auto" w:sz="4" w:space="0"/>
              <w:bottom w:val="single" w:color="auto" w:sz="4" w:space="0"/>
              <w:right w:val="single" w:color="auto" w:sz="4" w:space="0"/>
            </w:tcBorders>
            <w:vAlign w:val="center"/>
          </w:tcPr>
          <w:p w14:paraId="30FFC27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321" w:type="pct"/>
            <w:gridSpan w:val="2"/>
            <w:tcBorders>
              <w:top w:val="single" w:color="auto" w:sz="4" w:space="0"/>
              <w:left w:val="single" w:color="auto" w:sz="4" w:space="0"/>
              <w:bottom w:val="single" w:color="auto" w:sz="4" w:space="0"/>
              <w:right w:val="single" w:color="auto" w:sz="4" w:space="0"/>
            </w:tcBorders>
            <w:vAlign w:val="center"/>
          </w:tcPr>
          <w:p w14:paraId="5ED4C24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376" w:type="pct"/>
            <w:tcBorders>
              <w:top w:val="single" w:color="auto" w:sz="4" w:space="0"/>
              <w:left w:val="single" w:color="auto" w:sz="4" w:space="0"/>
              <w:bottom w:val="single" w:color="auto" w:sz="4" w:space="0"/>
              <w:right w:val="single" w:color="auto" w:sz="4" w:space="0"/>
            </w:tcBorders>
            <w:vAlign w:val="center"/>
          </w:tcPr>
          <w:p w14:paraId="232EC0BE">
            <w:pPr>
              <w:jc w:val="center"/>
              <w:rPr>
                <w:rFonts w:hint="eastAsia" w:ascii="宋体" w:hAnsi="宋体" w:eastAsia="宋体" w:cs="宋体"/>
                <w:color w:val="000000"/>
                <w:sz w:val="18"/>
                <w:szCs w:val="18"/>
              </w:rPr>
            </w:pPr>
          </w:p>
        </w:tc>
        <w:tc>
          <w:tcPr>
            <w:tcW w:w="376" w:type="pct"/>
            <w:tcBorders>
              <w:top w:val="single" w:color="auto" w:sz="4" w:space="0"/>
              <w:left w:val="single" w:color="auto" w:sz="4" w:space="0"/>
              <w:bottom w:val="single" w:color="auto" w:sz="4" w:space="0"/>
              <w:right w:val="single" w:color="auto" w:sz="4" w:space="0"/>
            </w:tcBorders>
            <w:vAlign w:val="center"/>
          </w:tcPr>
          <w:p w14:paraId="53A4F869">
            <w:pPr>
              <w:jc w:val="center"/>
              <w:rPr>
                <w:rFonts w:hint="eastAsia" w:ascii="宋体" w:hAnsi="宋体" w:eastAsia="宋体" w:cs="宋体"/>
                <w:color w:val="000000"/>
                <w:sz w:val="18"/>
                <w:szCs w:val="18"/>
              </w:rPr>
            </w:pPr>
          </w:p>
        </w:tc>
        <w:tc>
          <w:tcPr>
            <w:tcW w:w="314" w:type="pct"/>
            <w:tcBorders>
              <w:top w:val="single" w:color="auto" w:sz="4" w:space="0"/>
              <w:left w:val="single" w:color="auto" w:sz="4" w:space="0"/>
              <w:bottom w:val="single" w:color="auto" w:sz="4" w:space="0"/>
              <w:right w:val="single" w:color="auto" w:sz="4" w:space="0"/>
            </w:tcBorders>
            <w:vAlign w:val="center"/>
          </w:tcPr>
          <w:p w14:paraId="7ADAC79B">
            <w:pPr>
              <w:jc w:val="center"/>
              <w:rPr>
                <w:rFonts w:hint="eastAsia" w:ascii="宋体" w:hAnsi="宋体" w:eastAsia="宋体" w:cs="宋体"/>
                <w:color w:val="000000"/>
                <w:sz w:val="18"/>
                <w:szCs w:val="18"/>
              </w:rPr>
            </w:pPr>
          </w:p>
        </w:tc>
        <w:tc>
          <w:tcPr>
            <w:tcW w:w="427" w:type="pct"/>
            <w:tcBorders>
              <w:top w:val="single" w:color="auto" w:sz="4" w:space="0"/>
              <w:left w:val="nil"/>
              <w:bottom w:val="single" w:color="auto" w:sz="4" w:space="0"/>
              <w:right w:val="single" w:color="auto" w:sz="4" w:space="0"/>
            </w:tcBorders>
            <w:vAlign w:val="center"/>
          </w:tcPr>
          <w:p w14:paraId="362881F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329" w:type="pct"/>
            <w:tcBorders>
              <w:top w:val="single" w:color="auto" w:sz="4" w:space="0"/>
              <w:left w:val="nil"/>
              <w:bottom w:val="single" w:color="auto" w:sz="4" w:space="0"/>
              <w:right w:val="single" w:color="auto" w:sz="4" w:space="0"/>
            </w:tcBorders>
            <w:vAlign w:val="center"/>
          </w:tcPr>
          <w:p w14:paraId="4B0FAA57">
            <w:pPr>
              <w:rPr>
                <w:rFonts w:hint="eastAsia" w:ascii="宋体" w:hAnsi="宋体" w:eastAsia="宋体" w:cs="宋体"/>
                <w:color w:val="000000"/>
                <w:sz w:val="18"/>
                <w:szCs w:val="18"/>
              </w:rPr>
            </w:pPr>
          </w:p>
        </w:tc>
        <w:tc>
          <w:tcPr>
            <w:tcW w:w="316" w:type="pct"/>
            <w:tcBorders>
              <w:top w:val="single" w:color="auto" w:sz="4" w:space="0"/>
              <w:left w:val="nil"/>
              <w:bottom w:val="single" w:color="auto" w:sz="4" w:space="0"/>
              <w:right w:val="single" w:color="auto" w:sz="4" w:space="0"/>
            </w:tcBorders>
            <w:vAlign w:val="center"/>
          </w:tcPr>
          <w:p w14:paraId="3306A6DF">
            <w:pPr>
              <w:rPr>
                <w:rFonts w:hint="eastAsia" w:ascii="宋体" w:hAnsi="宋体" w:eastAsia="宋体" w:cs="宋体"/>
                <w:color w:val="000000"/>
                <w:sz w:val="18"/>
                <w:szCs w:val="18"/>
              </w:rPr>
            </w:pPr>
          </w:p>
        </w:tc>
        <w:tc>
          <w:tcPr>
            <w:tcW w:w="359" w:type="pct"/>
            <w:tcBorders>
              <w:top w:val="single" w:color="auto" w:sz="4" w:space="0"/>
              <w:left w:val="nil"/>
              <w:bottom w:val="single" w:color="auto" w:sz="4" w:space="0"/>
              <w:right w:val="single" w:color="auto" w:sz="4" w:space="0"/>
            </w:tcBorders>
            <w:vAlign w:val="center"/>
          </w:tcPr>
          <w:p w14:paraId="213C75A2">
            <w:pPr>
              <w:rPr>
                <w:rFonts w:hint="eastAsia" w:ascii="宋体" w:hAnsi="宋体" w:eastAsia="宋体" w:cs="宋体"/>
                <w:color w:val="000000"/>
                <w:sz w:val="18"/>
                <w:szCs w:val="18"/>
              </w:rPr>
            </w:pPr>
          </w:p>
        </w:tc>
        <w:tc>
          <w:tcPr>
            <w:tcW w:w="321" w:type="pct"/>
            <w:tcBorders>
              <w:top w:val="single" w:color="auto" w:sz="4" w:space="0"/>
              <w:left w:val="nil"/>
              <w:bottom w:val="single" w:color="auto" w:sz="4" w:space="0"/>
              <w:right w:val="single" w:color="auto" w:sz="4" w:space="0"/>
            </w:tcBorders>
            <w:vAlign w:val="center"/>
          </w:tcPr>
          <w:p w14:paraId="2779794E">
            <w:pPr>
              <w:rPr>
                <w:rFonts w:hint="eastAsia" w:ascii="宋体" w:hAnsi="宋体" w:eastAsia="宋体" w:cs="宋体"/>
                <w:color w:val="000000"/>
                <w:sz w:val="18"/>
                <w:szCs w:val="18"/>
              </w:rPr>
            </w:pPr>
          </w:p>
        </w:tc>
        <w:tc>
          <w:tcPr>
            <w:tcW w:w="457" w:type="pct"/>
            <w:tcBorders>
              <w:top w:val="single" w:color="auto" w:sz="4" w:space="0"/>
              <w:left w:val="nil"/>
              <w:bottom w:val="single" w:color="auto" w:sz="4" w:space="0"/>
              <w:right w:val="single" w:color="auto" w:sz="4" w:space="0"/>
            </w:tcBorders>
            <w:vAlign w:val="center"/>
          </w:tcPr>
          <w:p w14:paraId="7A2F7AAD">
            <w:pPr>
              <w:rPr>
                <w:rFonts w:hint="eastAsia" w:ascii="宋体" w:hAnsi="宋体" w:eastAsia="宋体" w:cs="宋体"/>
                <w:color w:val="000000"/>
                <w:sz w:val="18"/>
                <w:szCs w:val="18"/>
              </w:rPr>
            </w:pPr>
          </w:p>
        </w:tc>
      </w:tr>
      <w:bookmarkEnd w:id="2"/>
    </w:tbl>
    <w:p w14:paraId="4115CEEB">
      <w:pPr>
        <w:rPr>
          <w:rFonts w:hint="eastAsia" w:ascii="宋体" w:hAnsi="宋体" w:eastAsia="宋体" w:cs="宋体"/>
          <w:b/>
          <w:bCs/>
          <w:sz w:val="18"/>
          <w:szCs w:val="18"/>
        </w:rPr>
      </w:pPr>
      <w:r>
        <w:rPr>
          <w:rFonts w:hint="eastAsia" w:ascii="宋体" w:hAnsi="宋体" w:eastAsia="宋体" w:cs="宋体"/>
          <w:b/>
          <w:bCs/>
          <w:sz w:val="18"/>
          <w:szCs w:val="18"/>
        </w:rPr>
        <w:br w:type="page"/>
      </w:r>
    </w:p>
    <w:p w14:paraId="1005A83D">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十二、其他需说明的事项</w:t>
      </w:r>
    </w:p>
    <w:p w14:paraId="4413DCA4">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本单位当年预算绩效评价项目有8个涉密项目，涉及全年预算数3,054.96万元，全年执行数3,054.96万元，未公开绩效自评表原因：涉密项目不公开项目绩效自评表</w:t>
      </w:r>
      <w:r>
        <w:rPr>
          <w:rFonts w:ascii="仿宋_GB2312" w:eastAsia="仿宋_GB2312"/>
          <w:sz w:val="32"/>
          <w:szCs w:val="32"/>
          <w:lang w:eastAsia="zh-CN"/>
        </w:rPr>
        <w:t>。</w:t>
      </w:r>
    </w:p>
    <w:p w14:paraId="4904470F">
      <w:pPr>
        <w:spacing w:after="0" w:line="240" w:lineRule="auto"/>
        <w:ind w:firstLine="640" w:firstLineChars="200"/>
        <w:rPr>
          <w:rFonts w:hint="eastAsia" w:ascii="仿宋_GB2312" w:eastAsia="仿宋_GB2312"/>
          <w:sz w:val="32"/>
          <w:szCs w:val="32"/>
          <w:lang w:eastAsia="zh-CN"/>
        </w:rPr>
      </w:pPr>
    </w:p>
    <w:p w14:paraId="4426EF3A">
      <w:pPr>
        <w:rPr>
          <w:rFonts w:hint="eastAsia"/>
          <w:lang w:eastAsia="zh-CN"/>
        </w:rPr>
      </w:pPr>
      <w:r>
        <w:rPr>
          <w:sz w:val="0"/>
          <w:szCs w:val="0"/>
          <w:lang w:eastAsia="zh-CN"/>
        </w:rPr>
        <w:br w:type="page"/>
      </w:r>
    </w:p>
    <w:p w14:paraId="24B469AD">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第三部分 专业名词解释</w:t>
      </w:r>
    </w:p>
    <w:p w14:paraId="3846D103">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0FCD3EA7">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4FE948FC">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43A1CDDA">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31630A06">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3F845C40">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指除上述“财政拨款收入”、“事业收入”、“经营收入”、“附属单位上缴收入”等之外取得的收入。</w:t>
      </w:r>
    </w:p>
    <w:p w14:paraId="53D3D572">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00B05A39">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881EE17">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7B97905D">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008A4B58">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54791B1A">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45118DC3">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十三、“三公”经费：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D78448F">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19EB102C">
      <w:pPr>
        <w:rPr>
          <w:rFonts w:hint="eastAsia"/>
          <w:lang w:eastAsia="zh-CN"/>
        </w:rPr>
      </w:pPr>
      <w:r>
        <w:rPr>
          <w:sz w:val="0"/>
          <w:szCs w:val="0"/>
          <w:lang w:eastAsia="zh-CN"/>
        </w:rPr>
        <w:br w:type="page"/>
      </w:r>
    </w:p>
    <w:p w14:paraId="69D822E0">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第四部分 部门决算报表（见附表）</w:t>
      </w:r>
    </w:p>
    <w:p w14:paraId="23BEE2BD">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一、《收入支出决算总表》</w:t>
      </w:r>
    </w:p>
    <w:p w14:paraId="6D0D2DB2">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二、《收入决算表》</w:t>
      </w:r>
    </w:p>
    <w:p w14:paraId="2D9EF8FB">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三、《支出决算表》</w:t>
      </w:r>
    </w:p>
    <w:p w14:paraId="46C27DA4">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四、《财政拨款收入支出决算总表》</w:t>
      </w:r>
    </w:p>
    <w:p w14:paraId="2E5AC8DB">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五、《一般公共预算财政拨款支出决算表》</w:t>
      </w:r>
    </w:p>
    <w:p w14:paraId="6BD84FF3">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648007AC">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1EB34EFE">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5FEA2343">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2"/>
    <w:compatSetting w:name="overrideTableStyleFontSizeAndJustification" w:uri="http://schemas.microsoft.com/office/word" w:val="1"/>
  </w:compat>
  <w:docVars>
    <w:docVar w:name="commondata" w:val="eyJoZGlkIjoiODViY2JkMjU3NGYzZTEwMzZmMGFkZWViYmNkYWU3NDIifQ=="/>
  </w:docVars>
  <w:rsids>
    <w:rsidRoot w:val="001475CF"/>
    <w:rsid w:val="001475CF"/>
    <w:rsid w:val="002F0B61"/>
    <w:rsid w:val="004465F2"/>
    <w:rsid w:val="004E414B"/>
    <w:rsid w:val="0056665A"/>
    <w:rsid w:val="006C28C6"/>
    <w:rsid w:val="00A6135D"/>
    <w:rsid w:val="00CB1312"/>
    <w:rsid w:val="00CF709E"/>
    <w:rsid w:val="00E30A8A"/>
    <w:rsid w:val="2E3C2F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styleId="2">
    <w:name w:val="heading 1"/>
    <w:basedOn w:val="1"/>
    <w:next w:val="1"/>
    <w:link w:val="18"/>
    <w:qFormat/>
    <w:uiPriority w:val="9"/>
    <w:pPr>
      <w:keepNext/>
      <w:keepLines/>
      <w:spacing w:before="480"/>
      <w:outlineLvl w:val="0"/>
    </w:pPr>
    <w:rPr>
      <w:rFonts w:asciiTheme="majorHAnsi" w:hAnsiTheme="majorHAnsi" w:eastAsiaTheme="majorEastAsia" w:cstheme="majorBidi"/>
      <w:b/>
      <w:bCs/>
      <w:color w:val="2F5496" w:themeColor="accent1" w:themeShade="BF"/>
      <w:sz w:val="28"/>
      <w:szCs w:val="28"/>
    </w:rPr>
  </w:style>
  <w:style w:type="paragraph" w:styleId="3">
    <w:name w:val="heading 2"/>
    <w:basedOn w:val="1"/>
    <w:next w:val="1"/>
    <w:link w:val="19"/>
    <w:unhideWhenUsed/>
    <w:qFormat/>
    <w:uiPriority w:val="9"/>
    <w:pPr>
      <w:keepNext/>
      <w:keepLines/>
      <w:spacing w:before="200"/>
      <w:outlineLvl w:val="1"/>
    </w:pPr>
    <w:rPr>
      <w:rFonts w:asciiTheme="majorHAnsi" w:hAnsiTheme="majorHAnsi" w:eastAsiaTheme="majorEastAsia" w:cstheme="majorBidi"/>
      <w:b/>
      <w:bCs/>
      <w:color w:val="4472C4" w:themeColor="accent1"/>
      <w:sz w:val="26"/>
      <w:szCs w:val="26"/>
    </w:rPr>
  </w:style>
  <w:style w:type="paragraph" w:styleId="4">
    <w:name w:val="heading 3"/>
    <w:basedOn w:val="1"/>
    <w:next w:val="1"/>
    <w:link w:val="20"/>
    <w:unhideWhenUsed/>
    <w:qFormat/>
    <w:uiPriority w:val="9"/>
    <w:pPr>
      <w:keepNext/>
      <w:keepLines/>
      <w:spacing w:before="200"/>
      <w:outlineLvl w:val="2"/>
    </w:pPr>
    <w:rPr>
      <w:rFonts w:asciiTheme="majorHAnsi" w:hAnsiTheme="majorHAnsi" w:eastAsiaTheme="majorEastAsia" w:cstheme="majorBidi"/>
      <w:b/>
      <w:bCs/>
      <w:color w:val="4472C4" w:themeColor="accent1"/>
    </w:rPr>
  </w:style>
  <w:style w:type="paragraph" w:styleId="5">
    <w:name w:val="heading 4"/>
    <w:basedOn w:val="1"/>
    <w:next w:val="1"/>
    <w:link w:val="21"/>
    <w:unhideWhenUsed/>
    <w:qFormat/>
    <w:uiPriority w:val="9"/>
    <w:pPr>
      <w:keepNext/>
      <w:keepLines/>
      <w:spacing w:before="200"/>
      <w:outlineLvl w:val="3"/>
    </w:pPr>
    <w:rPr>
      <w:rFonts w:asciiTheme="majorHAnsi" w:hAnsiTheme="majorHAnsi" w:eastAsiaTheme="majorEastAsia" w:cstheme="majorBidi"/>
      <w:b/>
      <w:bCs/>
      <w:i/>
      <w:iCs/>
      <w:color w:val="4472C4" w:themeColor="accent1"/>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472C4" w:themeColor="accent1"/>
      <w:sz w:val="18"/>
      <w:szCs w:val="18"/>
    </w:rPr>
  </w:style>
  <w:style w:type="paragraph" w:styleId="8">
    <w:name w:val="footer"/>
    <w:basedOn w:val="1"/>
    <w:link w:val="24"/>
    <w:unhideWhenUsed/>
    <w:qFormat/>
    <w:uiPriority w:val="99"/>
    <w:pPr>
      <w:tabs>
        <w:tab w:val="center" w:pos="4153"/>
        <w:tab w:val="right" w:pos="8306"/>
      </w:tabs>
      <w:snapToGrid w:val="0"/>
      <w:spacing w:line="240" w:lineRule="auto"/>
    </w:pPr>
    <w:rPr>
      <w:sz w:val="18"/>
      <w:szCs w:val="18"/>
    </w:rPr>
  </w:style>
  <w:style w:type="paragraph" w:styleId="9">
    <w:name w:val="header"/>
    <w:basedOn w:val="1"/>
    <w:link w:val="17"/>
    <w:unhideWhenUsed/>
    <w:qFormat/>
    <w:uiPriority w:val="99"/>
    <w:pPr>
      <w:tabs>
        <w:tab w:val="center" w:pos="4680"/>
        <w:tab w:val="right" w:pos="9360"/>
      </w:tabs>
    </w:pPr>
  </w:style>
  <w:style w:type="paragraph" w:styleId="10">
    <w:name w:val="Subtitle"/>
    <w:basedOn w:val="1"/>
    <w:next w:val="1"/>
    <w:link w:val="22"/>
    <w:qFormat/>
    <w:uiPriority w:val="11"/>
    <w:pPr>
      <w:ind w:left="86"/>
    </w:pPr>
    <w:rPr>
      <w:rFonts w:asciiTheme="majorHAnsi" w:hAnsiTheme="majorHAnsi" w:eastAsiaTheme="majorEastAsia" w:cstheme="majorBidi"/>
      <w:i/>
      <w:iCs/>
      <w:color w:val="4472C4" w:themeColor="accent1"/>
      <w:spacing w:val="15"/>
      <w:sz w:val="24"/>
      <w:szCs w:val="24"/>
    </w:rPr>
  </w:style>
  <w:style w:type="paragraph" w:styleId="11">
    <w:name w:val="Title"/>
    <w:basedOn w:val="1"/>
    <w:next w:val="1"/>
    <w:link w:val="23"/>
    <w:qFormat/>
    <w:uiPriority w:val="10"/>
    <w:pPr>
      <w:pBdr>
        <w:bottom w:val="single" w:color="4472C4" w:themeColor="accent1" w:sz="8" w:space="4"/>
      </w:pBdr>
      <w:spacing w:after="300"/>
      <w:contextualSpacing/>
    </w:pPr>
    <w:rPr>
      <w:rFonts w:asciiTheme="majorHAnsi" w:hAnsiTheme="majorHAnsi" w:eastAsiaTheme="majorEastAsia" w:cstheme="majorBidi"/>
      <w:color w:val="323E4F" w:themeColor="text2" w:themeShade="BF"/>
      <w:spacing w:val="5"/>
      <w:kern w:val="28"/>
      <w:sz w:val="52"/>
      <w:szCs w:val="52"/>
    </w:rPr>
  </w:style>
  <w:style w:type="table" w:styleId="13">
    <w:name w:val="Table Grid"/>
    <w:basedOn w:val="12"/>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5">
    <w:name w:val="Emphasis"/>
    <w:basedOn w:val="14"/>
    <w:qFormat/>
    <w:uiPriority w:val="20"/>
    <w:rPr>
      <w:i/>
      <w:iCs/>
    </w:rPr>
  </w:style>
  <w:style w:type="character" w:styleId="16">
    <w:name w:val="Hyperlink"/>
    <w:basedOn w:val="14"/>
    <w:unhideWhenUsed/>
    <w:qFormat/>
    <w:uiPriority w:val="99"/>
    <w:rPr>
      <w:color w:val="0563C1" w:themeColor="hyperlink"/>
      <w:u w:val="single"/>
    </w:rPr>
  </w:style>
  <w:style w:type="character" w:customStyle="1" w:styleId="17">
    <w:name w:val="页眉 字符"/>
    <w:basedOn w:val="14"/>
    <w:link w:val="9"/>
    <w:qFormat/>
    <w:uiPriority w:val="99"/>
  </w:style>
  <w:style w:type="character" w:customStyle="1" w:styleId="18">
    <w:name w:val="标题 1 字符"/>
    <w:basedOn w:val="14"/>
    <w:link w:val="2"/>
    <w:qFormat/>
    <w:uiPriority w:val="9"/>
    <w:rPr>
      <w:rFonts w:asciiTheme="majorHAnsi" w:hAnsiTheme="majorHAnsi" w:eastAsiaTheme="majorEastAsia" w:cstheme="majorBidi"/>
      <w:b/>
      <w:bCs/>
      <w:color w:val="2F5496" w:themeColor="accent1" w:themeShade="BF"/>
      <w:sz w:val="28"/>
      <w:szCs w:val="28"/>
    </w:rPr>
  </w:style>
  <w:style w:type="character" w:customStyle="1" w:styleId="19">
    <w:name w:val="标题 2 字符"/>
    <w:basedOn w:val="14"/>
    <w:link w:val="3"/>
    <w:qFormat/>
    <w:uiPriority w:val="9"/>
    <w:rPr>
      <w:rFonts w:asciiTheme="majorHAnsi" w:hAnsiTheme="majorHAnsi" w:eastAsiaTheme="majorEastAsia" w:cstheme="majorBidi"/>
      <w:b/>
      <w:bCs/>
      <w:color w:val="4472C4" w:themeColor="accent1"/>
      <w:sz w:val="26"/>
      <w:szCs w:val="26"/>
    </w:rPr>
  </w:style>
  <w:style w:type="character" w:customStyle="1" w:styleId="20">
    <w:name w:val="标题 3 字符"/>
    <w:basedOn w:val="14"/>
    <w:link w:val="4"/>
    <w:qFormat/>
    <w:uiPriority w:val="9"/>
    <w:rPr>
      <w:rFonts w:asciiTheme="majorHAnsi" w:hAnsiTheme="majorHAnsi" w:eastAsiaTheme="majorEastAsia" w:cstheme="majorBidi"/>
      <w:b/>
      <w:bCs/>
      <w:color w:val="4472C4" w:themeColor="accent1"/>
    </w:rPr>
  </w:style>
  <w:style w:type="character" w:customStyle="1" w:styleId="21">
    <w:name w:val="标题 4 字符"/>
    <w:basedOn w:val="14"/>
    <w:link w:val="5"/>
    <w:qFormat/>
    <w:uiPriority w:val="9"/>
    <w:rPr>
      <w:rFonts w:asciiTheme="majorHAnsi" w:hAnsiTheme="majorHAnsi" w:eastAsiaTheme="majorEastAsia" w:cstheme="majorBidi"/>
      <w:b/>
      <w:bCs/>
      <w:i/>
      <w:iCs/>
      <w:color w:val="4472C4" w:themeColor="accent1"/>
    </w:rPr>
  </w:style>
  <w:style w:type="character" w:customStyle="1" w:styleId="22">
    <w:name w:val="副标题 字符"/>
    <w:basedOn w:val="14"/>
    <w:link w:val="10"/>
    <w:qFormat/>
    <w:uiPriority w:val="11"/>
    <w:rPr>
      <w:rFonts w:asciiTheme="majorHAnsi" w:hAnsiTheme="majorHAnsi" w:eastAsiaTheme="majorEastAsia" w:cstheme="majorBidi"/>
      <w:i/>
      <w:iCs/>
      <w:color w:val="4472C4" w:themeColor="accent1"/>
      <w:spacing w:val="15"/>
      <w:sz w:val="24"/>
      <w:szCs w:val="24"/>
    </w:rPr>
  </w:style>
  <w:style w:type="character" w:customStyle="1" w:styleId="23">
    <w:name w:val="标题 字符"/>
    <w:basedOn w:val="14"/>
    <w:link w:val="11"/>
    <w:qFormat/>
    <w:uiPriority w:val="10"/>
    <w:rPr>
      <w:rFonts w:asciiTheme="majorHAnsi" w:hAnsiTheme="majorHAnsi" w:eastAsiaTheme="majorEastAsia" w:cstheme="majorBidi"/>
      <w:color w:val="323E4F" w:themeColor="text2" w:themeShade="BF"/>
      <w:spacing w:val="5"/>
      <w:kern w:val="28"/>
      <w:sz w:val="52"/>
      <w:szCs w:val="52"/>
    </w:rPr>
  </w:style>
  <w:style w:type="character" w:customStyle="1" w:styleId="24">
    <w:name w:val="页脚 字符"/>
    <w:basedOn w:val="14"/>
    <w:link w:val="8"/>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7639</Words>
  <Characters>8871</Characters>
  <Lines>1277</Lines>
  <Paragraphs>1166</Paragraphs>
  <TotalTime>14</TotalTime>
  <ScaleCrop>false</ScaleCrop>
  <LinksUpToDate>false</LinksUpToDate>
  <CharactersWithSpaces>8883</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2025-09-18T08:07:00Z</dcterms:created>
  <dc:creator>ldan</dc:creator>
  <cp:lastModifiedBy>W.w</cp:lastModifiedBy>
  <dcterms:modified xsi:type="dcterms:W3CDTF">2025-09-22T08:36:30Z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F674FADFC06A4442B8AA3159DD7C9E54_12</vt:lpwstr>
  </property>
</Properties>
</file>