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1808C">
      <w:pPr>
        <w:spacing w:line="540" w:lineRule="exact"/>
        <w:jc w:val="center"/>
        <w:rPr>
          <w:rFonts w:hint="default" w:ascii="Times New Roman" w:hAnsi="Times New Roman" w:eastAsia="华文中宋" w:cs="Times New Roman"/>
          <w:b/>
          <w:kern w:val="0"/>
          <w:sz w:val="52"/>
          <w:szCs w:val="52"/>
          <w:highlight w:val="none"/>
        </w:rPr>
      </w:pPr>
    </w:p>
    <w:p w14:paraId="6CB291AB">
      <w:pPr>
        <w:spacing w:line="540" w:lineRule="exact"/>
        <w:rPr>
          <w:rFonts w:hint="default" w:ascii="Times New Roman" w:hAnsi="Times New Roman" w:eastAsia="华文中宋" w:cs="Times New Roman"/>
          <w:b/>
          <w:kern w:val="0"/>
          <w:sz w:val="52"/>
          <w:szCs w:val="52"/>
          <w:highlight w:val="none"/>
        </w:rPr>
      </w:pPr>
    </w:p>
    <w:p w14:paraId="5ADB9E0C">
      <w:pPr>
        <w:spacing w:line="540" w:lineRule="exact"/>
        <w:jc w:val="center"/>
        <w:rPr>
          <w:rFonts w:hint="default" w:ascii="Times New Roman" w:hAnsi="Times New Roman" w:eastAsia="华文中宋" w:cs="Times New Roman"/>
          <w:b/>
          <w:kern w:val="0"/>
          <w:sz w:val="52"/>
          <w:szCs w:val="52"/>
          <w:highlight w:val="none"/>
        </w:rPr>
      </w:pPr>
    </w:p>
    <w:p w14:paraId="1A7FE9DF">
      <w:pPr>
        <w:spacing w:line="540" w:lineRule="exact"/>
        <w:jc w:val="center"/>
        <w:rPr>
          <w:rFonts w:hint="default" w:ascii="Times New Roman" w:hAnsi="Times New Roman" w:eastAsia="华文中宋" w:cs="Times New Roman"/>
          <w:b/>
          <w:kern w:val="0"/>
          <w:sz w:val="52"/>
          <w:szCs w:val="52"/>
          <w:highlight w:val="none"/>
        </w:rPr>
      </w:pPr>
    </w:p>
    <w:p w14:paraId="58D50C89">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奇财预[2024]109号 关于拨付行政事业单位临时业务用房及物业费的通知</w:t>
      </w:r>
    </w:p>
    <w:p w14:paraId="66452E2E">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项目支出绩效评价报告</w:t>
      </w:r>
    </w:p>
    <w:p w14:paraId="5E284CEF">
      <w:pPr>
        <w:spacing w:line="540" w:lineRule="exact"/>
        <w:jc w:val="center"/>
        <w:rPr>
          <w:rFonts w:hint="default" w:ascii="Times New Roman" w:hAnsi="Times New Roman" w:eastAsia="华文中宋" w:cs="Times New Roman"/>
          <w:b/>
          <w:kern w:val="0"/>
          <w:sz w:val="52"/>
          <w:szCs w:val="52"/>
          <w:highlight w:val="none"/>
        </w:rPr>
      </w:pPr>
    </w:p>
    <w:p w14:paraId="3852E8FD">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14:paraId="65D808D6">
      <w:pPr>
        <w:spacing w:line="540" w:lineRule="exact"/>
        <w:jc w:val="center"/>
        <w:rPr>
          <w:rFonts w:hint="default" w:ascii="Times New Roman" w:hAnsi="Times New Roman" w:eastAsia="仿宋_GB2312" w:cs="Times New Roman"/>
          <w:kern w:val="0"/>
          <w:sz w:val="30"/>
          <w:szCs w:val="30"/>
          <w:highlight w:val="none"/>
        </w:rPr>
      </w:pPr>
    </w:p>
    <w:p w14:paraId="4FABF924">
      <w:pPr>
        <w:spacing w:line="540" w:lineRule="exact"/>
        <w:jc w:val="center"/>
        <w:rPr>
          <w:rFonts w:hint="default" w:ascii="Times New Roman" w:hAnsi="Times New Roman" w:eastAsia="仿宋_GB2312" w:cs="Times New Roman"/>
          <w:kern w:val="0"/>
          <w:sz w:val="30"/>
          <w:szCs w:val="30"/>
          <w:highlight w:val="none"/>
        </w:rPr>
      </w:pPr>
    </w:p>
    <w:p w14:paraId="529FD474">
      <w:pPr>
        <w:spacing w:line="540" w:lineRule="exact"/>
        <w:jc w:val="center"/>
        <w:rPr>
          <w:rFonts w:hint="default" w:ascii="Times New Roman" w:hAnsi="Times New Roman" w:eastAsia="仿宋_GB2312" w:cs="Times New Roman"/>
          <w:kern w:val="0"/>
          <w:sz w:val="30"/>
          <w:szCs w:val="30"/>
          <w:highlight w:val="none"/>
        </w:rPr>
      </w:pPr>
    </w:p>
    <w:p w14:paraId="36BFE380">
      <w:pPr>
        <w:pStyle w:val="10"/>
        <w:rPr>
          <w:rFonts w:hint="default" w:ascii="Times New Roman" w:hAnsi="Times New Roman" w:cs="Times New Roman"/>
          <w:highlight w:val="none"/>
        </w:rPr>
      </w:pPr>
    </w:p>
    <w:p w14:paraId="315A8512">
      <w:pPr>
        <w:spacing w:line="540" w:lineRule="exact"/>
        <w:jc w:val="center"/>
        <w:rPr>
          <w:rFonts w:hint="default" w:ascii="Times New Roman" w:hAnsi="Times New Roman" w:eastAsia="仿宋_GB2312" w:cs="Times New Roman"/>
          <w:kern w:val="0"/>
          <w:sz w:val="30"/>
          <w:szCs w:val="30"/>
          <w:highlight w:val="none"/>
        </w:rPr>
      </w:pPr>
    </w:p>
    <w:p w14:paraId="0A1A64CE">
      <w:pPr>
        <w:spacing w:line="540" w:lineRule="exact"/>
        <w:rPr>
          <w:rFonts w:hint="default" w:ascii="Times New Roman" w:hAnsi="Times New Roman" w:eastAsia="仿宋_GB2312" w:cs="Times New Roman"/>
          <w:kern w:val="0"/>
          <w:sz w:val="30"/>
          <w:szCs w:val="30"/>
          <w:highlight w:val="none"/>
        </w:rPr>
      </w:pPr>
    </w:p>
    <w:p w14:paraId="0EA7B2F3">
      <w:pPr>
        <w:spacing w:line="700" w:lineRule="exact"/>
        <w:ind w:left="0" w:leftChars="0" w:firstLine="838" w:firstLineChars="233"/>
        <w:jc w:val="left"/>
        <w:rPr>
          <w:rFonts w:hint="default"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项目名称：</w:t>
      </w:r>
      <w:r>
        <w:rPr>
          <w:rFonts w:hint="default" w:eastAsia="仿宋_GB2312" w:cs="Times New Roman"/>
          <w:kern w:val="0"/>
          <w:sz w:val="36"/>
          <w:szCs w:val="36"/>
          <w:highlight w:val="none"/>
          <w:lang w:val="en-US" w:eastAsia="zh-CN"/>
        </w:rPr>
        <w:t>奇财预[2024]109号 关于拨付行政事业单位临时业务用房及物业费的通知</w:t>
      </w:r>
    </w:p>
    <w:p w14:paraId="55386210">
      <w:pPr>
        <w:spacing w:line="700" w:lineRule="exact"/>
        <w:ind w:left="0" w:leftChars="0" w:firstLine="838" w:firstLineChars="233"/>
        <w:jc w:val="left"/>
        <w:rPr>
          <w:rFonts w:hint="default" w:eastAsia="仿宋_GB2312" w:cs="Times New Roman"/>
          <w:kern w:val="0"/>
          <w:sz w:val="32"/>
          <w:szCs w:val="32"/>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ascii="仿宋" w:hAnsi="仿宋" w:eastAsia="仿宋" w:cs="仿宋"/>
          <w:kern w:val="0"/>
          <w:sz w:val="36"/>
          <w:szCs w:val="36"/>
          <w:highlight w:val="none"/>
          <w:lang w:val="en-US" w:eastAsia="zh-CN"/>
        </w:rPr>
        <w:t>奇台县供销合作社联合社</w:t>
      </w:r>
    </w:p>
    <w:p w14:paraId="5F19EFDF">
      <w:pPr>
        <w:spacing w:line="700" w:lineRule="exact"/>
        <w:ind w:left="0" w:leftChars="0" w:firstLine="838" w:firstLineChars="233"/>
        <w:jc w:val="left"/>
        <w:rPr>
          <w:rFonts w:hint="eastAsia"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奇台县人民政府</w:t>
      </w:r>
    </w:p>
    <w:p w14:paraId="572BB551">
      <w:pPr>
        <w:spacing w:line="700" w:lineRule="exact"/>
        <w:ind w:left="0" w:leftChars="0" w:firstLine="838" w:firstLineChars="233"/>
        <w:jc w:val="left"/>
        <w:rPr>
          <w:rFonts w:hint="default"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多刚</w:t>
      </w:r>
    </w:p>
    <w:p w14:paraId="44880A47">
      <w:pPr>
        <w:spacing w:line="700" w:lineRule="exact"/>
        <w:ind w:left="0" w:leftChars="0" w:firstLine="838" w:firstLineChars="233"/>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27</w:t>
      </w:r>
      <w:r>
        <w:rPr>
          <w:rFonts w:hint="default" w:ascii="Times New Roman" w:hAnsi="Times New Roman" w:eastAsia="仿宋_GB2312" w:cs="Times New Roman"/>
          <w:kern w:val="0"/>
          <w:sz w:val="36"/>
          <w:szCs w:val="36"/>
          <w:highlight w:val="none"/>
        </w:rPr>
        <w:t>日</w:t>
      </w:r>
    </w:p>
    <w:p w14:paraId="74BE3AFA">
      <w:pPr>
        <w:spacing w:line="540" w:lineRule="exact"/>
        <w:jc w:val="center"/>
        <w:rPr>
          <w:rFonts w:hint="default" w:ascii="Times New Roman" w:hAnsi="Times New Roman" w:eastAsia="仿宋_GB2312" w:cs="Times New Roman"/>
          <w:kern w:val="0"/>
          <w:sz w:val="30"/>
          <w:szCs w:val="30"/>
          <w:highlight w:val="none"/>
        </w:rPr>
      </w:pPr>
    </w:p>
    <w:p w14:paraId="42E744F0">
      <w:pPr>
        <w:spacing w:line="540" w:lineRule="exact"/>
        <w:rPr>
          <w:rStyle w:val="16"/>
          <w:rFonts w:hint="default" w:ascii="Times New Roman" w:hAnsi="Times New Roman" w:eastAsia="黑体" w:cs="Times New Roman"/>
          <w:b w:val="0"/>
          <w:spacing w:val="-4"/>
          <w:sz w:val="32"/>
          <w:szCs w:val="32"/>
          <w:highlight w:val="none"/>
        </w:rPr>
      </w:pPr>
    </w:p>
    <w:p w14:paraId="0C3D2BB0">
      <w:pPr>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14:paraId="5FC83768">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24090C53">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14:paraId="3A957240">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62DDB4B8">
      <w:pPr>
        <w:pStyle w:val="10"/>
        <w:numPr>
          <w:ilvl w:val="0"/>
          <w:numId w:val="0"/>
        </w:numPr>
        <w:spacing w:before="0" w:after="0" w:line="560" w:lineRule="exact"/>
        <w:ind w:firstLine="624" w:firstLineChars="200"/>
        <w:jc w:val="both"/>
        <w:rPr>
          <w:rStyle w:val="16"/>
          <w:rFonts w:hint="eastAsia" w:ascii="仿宋" w:hAnsi="仿宋" w:eastAsia="仿宋" w:cs="仿宋"/>
          <w:b w:val="0"/>
          <w:bCs/>
          <w:spacing w:val="-4"/>
          <w:sz w:val="32"/>
          <w:szCs w:val="32"/>
          <w:highlight w:val="none"/>
        </w:rPr>
      </w:pPr>
      <w:r>
        <w:rPr>
          <w:rStyle w:val="16"/>
          <w:rFonts w:hint="eastAsia" w:ascii="仿宋" w:hAnsi="仿宋" w:eastAsia="仿宋" w:cs="仿宋"/>
          <w:b w:val="0"/>
          <w:bCs/>
          <w:spacing w:val="-4"/>
          <w:sz w:val="32"/>
          <w:szCs w:val="32"/>
          <w:highlight w:val="none"/>
        </w:rPr>
        <w:t>根据奇财预【2024】109号《关于拨付行政事业单位临时业务用房及物业费的通知》</w:t>
      </w:r>
      <w:r>
        <w:rPr>
          <w:rStyle w:val="16"/>
          <w:rFonts w:hint="eastAsia" w:ascii="仿宋" w:hAnsi="仿宋" w:eastAsia="仿宋" w:cs="仿宋"/>
          <w:b w:val="0"/>
          <w:bCs/>
          <w:spacing w:val="-4"/>
          <w:sz w:val="32"/>
          <w:szCs w:val="32"/>
          <w:highlight w:val="none"/>
          <w:lang w:val="en-US" w:eastAsia="zh-CN"/>
        </w:rPr>
        <w:t>的</w:t>
      </w:r>
      <w:r>
        <w:rPr>
          <w:rStyle w:val="16"/>
          <w:rFonts w:hint="eastAsia" w:ascii="仿宋" w:hAnsi="仿宋" w:eastAsia="仿宋" w:cs="仿宋"/>
          <w:b w:val="0"/>
          <w:bCs/>
          <w:spacing w:val="-4"/>
          <w:sz w:val="32"/>
          <w:szCs w:val="32"/>
          <w:highlight w:val="none"/>
        </w:rPr>
        <w:t>要求，为保障行政事业单位临时业务用房需求及日常运维，我部门对202</w:t>
      </w:r>
      <w:r>
        <w:rPr>
          <w:rStyle w:val="16"/>
          <w:rFonts w:hint="eastAsia" w:ascii="仿宋" w:hAnsi="仿宋" w:eastAsia="仿宋" w:cs="仿宋"/>
          <w:b w:val="0"/>
          <w:bCs/>
          <w:spacing w:val="-4"/>
          <w:sz w:val="32"/>
          <w:szCs w:val="32"/>
          <w:highlight w:val="none"/>
          <w:lang w:val="en-US" w:eastAsia="zh-CN"/>
        </w:rPr>
        <w:t>4</w:t>
      </w:r>
      <w:r>
        <w:rPr>
          <w:rStyle w:val="16"/>
          <w:rFonts w:hint="eastAsia" w:ascii="仿宋" w:hAnsi="仿宋" w:eastAsia="仿宋" w:cs="仿宋"/>
          <w:b w:val="0"/>
          <w:bCs/>
          <w:spacing w:val="-4"/>
          <w:sz w:val="32"/>
          <w:szCs w:val="32"/>
          <w:highlight w:val="none"/>
        </w:rPr>
        <w:t>年度临时业务用房及物业费拨付工作进行了专项评价，旨在总结资金使用效益、分析存在问题并提出改进建议。</w:t>
      </w:r>
    </w:p>
    <w:p w14:paraId="30F4A3F6">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rPr>
        <w:t>项目主要内容：</w:t>
      </w:r>
    </w:p>
    <w:p w14:paraId="05BB237A">
      <w:pPr>
        <w:spacing w:line="560" w:lineRule="exact"/>
        <w:ind w:firstLine="624" w:firstLineChars="200"/>
        <w:rPr>
          <w:rFonts w:hint="default" w:ascii="仿宋" w:hAnsi="仿宋" w:eastAsia="仿宋" w:cs="仿宋"/>
          <w:highlight w:val="none"/>
          <w:lang w:val="en-US" w:eastAsia="zh-CN"/>
        </w:rPr>
      </w:pPr>
      <w:r>
        <w:rPr>
          <w:rStyle w:val="16"/>
          <w:rFonts w:hint="eastAsia" w:ascii="仿宋" w:hAnsi="仿宋" w:eastAsia="仿宋" w:cs="仿宋"/>
          <w:b w:val="0"/>
          <w:bCs/>
          <w:spacing w:val="-4"/>
          <w:sz w:val="32"/>
          <w:szCs w:val="32"/>
          <w:highlight w:val="none"/>
          <w:lang w:val="en-US" w:eastAsia="zh-CN"/>
        </w:rPr>
        <w:t>奇台县供销合作社联合社为奇台县财政全额拨款的一级预算单位。根据机关事务局协调安排奇台县供销合作社联合社自2024年1月在新疆天山东部现代农产品物流园有限公司B区北段综合楼四楼办公，占用B区综合办公楼403、410、417、418号商铺、B区农资3号楼217号商铺等业务用房共计309.36平方米，租赁费10元/</w:t>
      </w:r>
      <w:r>
        <w:rPr>
          <w:rStyle w:val="16"/>
          <w:rFonts w:hint="eastAsia" w:ascii="宋体" w:hAnsi="宋体" w:eastAsia="宋体" w:cs="宋体"/>
          <w:b w:val="0"/>
          <w:bCs/>
          <w:spacing w:val="-4"/>
          <w:sz w:val="32"/>
          <w:szCs w:val="32"/>
          <w:highlight w:val="none"/>
          <w:lang w:val="en-US" w:eastAsia="zh-CN"/>
        </w:rPr>
        <w:t>㎡</w:t>
      </w:r>
      <w:r>
        <w:rPr>
          <w:rStyle w:val="16"/>
          <w:rFonts w:hint="eastAsia" w:ascii="仿宋" w:hAnsi="仿宋" w:eastAsia="仿宋" w:cs="仿宋"/>
          <w:b w:val="0"/>
          <w:bCs/>
          <w:spacing w:val="-4"/>
          <w:sz w:val="32"/>
          <w:szCs w:val="32"/>
          <w:highlight w:val="none"/>
          <w:lang w:val="en-US" w:eastAsia="zh-CN"/>
        </w:rPr>
        <w:t>*月，共计租赁费32998.40元。</w:t>
      </w:r>
    </w:p>
    <w:p w14:paraId="1352BC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ind w:left="0" w:right="0" w:firstLine="643" w:firstLineChars="200"/>
        <w:jc w:val="left"/>
        <w:textAlignment w:val="auto"/>
        <w:rPr>
          <w:rFonts w:hint="eastAsia" w:ascii="仿宋" w:hAnsi="仿宋" w:eastAsia="仿宋" w:cs="仿宋"/>
          <w:i w:val="0"/>
          <w:caps w:val="0"/>
          <w:color w:val="333333"/>
          <w:spacing w:val="0"/>
          <w:sz w:val="32"/>
          <w:szCs w:val="32"/>
          <w:highlight w:val="none"/>
        </w:rPr>
      </w:pPr>
      <w:r>
        <w:rPr>
          <w:rFonts w:hint="eastAsia" w:eastAsia="仿宋_GB2312" w:cs="Times New Roman"/>
          <w:b/>
          <w:bCs/>
          <w:sz w:val="32"/>
          <w:szCs w:val="32"/>
          <w:highlight w:val="none"/>
          <w:lang w:val="en-US" w:eastAsia="zh-CN"/>
        </w:rPr>
        <w:t>2、</w:t>
      </w:r>
      <w:r>
        <w:rPr>
          <w:rFonts w:hint="default" w:ascii="Times New Roman" w:hAnsi="Times New Roman" w:eastAsia="仿宋_GB2312" w:cs="Times New Roman"/>
          <w:b/>
          <w:bCs/>
          <w:sz w:val="32"/>
          <w:szCs w:val="32"/>
          <w:highlight w:val="none"/>
        </w:rPr>
        <w:t>项目实施情况</w:t>
      </w:r>
      <w:r>
        <w:rPr>
          <w:rFonts w:hint="default" w:ascii="Times New Roman" w:hAnsi="Times New Roman" w:eastAsia="仿宋_GB2312" w:cs="Times New Roman"/>
          <w:sz w:val="32"/>
          <w:szCs w:val="32"/>
          <w:highlight w:val="none"/>
        </w:rPr>
        <w:t>：</w:t>
      </w:r>
      <w:r>
        <w:rPr>
          <w:rFonts w:hint="eastAsia" w:ascii="仿宋" w:hAnsi="仿宋" w:eastAsia="仿宋" w:cs="仿宋"/>
          <w:i w:val="0"/>
          <w:caps w:val="0"/>
          <w:color w:val="333333"/>
          <w:spacing w:val="0"/>
          <w:kern w:val="0"/>
          <w:sz w:val="32"/>
          <w:szCs w:val="32"/>
          <w:highlight w:val="none"/>
          <w:shd w:val="clear" w:fill="FFFFFF"/>
          <w:lang w:val="en-US" w:eastAsia="zh-CN" w:bidi="ar"/>
        </w:rPr>
        <w:t>截止2024年12月31日，该项目已完成35.63万元。该项目的实施，保障了行政事业单位的临时业务用房需求，用房保障率达到100%，确保各单位均能正常开展工作。同时，房租和物业费均按照合同约定时间支付，支付及时率为</w:t>
      </w:r>
      <w:bookmarkStart w:id="3" w:name="_GoBack"/>
      <w:bookmarkEnd w:id="3"/>
      <w:r>
        <w:rPr>
          <w:rFonts w:hint="eastAsia" w:ascii="仿宋" w:hAnsi="仿宋" w:eastAsia="仿宋" w:cs="仿宋"/>
          <w:i w:val="0"/>
          <w:caps w:val="0"/>
          <w:color w:val="333333"/>
          <w:spacing w:val="0"/>
          <w:kern w:val="0"/>
          <w:sz w:val="32"/>
          <w:szCs w:val="32"/>
          <w:highlight w:val="none"/>
          <w:shd w:val="clear" w:fill="FFFFFF"/>
          <w:lang w:val="en-US" w:eastAsia="zh-CN" w:bidi="ar"/>
        </w:rPr>
        <w:t>100%，未出现逾期支付情况，保障了出租方和物业公司的权益，维护了良好合作关系。</w:t>
      </w:r>
    </w:p>
    <w:p w14:paraId="1F8A9F90">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76DCE8F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5E5A8187">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32.33</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年终追加资金3.3万元，</w:t>
      </w:r>
      <w:r>
        <w:rPr>
          <w:rFonts w:hint="default" w:ascii="Times New Roman" w:hAnsi="Times New Roman" w:eastAsia="仿宋_GB2312" w:cs="Times New Roman"/>
          <w:sz w:val="32"/>
          <w:szCs w:val="32"/>
          <w:highlight w:val="none"/>
          <w:lang w:val="en-US" w:eastAsia="zh-CN"/>
        </w:rPr>
        <w:t>全年预算数</w:t>
      </w:r>
      <w:r>
        <w:rPr>
          <w:rFonts w:hint="eastAsia" w:eastAsia="仿宋_GB2312" w:cs="Times New Roman"/>
          <w:sz w:val="32"/>
          <w:szCs w:val="32"/>
          <w:highlight w:val="none"/>
          <w:lang w:val="en-US" w:eastAsia="zh-CN"/>
        </w:rPr>
        <w:t>35.63</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p>
    <w:p w14:paraId="10D7EBC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12C85C8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32.33</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35.63</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35.63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房屋租赁费和房屋租赁产生的物业管理费</w:t>
      </w:r>
      <w:r>
        <w:rPr>
          <w:rFonts w:hint="default" w:ascii="Times New Roman" w:hAnsi="Times New Roman" w:eastAsia="仿宋_GB2312" w:cs="Times New Roman"/>
          <w:sz w:val="32"/>
          <w:szCs w:val="32"/>
          <w:highlight w:val="none"/>
          <w:lang w:val="en-US" w:eastAsia="zh-CN"/>
        </w:rPr>
        <w:t>。</w:t>
      </w:r>
    </w:p>
    <w:p w14:paraId="74FBB85B">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5CA9C155">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r>
        <w:rPr>
          <w:rFonts w:hint="eastAsia" w:eastAsia="仿宋_GB2312" w:cs="Times New Roman"/>
          <w:color w:val="FF0000"/>
          <w:sz w:val="30"/>
          <w:szCs w:val="30"/>
          <w:highlight w:val="none"/>
          <w:lang w:val="en-US" w:eastAsia="zh-CN"/>
        </w:rPr>
        <w:t xml:space="preserve"> </w:t>
      </w:r>
    </w:p>
    <w:p w14:paraId="3CAF6708">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奇台县供销社计划完成债务支付3笔，债务资金支付完成率达到100%，债务还款准确率达到100%，债务资金能按期支付且按期支付率及债务资金支付率都达到100%。通过债务资金按期足额拨付，有效保障单位良好信用。</w:t>
      </w:r>
    </w:p>
    <w:p w14:paraId="561F157C">
      <w:pPr>
        <w:keepNext w:val="0"/>
        <w:keepLines w:val="0"/>
        <w:pageBreakBefore w:val="0"/>
        <w:widowControl w:val="0"/>
        <w:numPr>
          <w:ilvl w:val="0"/>
          <w:numId w:val="1"/>
        </w:numPr>
        <w:tabs>
          <w:tab w:val="clear" w:pos="312"/>
        </w:tabs>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0"/>
          <w:szCs w:val="30"/>
          <w:highlight w:val="none"/>
          <w:lang w:val="en-US" w:eastAsia="zh-CN"/>
        </w:rPr>
      </w:pPr>
      <w:r>
        <w:rPr>
          <w:rFonts w:hint="default" w:ascii="Times New Roman" w:hAnsi="Times New Roman" w:eastAsia="仿宋_GB2312" w:cs="Times New Roman"/>
          <w:sz w:val="32"/>
          <w:szCs w:val="32"/>
          <w:highlight w:val="none"/>
        </w:rPr>
        <w:t>阶段性目标</w:t>
      </w:r>
    </w:p>
    <w:p w14:paraId="0F08A69A">
      <w:pPr>
        <w:numPr>
          <w:ilvl w:val="0"/>
          <w:numId w:val="0"/>
        </w:numPr>
        <w:spacing w:line="560" w:lineRule="exact"/>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2"/>
          <w:szCs w:val="32"/>
          <w:highlight w:val="none"/>
          <w:lang w:val="en-US" w:eastAsia="zh-CN"/>
        </w:rPr>
        <w:t>奇台县供销合作社联合社自2024年1月在新疆天山东部现代农产品物流园有限公司B区北段综合楼四楼办公，占用业务用房309.36平方米，租赁费32998.40元。此项目在2024年下半年12月底一次性完成了资金支付32998.40元。</w:t>
      </w:r>
    </w:p>
    <w:p w14:paraId="70624CD0">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1F71155B">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0AC03AD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057837A8">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w:t>
      </w:r>
      <w:r>
        <w:rPr>
          <w:rFonts w:hint="eastAsia" w:eastAsia="仿宋_GB2312" w:cs="Times New Roman"/>
          <w:color w:val="auto"/>
          <w:sz w:val="32"/>
          <w:szCs w:val="32"/>
          <w:highlight w:val="none"/>
          <w:lang w:val="en-US" w:eastAsia="zh-CN"/>
        </w:rPr>
        <w:t>此项目绩效评价</w:t>
      </w:r>
      <w:r>
        <w:rPr>
          <w:rFonts w:hint="default" w:ascii="Times New Roman" w:hAnsi="Times New Roman" w:eastAsia="仿宋_GB2312" w:cs="Times New Roman"/>
          <w:color w:val="auto"/>
          <w:sz w:val="32"/>
          <w:szCs w:val="32"/>
          <w:highlight w:val="none"/>
          <w:lang w:val="en-US" w:eastAsia="zh-CN"/>
        </w:rPr>
        <w:t>涵盖多方面指标：包括</w:t>
      </w:r>
      <w:r>
        <w:rPr>
          <w:rFonts w:hint="eastAsia" w:eastAsia="仿宋_GB2312" w:cs="Times New Roman"/>
          <w:color w:val="auto"/>
          <w:sz w:val="32"/>
          <w:szCs w:val="32"/>
          <w:highlight w:val="none"/>
          <w:lang w:val="en-US" w:eastAsia="zh-CN"/>
        </w:rPr>
        <w:t>经济成本</w:t>
      </w:r>
      <w:r>
        <w:rPr>
          <w:rFonts w:hint="default" w:ascii="Times New Roman" w:hAnsi="Times New Roman" w:eastAsia="仿宋_GB2312" w:cs="Times New Roman"/>
          <w:color w:val="auto"/>
          <w:sz w:val="32"/>
          <w:szCs w:val="32"/>
          <w:highlight w:val="none"/>
          <w:lang w:val="en-US" w:eastAsia="zh-CN"/>
        </w:rPr>
        <w:t>指标，如债务资金支付率等；社会</w:t>
      </w:r>
      <w:r>
        <w:rPr>
          <w:rFonts w:hint="eastAsia" w:eastAsia="仿宋_GB2312" w:cs="Times New Roman"/>
          <w:color w:val="auto"/>
          <w:sz w:val="32"/>
          <w:szCs w:val="32"/>
          <w:highlight w:val="none"/>
          <w:lang w:val="en-US" w:eastAsia="zh-CN"/>
        </w:rPr>
        <w:t>效益</w:t>
      </w:r>
      <w:r>
        <w:rPr>
          <w:rFonts w:hint="default" w:ascii="Times New Roman" w:hAnsi="Times New Roman" w:eastAsia="仿宋_GB2312" w:cs="Times New Roman"/>
          <w:color w:val="auto"/>
          <w:sz w:val="32"/>
          <w:szCs w:val="32"/>
          <w:highlight w:val="none"/>
          <w:lang w:val="en-US" w:eastAsia="zh-CN"/>
        </w:rPr>
        <w:t>指标，如保障单位良好信用</w:t>
      </w:r>
      <w:r>
        <w:rPr>
          <w:rFonts w:hint="eastAsia" w:eastAsia="仿宋_GB2312" w:cs="Times New Roman"/>
          <w:color w:val="auto"/>
          <w:sz w:val="32"/>
          <w:szCs w:val="32"/>
          <w:highlight w:val="none"/>
          <w:lang w:val="en-US" w:eastAsia="zh-CN"/>
        </w:rPr>
        <w:t>；满意度指标，如支付对象满意度（%）</w:t>
      </w:r>
      <w:r>
        <w:rPr>
          <w:rFonts w:hint="default" w:ascii="Times New Roman" w:hAnsi="Times New Roman" w:eastAsia="仿宋_GB2312" w:cs="Times New Roman"/>
          <w:color w:val="auto"/>
          <w:sz w:val="32"/>
          <w:szCs w:val="32"/>
          <w:highlight w:val="none"/>
          <w:lang w:val="en-US" w:eastAsia="zh-CN"/>
        </w:rPr>
        <w:t>等。通过多维度指标，全面反映拨付行政事业单位临时业务用房</w:t>
      </w:r>
      <w:r>
        <w:rPr>
          <w:rFonts w:hint="eastAsia" w:eastAsia="仿宋_GB2312" w:cs="Times New Roman"/>
          <w:color w:val="auto"/>
          <w:sz w:val="32"/>
          <w:szCs w:val="32"/>
          <w:highlight w:val="none"/>
          <w:lang w:val="en-US" w:eastAsia="zh-CN"/>
        </w:rPr>
        <w:t>房屋租赁费</w:t>
      </w:r>
      <w:r>
        <w:rPr>
          <w:rFonts w:hint="default" w:ascii="Times New Roman" w:hAnsi="Times New Roman" w:eastAsia="仿宋_GB2312" w:cs="Times New Roman"/>
          <w:color w:val="auto"/>
          <w:sz w:val="32"/>
          <w:szCs w:val="32"/>
          <w:highlight w:val="none"/>
          <w:lang w:val="en-US" w:eastAsia="zh-CN"/>
        </w:rPr>
        <w:t>及物业费</w:t>
      </w:r>
      <w:r>
        <w:rPr>
          <w:rFonts w:hint="eastAsia" w:eastAsia="仿宋_GB2312" w:cs="Times New Roman"/>
          <w:color w:val="auto"/>
          <w:sz w:val="32"/>
          <w:szCs w:val="32"/>
          <w:highlight w:val="none"/>
          <w:lang w:val="en-US" w:eastAsia="zh-CN"/>
        </w:rPr>
        <w:t>项</w:t>
      </w:r>
      <w:r>
        <w:rPr>
          <w:rFonts w:hint="default" w:ascii="Times New Roman" w:hAnsi="Times New Roman" w:eastAsia="仿宋_GB2312" w:cs="Times New Roman"/>
          <w:color w:val="auto"/>
          <w:sz w:val="32"/>
          <w:szCs w:val="32"/>
          <w:highlight w:val="none"/>
          <w:lang w:val="en-US" w:eastAsia="zh-CN"/>
        </w:rPr>
        <w:t>目的综合绩效。</w:t>
      </w:r>
    </w:p>
    <w:p w14:paraId="1DDAC028">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b/>
          <w:bCs/>
          <w:sz w:val="32"/>
          <w:szCs w:val="32"/>
          <w:highlight w:val="none"/>
          <w:lang w:val="en-US" w:eastAsia="zh-CN"/>
        </w:rPr>
        <w:t>1.</w:t>
      </w:r>
      <w:r>
        <w:rPr>
          <w:rFonts w:hint="default" w:ascii="Times New Roman" w:hAnsi="Times New Roman" w:eastAsia="仿宋_GB2312" w:cs="Times New Roman"/>
          <w:b/>
          <w:bCs/>
          <w:sz w:val="32"/>
          <w:szCs w:val="32"/>
          <w:highlight w:val="none"/>
          <w:lang w:val="en-US" w:eastAsia="zh-CN"/>
        </w:rPr>
        <w:t>评价过程的完整性</w:t>
      </w:r>
      <w:r>
        <w:rPr>
          <w:rFonts w:hint="default" w:ascii="Times New Roman" w:hAnsi="Times New Roman" w:eastAsia="仿宋_GB2312" w:cs="Times New Roman"/>
          <w:sz w:val="32"/>
          <w:szCs w:val="32"/>
          <w:highlight w:val="none"/>
          <w:lang w:val="en-US" w:eastAsia="zh-CN"/>
        </w:rPr>
        <w:t>:前期准备充分：明确评价目的、对象和范围，制定详细的评价方案，确定评价方法和指标体系，收集相关资料和数据，包括租赁合同、资金拨付文件、物业管理服务合同、单位业务开展情况报告等，为评价工作奠定坚实基础；按照既定的评价方案，运用科学的方法，对收集的数据进行整理、分析和计算，通过实地考察、问卷调查、访谈等多种方式获取全面准确的信息，确保评价过程的客观性和公正性；及时将评价结果反馈给相关部门和利益相关者，为政策调整、项目改进提供依据，同时跟踪反馈意见的落实情况，形成评价工作的闭环，以保证评价结果能够切实发挥作用，促进拨付行政事业单位临时业务用房</w:t>
      </w:r>
      <w:r>
        <w:rPr>
          <w:rFonts w:hint="eastAsia" w:eastAsia="仿宋_GB2312" w:cs="Times New Roman"/>
          <w:sz w:val="32"/>
          <w:szCs w:val="32"/>
          <w:highlight w:val="none"/>
          <w:lang w:val="en-US" w:eastAsia="zh-CN"/>
        </w:rPr>
        <w:t>房屋租赁费</w:t>
      </w:r>
      <w:r>
        <w:rPr>
          <w:rFonts w:hint="default" w:ascii="Times New Roman" w:hAnsi="Times New Roman" w:eastAsia="仿宋_GB2312" w:cs="Times New Roman"/>
          <w:sz w:val="32"/>
          <w:szCs w:val="32"/>
          <w:highlight w:val="none"/>
          <w:lang w:val="en-US" w:eastAsia="zh-CN"/>
        </w:rPr>
        <w:t>及物业费</w:t>
      </w:r>
      <w:r>
        <w:rPr>
          <w:rFonts w:hint="eastAsia" w:eastAsia="仿宋_GB2312" w:cs="Times New Roman"/>
          <w:sz w:val="32"/>
          <w:szCs w:val="32"/>
          <w:highlight w:val="none"/>
          <w:lang w:val="en-US" w:eastAsia="zh-CN"/>
        </w:rPr>
        <w:t>项</w:t>
      </w:r>
      <w:r>
        <w:rPr>
          <w:rFonts w:hint="default" w:ascii="Times New Roman" w:hAnsi="Times New Roman" w:eastAsia="仿宋_GB2312" w:cs="Times New Roman"/>
          <w:sz w:val="32"/>
          <w:szCs w:val="32"/>
          <w:highlight w:val="none"/>
          <w:lang w:val="en-US" w:eastAsia="zh-CN"/>
        </w:rPr>
        <w:t>目工作的持续优化。</w:t>
      </w:r>
    </w:p>
    <w:p w14:paraId="78D4F449">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b/>
          <w:bCs/>
          <w:sz w:val="32"/>
          <w:szCs w:val="32"/>
          <w:highlight w:val="none"/>
          <w:lang w:val="en-US" w:eastAsia="zh-CN"/>
        </w:rPr>
        <w:t>2.</w:t>
      </w:r>
      <w:r>
        <w:rPr>
          <w:rFonts w:hint="default" w:ascii="Times New Roman" w:hAnsi="Times New Roman" w:eastAsia="仿宋_GB2312" w:cs="Times New Roman"/>
          <w:b/>
          <w:bCs/>
          <w:sz w:val="32"/>
          <w:szCs w:val="32"/>
          <w:highlight w:val="none"/>
          <w:lang w:val="en-US" w:eastAsia="zh-CN"/>
        </w:rPr>
        <w:t>评价主体的完整性</w:t>
      </w:r>
      <w:r>
        <w:rPr>
          <w:rFonts w:hint="default" w:ascii="Times New Roman" w:hAnsi="Times New Roman" w:eastAsia="仿宋_GB2312" w:cs="Times New Roman"/>
          <w:sz w:val="32"/>
          <w:szCs w:val="32"/>
          <w:highlight w:val="none"/>
          <w:lang w:val="en-US" w:eastAsia="zh-CN"/>
        </w:rPr>
        <w:t>：由财政</w:t>
      </w:r>
      <w:r>
        <w:rPr>
          <w:rFonts w:hint="eastAsia" w:eastAsia="仿宋_GB2312" w:cs="Times New Roman"/>
          <w:sz w:val="32"/>
          <w:szCs w:val="32"/>
          <w:highlight w:val="none"/>
          <w:lang w:val="en-US" w:eastAsia="zh-CN"/>
        </w:rPr>
        <w:t>局</w:t>
      </w:r>
      <w:r>
        <w:rPr>
          <w:rFonts w:hint="default" w:ascii="Times New Roman" w:hAnsi="Times New Roman" w:eastAsia="仿宋_GB2312" w:cs="Times New Roman"/>
          <w:sz w:val="32"/>
          <w:szCs w:val="32"/>
          <w:highlight w:val="none"/>
          <w:lang w:val="en-US" w:eastAsia="zh-CN"/>
        </w:rPr>
        <w:t>牵头，组织专业人员，包括</w:t>
      </w:r>
      <w:r>
        <w:rPr>
          <w:rFonts w:hint="eastAsia"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val="en-US" w:eastAsia="zh-CN"/>
        </w:rPr>
        <w:t>财务</w:t>
      </w:r>
      <w:r>
        <w:rPr>
          <w:rFonts w:hint="eastAsia" w:eastAsia="仿宋_GB2312" w:cs="Times New Roman"/>
          <w:sz w:val="32"/>
          <w:szCs w:val="32"/>
          <w:highlight w:val="none"/>
          <w:lang w:val="en-US" w:eastAsia="zh-CN"/>
        </w:rPr>
        <w:t>部门</w:t>
      </w:r>
      <w:r>
        <w:rPr>
          <w:rFonts w:hint="default" w:ascii="Times New Roman" w:hAnsi="Times New Roman" w:eastAsia="仿宋_GB2312" w:cs="Times New Roman"/>
          <w:sz w:val="32"/>
          <w:szCs w:val="32"/>
          <w:highlight w:val="none"/>
          <w:lang w:val="en-US" w:eastAsia="zh-CN"/>
        </w:rPr>
        <w:t>、审计</w:t>
      </w:r>
      <w:r>
        <w:rPr>
          <w:rFonts w:hint="eastAsia" w:eastAsia="仿宋_GB2312" w:cs="Times New Roman"/>
          <w:sz w:val="32"/>
          <w:szCs w:val="32"/>
          <w:highlight w:val="none"/>
          <w:lang w:val="en-US" w:eastAsia="zh-CN"/>
        </w:rPr>
        <w:t>部门</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单位办公室</w:t>
      </w:r>
      <w:r>
        <w:rPr>
          <w:rFonts w:hint="default" w:ascii="Times New Roman" w:hAnsi="Times New Roman" w:eastAsia="仿宋_GB2312" w:cs="Times New Roman"/>
          <w:sz w:val="32"/>
          <w:szCs w:val="32"/>
          <w:highlight w:val="none"/>
          <w:lang w:val="en-US" w:eastAsia="zh-CN"/>
        </w:rPr>
        <w:t>等，成立专门的绩效评价小组。各评价主体在评价过程中明确分工、密切配合，共同参与评价指标制定、数据收集分析、结果讨论等环节，形成协同效应，使评价结果更具说服力和可信度。</w:t>
      </w:r>
    </w:p>
    <w:p w14:paraId="1C706EFD">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b/>
          <w:bCs/>
          <w:sz w:val="32"/>
          <w:szCs w:val="32"/>
          <w:highlight w:val="none"/>
          <w:lang w:val="en-US" w:eastAsia="zh-CN"/>
        </w:rPr>
        <w:t>3.</w:t>
      </w:r>
      <w:r>
        <w:rPr>
          <w:rFonts w:hint="default" w:ascii="Times New Roman" w:hAnsi="Times New Roman" w:eastAsia="仿宋_GB2312" w:cs="Times New Roman"/>
          <w:b/>
          <w:bCs/>
          <w:sz w:val="32"/>
          <w:szCs w:val="32"/>
          <w:highlight w:val="none"/>
          <w:lang w:val="en-US" w:eastAsia="zh-CN"/>
        </w:rPr>
        <w:t>评价数据的完整性</w:t>
      </w:r>
      <w:r>
        <w:rPr>
          <w:rFonts w:hint="default" w:ascii="Times New Roman" w:hAnsi="Times New Roman" w:eastAsia="仿宋_GB2312" w:cs="Times New Roman"/>
          <w:sz w:val="32"/>
          <w:szCs w:val="32"/>
          <w:highlight w:val="none"/>
          <w:lang w:val="en-US" w:eastAsia="zh-CN"/>
        </w:rPr>
        <w:t>:涵盖多个渠道，如租赁合同、资金拨付文件、物业管理服务合同、单位业务开展情况报告等，确保从不同角度获取拨付行政事业单位临时业务用房</w:t>
      </w:r>
      <w:r>
        <w:rPr>
          <w:rFonts w:hint="eastAsia" w:eastAsia="仿宋_GB2312" w:cs="Times New Roman"/>
          <w:sz w:val="32"/>
          <w:szCs w:val="32"/>
          <w:highlight w:val="none"/>
          <w:lang w:val="en-US" w:eastAsia="zh-CN"/>
        </w:rPr>
        <w:t>房屋租赁费</w:t>
      </w:r>
      <w:r>
        <w:rPr>
          <w:rFonts w:hint="default" w:ascii="Times New Roman" w:hAnsi="Times New Roman" w:eastAsia="仿宋_GB2312" w:cs="Times New Roman"/>
          <w:sz w:val="32"/>
          <w:szCs w:val="32"/>
          <w:highlight w:val="none"/>
          <w:lang w:val="en-US" w:eastAsia="zh-CN"/>
        </w:rPr>
        <w:t>及物业费</w:t>
      </w:r>
      <w:r>
        <w:rPr>
          <w:rFonts w:hint="eastAsia" w:eastAsia="仿宋_GB2312" w:cs="Times New Roman"/>
          <w:sz w:val="32"/>
          <w:szCs w:val="32"/>
          <w:highlight w:val="none"/>
          <w:lang w:val="en-US" w:eastAsia="zh-CN"/>
        </w:rPr>
        <w:t>项</w:t>
      </w:r>
      <w:r>
        <w:rPr>
          <w:rFonts w:hint="default" w:ascii="Times New Roman" w:hAnsi="Times New Roman" w:eastAsia="仿宋_GB2312" w:cs="Times New Roman"/>
          <w:sz w:val="32"/>
          <w:szCs w:val="32"/>
          <w:highlight w:val="none"/>
          <w:lang w:val="en-US" w:eastAsia="zh-CN"/>
        </w:rPr>
        <w:t>目绩效相关的信息。</w:t>
      </w:r>
    </w:p>
    <w:p w14:paraId="284FBE59">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w:t>
      </w:r>
      <w:r>
        <w:rPr>
          <w:rFonts w:hint="eastAsia" w:eastAsia="仿宋_GB2312" w:cs="Times New Roman"/>
          <w:sz w:val="32"/>
          <w:szCs w:val="32"/>
          <w:highlight w:val="none"/>
          <w:lang w:val="en-US" w:eastAsia="zh-CN"/>
        </w:rPr>
        <w:t>、数据分析</w:t>
      </w:r>
      <w:r>
        <w:rPr>
          <w:rFonts w:hint="default" w:ascii="Times New Roman" w:hAnsi="Times New Roman" w:eastAsia="仿宋_GB2312" w:cs="Times New Roman"/>
          <w:sz w:val="32"/>
          <w:szCs w:val="32"/>
          <w:highlight w:val="none"/>
          <w:lang w:val="en-US" w:eastAsia="zh-CN"/>
        </w:rPr>
        <w:t>等，广泛收集了与项目相关的各类数据，以确保评价结论的科学性和可靠性。此外，还对数据的质量和完整性进行了严格把控，对于缺失或异常的数据进行了合理的处理和说明，保证了评价数据的真实性和有效性。</w:t>
      </w:r>
    </w:p>
    <w:p w14:paraId="491AFC1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47539A3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1</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评估政策成效：</w:t>
      </w:r>
      <w:r>
        <w:rPr>
          <w:rFonts w:hint="eastAsia" w:ascii="Times New Roman" w:hAnsi="Times New Roman" w:eastAsia="仿宋_GB2312" w:cs="Times New Roman"/>
          <w:sz w:val="32"/>
          <w:szCs w:val="32"/>
          <w:highlight w:val="none"/>
          <w:lang w:eastAsia="zh-CN"/>
        </w:rPr>
        <w:t>通过绩效评价，能了解资金是否被合理、高效地使用，是否存在浪费或挪用等情况，确保每一笔资金都能发挥最大的作用，实现资金使用效益的最大化。</w:t>
      </w:r>
    </w:p>
    <w:p w14:paraId="1C97B34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优化资源配置：通过分析投入与产出的关系，明确资源在拨付行政事业单位临时业务用房房屋租赁费及物业费项目中的使用效率，为后续资金分配、资源投入方向提供科学依据，使资源得到更合理有效的利用。</w:t>
      </w:r>
    </w:p>
    <w:p w14:paraId="2D60698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发现问题并改进：及时发现</w:t>
      </w:r>
      <w:r>
        <w:rPr>
          <w:rFonts w:hint="eastAsia" w:eastAsia="仿宋_GB2312" w:cs="Times New Roman"/>
          <w:sz w:val="32"/>
          <w:szCs w:val="32"/>
          <w:highlight w:val="none"/>
          <w:lang w:val="en-US" w:eastAsia="zh-CN"/>
        </w:rPr>
        <w:t>拨付</w:t>
      </w:r>
      <w:r>
        <w:rPr>
          <w:rFonts w:hint="default" w:ascii="Times New Roman" w:hAnsi="Times New Roman" w:eastAsia="仿宋_GB2312" w:cs="Times New Roman"/>
          <w:sz w:val="32"/>
          <w:szCs w:val="32"/>
          <w:highlight w:val="none"/>
        </w:rPr>
        <w:t>行政事业单位临时业务用房房屋租赁费及物业费工作中存在的问题，如工程实施过程中的技术难题、后续管理的漏洞等，以便采取针对性措施加以改进，提高项目实施质量。</w:t>
      </w:r>
    </w:p>
    <w:p w14:paraId="41B1D49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为政策调整提供依据：根据绩效评价结果，为</w:t>
      </w:r>
      <w:r>
        <w:rPr>
          <w:rFonts w:hint="eastAsia" w:eastAsia="仿宋_GB2312" w:cs="Times New Roman"/>
          <w:sz w:val="32"/>
          <w:szCs w:val="32"/>
          <w:highlight w:val="none"/>
          <w:lang w:val="en-US" w:eastAsia="zh-CN"/>
        </w:rPr>
        <w:t>拨付</w:t>
      </w:r>
      <w:r>
        <w:rPr>
          <w:rFonts w:hint="default" w:ascii="Times New Roman" w:hAnsi="Times New Roman" w:eastAsia="仿宋_GB2312" w:cs="Times New Roman"/>
          <w:sz w:val="32"/>
          <w:szCs w:val="32"/>
          <w:highlight w:val="none"/>
        </w:rPr>
        <w:t>行政事业单位临时业务用房房屋租赁费及物业费政策的调整、完善提供数据支持和决策参考，确保政策的科学性、有效性和可持续性。</w:t>
      </w:r>
    </w:p>
    <w:p w14:paraId="34C88945">
      <w:pPr>
        <w:pStyle w:val="10"/>
        <w:keepNext w:val="0"/>
        <w:keepLines w:val="0"/>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highlight w:val="none"/>
        </w:rPr>
      </w:pPr>
      <w:r>
        <w:rPr>
          <w:rFonts w:hint="default" w:ascii="Times New Roman" w:hAnsi="Times New Roman" w:eastAsia="仿宋_GB2312" w:cs="Times New Roman"/>
          <w:b/>
          <w:bCs/>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highlight w:val="none"/>
        </w:rPr>
        <w:t>绩效评价的对象</w:t>
      </w:r>
    </w:p>
    <w:p w14:paraId="3E8577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line="560" w:lineRule="exact"/>
        <w:ind w:left="0" w:right="148" w:rightChars="0" w:firstLine="640" w:firstLineChars="200"/>
        <w:jc w:val="left"/>
        <w:textAlignment w:val="auto"/>
        <w:rPr>
          <w:rFonts w:hint="eastAsia" w:ascii="仿宋" w:hAnsi="仿宋" w:eastAsia="仿宋" w:cs="仿宋"/>
          <w:b w:val="0"/>
          <w:bCs w:val="0"/>
          <w:color w:val="auto"/>
          <w:sz w:val="32"/>
          <w:szCs w:val="40"/>
          <w:highlight w:val="none"/>
        </w:rPr>
      </w:pPr>
      <w:r>
        <w:rPr>
          <w:rFonts w:hint="eastAsia" w:ascii="仿宋" w:hAnsi="仿宋" w:eastAsia="仿宋" w:cs="仿宋"/>
          <w:b w:val="0"/>
          <w:bCs w:val="0"/>
          <w:color w:val="auto"/>
          <w:sz w:val="32"/>
          <w:szCs w:val="40"/>
          <w:highlight w:val="none"/>
        </w:rPr>
        <w:t>本项目预算绩效评价报告的评价对象是奇财预[2024]</w:t>
      </w:r>
      <w:r>
        <w:rPr>
          <w:rFonts w:hint="eastAsia" w:ascii="仿宋" w:hAnsi="仿宋" w:eastAsia="仿宋" w:cs="仿宋"/>
          <w:b w:val="0"/>
          <w:bCs w:val="0"/>
          <w:color w:val="auto"/>
          <w:sz w:val="32"/>
          <w:szCs w:val="40"/>
          <w:highlight w:val="none"/>
        </w:rPr>
        <w:br w:type="textWrapping"/>
      </w:r>
      <w:r>
        <w:rPr>
          <w:rFonts w:hint="eastAsia" w:ascii="仿宋" w:hAnsi="仿宋" w:eastAsia="仿宋" w:cs="仿宋"/>
          <w:b w:val="0"/>
          <w:bCs w:val="0"/>
          <w:color w:val="auto"/>
          <w:sz w:val="32"/>
          <w:szCs w:val="40"/>
          <w:highlight w:val="none"/>
        </w:rPr>
        <w:t>109号</w:t>
      </w:r>
      <w:r>
        <w:rPr>
          <w:rFonts w:hint="eastAsia" w:ascii="仿宋" w:hAnsi="仿宋" w:eastAsia="仿宋" w:cs="仿宋"/>
          <w:b w:val="0"/>
          <w:bCs w:val="0"/>
          <w:color w:val="auto"/>
          <w:sz w:val="32"/>
          <w:szCs w:val="40"/>
          <w:highlight w:val="none"/>
          <w:lang w:eastAsia="zh-CN"/>
        </w:rPr>
        <w:t>《</w:t>
      </w:r>
      <w:r>
        <w:rPr>
          <w:rFonts w:hint="eastAsia" w:ascii="仿宋" w:hAnsi="仿宋" w:eastAsia="仿宋" w:cs="仿宋"/>
          <w:b w:val="0"/>
          <w:bCs w:val="0"/>
          <w:color w:val="auto"/>
          <w:sz w:val="32"/>
          <w:szCs w:val="40"/>
          <w:highlight w:val="none"/>
        </w:rPr>
        <w:t>关于拨付行政事业单位临时业务用房及物业费的通知</w:t>
      </w:r>
      <w:r>
        <w:rPr>
          <w:rFonts w:hint="eastAsia" w:ascii="仿宋" w:hAnsi="仿宋" w:eastAsia="仿宋" w:cs="仿宋"/>
          <w:b w:val="0"/>
          <w:bCs w:val="0"/>
          <w:color w:val="auto"/>
          <w:sz w:val="32"/>
          <w:szCs w:val="40"/>
          <w:highlight w:val="none"/>
          <w:lang w:eastAsia="zh-CN"/>
        </w:rPr>
        <w:t>》</w:t>
      </w:r>
      <w:r>
        <w:rPr>
          <w:rFonts w:hint="eastAsia" w:ascii="仿宋" w:hAnsi="仿宋" w:eastAsia="仿宋" w:cs="仿宋"/>
          <w:b w:val="0"/>
          <w:bCs w:val="0"/>
          <w:color w:val="auto"/>
          <w:sz w:val="32"/>
          <w:szCs w:val="40"/>
          <w:highlight w:val="none"/>
        </w:rPr>
        <w:t>及其预算执行情况。该项目由</w:t>
      </w:r>
      <w:r>
        <w:rPr>
          <w:rFonts w:hint="eastAsia" w:ascii="仿宋" w:hAnsi="仿宋" w:eastAsia="仿宋" w:cs="仿宋"/>
          <w:b w:val="0"/>
          <w:bCs w:val="0"/>
          <w:color w:val="auto"/>
          <w:sz w:val="32"/>
          <w:szCs w:val="40"/>
          <w:highlight w:val="none"/>
          <w:lang w:val="en-US" w:eastAsia="zh-CN"/>
        </w:rPr>
        <w:t>奇台县供销合作社联合社</w:t>
      </w:r>
      <w:r>
        <w:rPr>
          <w:rFonts w:hint="eastAsia" w:ascii="仿宋" w:hAnsi="仿宋" w:eastAsia="仿宋" w:cs="仿宋"/>
          <w:b w:val="0"/>
          <w:bCs w:val="0"/>
          <w:color w:val="auto"/>
          <w:sz w:val="32"/>
          <w:szCs w:val="40"/>
          <w:highlight w:val="none"/>
        </w:rPr>
        <w:t>负责实施，旨在</w:t>
      </w:r>
      <w:r>
        <w:rPr>
          <w:rFonts w:hint="eastAsia" w:ascii="仿宋" w:hAnsi="仿宋" w:eastAsia="仿宋" w:cs="仿宋"/>
          <w:i w:val="0"/>
          <w:caps w:val="0"/>
          <w:color w:val="auto"/>
          <w:spacing w:val="0"/>
          <w:kern w:val="0"/>
          <w:sz w:val="32"/>
          <w:szCs w:val="32"/>
          <w:highlight w:val="none"/>
          <w:shd w:val="clear" w:fill="FFFFFF"/>
          <w:lang w:val="en-US" w:eastAsia="zh-CN" w:bidi="ar"/>
        </w:rPr>
        <w:t>通过债务资金按期足额拨付有效保障单位良好信用。</w:t>
      </w:r>
      <w:r>
        <w:rPr>
          <w:rFonts w:hint="eastAsia" w:ascii="仿宋" w:hAnsi="仿宋" w:eastAsia="仿宋" w:cs="仿宋"/>
          <w:b w:val="0"/>
          <w:bCs w:val="0"/>
          <w:color w:val="auto"/>
          <w:sz w:val="32"/>
          <w:szCs w:val="40"/>
          <w:highlight w:val="none"/>
        </w:rPr>
        <w:t>项目预算涵盖从</w:t>
      </w:r>
      <w:r>
        <w:rPr>
          <w:rFonts w:hint="eastAsia" w:ascii="仿宋" w:hAnsi="仿宋" w:eastAsia="仿宋" w:cs="仿宋"/>
          <w:b w:val="0"/>
          <w:bCs w:val="0"/>
          <w:color w:val="auto"/>
          <w:sz w:val="32"/>
          <w:szCs w:val="40"/>
          <w:highlight w:val="none"/>
          <w:lang w:val="en-US" w:eastAsia="zh-CN"/>
        </w:rPr>
        <w:t>2024年1月1日</w:t>
      </w:r>
      <w:r>
        <w:rPr>
          <w:rFonts w:hint="eastAsia" w:ascii="仿宋" w:hAnsi="仿宋" w:eastAsia="仿宋" w:cs="仿宋"/>
          <w:b w:val="0"/>
          <w:bCs w:val="0"/>
          <w:color w:val="auto"/>
          <w:sz w:val="32"/>
          <w:szCs w:val="40"/>
          <w:highlight w:val="none"/>
        </w:rPr>
        <w:t>至</w:t>
      </w:r>
      <w:r>
        <w:rPr>
          <w:rFonts w:hint="eastAsia" w:ascii="仿宋" w:hAnsi="仿宋" w:eastAsia="仿宋" w:cs="仿宋"/>
          <w:b w:val="0"/>
          <w:bCs w:val="0"/>
          <w:color w:val="auto"/>
          <w:sz w:val="32"/>
          <w:szCs w:val="40"/>
          <w:highlight w:val="none"/>
          <w:lang w:val="en-US" w:eastAsia="zh-CN"/>
        </w:rPr>
        <w:t>2024年12月31日</w:t>
      </w:r>
      <w:r>
        <w:rPr>
          <w:rFonts w:hint="eastAsia" w:ascii="仿宋" w:hAnsi="仿宋" w:eastAsia="仿宋" w:cs="仿宋"/>
          <w:b w:val="0"/>
          <w:bCs w:val="0"/>
          <w:color w:val="auto"/>
          <w:sz w:val="32"/>
          <w:szCs w:val="40"/>
          <w:highlight w:val="none"/>
        </w:rPr>
        <w:t>的全部资金投入与支出，涉及资金总额为</w:t>
      </w:r>
      <w:r>
        <w:rPr>
          <w:rFonts w:hint="eastAsia" w:ascii="仿宋" w:hAnsi="仿宋" w:eastAsia="仿宋" w:cs="仿宋"/>
          <w:b w:val="0"/>
          <w:bCs w:val="0"/>
          <w:color w:val="auto"/>
          <w:sz w:val="32"/>
          <w:szCs w:val="40"/>
          <w:highlight w:val="none"/>
          <w:lang w:val="en-US" w:eastAsia="zh-CN"/>
        </w:rPr>
        <w:t>35.63万</w:t>
      </w:r>
      <w:r>
        <w:rPr>
          <w:rFonts w:hint="eastAsia" w:ascii="仿宋" w:hAnsi="仿宋" w:eastAsia="仿宋" w:cs="仿宋"/>
          <w:b w:val="0"/>
          <w:bCs w:val="0"/>
          <w:color w:val="auto"/>
          <w:sz w:val="32"/>
          <w:szCs w:val="40"/>
          <w:highlight w:val="none"/>
        </w:rPr>
        <w:t>元。</w:t>
      </w:r>
    </w:p>
    <w:p w14:paraId="66E916C7">
      <w:pPr>
        <w:pStyle w:val="10"/>
        <w:widowControl w:val="0"/>
        <w:spacing w:before="0" w:after="0" w:line="560" w:lineRule="exact"/>
        <w:ind w:firstLine="640" w:firstLineChars="200"/>
        <w:jc w:val="both"/>
        <w:outlineLvl w:val="9"/>
        <w:rPr>
          <w:rFonts w:hint="eastAsia" w:ascii="仿宋" w:hAnsi="仿宋" w:eastAsia="仿宋" w:cs="仿宋"/>
          <w:b w:val="0"/>
          <w:bCs w:val="0"/>
          <w:color w:val="auto"/>
          <w:highlight w:val="none"/>
        </w:rPr>
      </w:pPr>
      <w:r>
        <w:rPr>
          <w:rFonts w:hint="eastAsia" w:ascii="仿宋" w:hAnsi="仿宋" w:eastAsia="仿宋" w:cs="仿宋"/>
          <w:b w:val="0"/>
          <w:bCs w:val="0"/>
          <w:color w:val="auto"/>
          <w:highlight w:val="none"/>
          <w:lang w:val="en-US" w:eastAsia="zh-CN"/>
        </w:rPr>
        <w:t>4.</w:t>
      </w:r>
      <w:r>
        <w:rPr>
          <w:rFonts w:hint="eastAsia" w:ascii="仿宋" w:hAnsi="仿宋" w:eastAsia="仿宋" w:cs="仿宋"/>
          <w:b w:val="0"/>
          <w:bCs w:val="0"/>
          <w:color w:val="auto"/>
          <w:highlight w:val="none"/>
        </w:rPr>
        <w:t>绩效评价的范围</w:t>
      </w:r>
    </w:p>
    <w:p w14:paraId="7B4079C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14:paraId="42B5EAC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13D3E683">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2D452F8E">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0C5AAD26">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24D13F99">
      <w:pPr>
        <w:pStyle w:val="10"/>
        <w:widowControl w:val="0"/>
        <w:numPr>
          <w:ilvl w:val="0"/>
          <w:numId w:val="2"/>
        </w:numPr>
        <w:spacing w:before="0" w:after="0" w:line="560" w:lineRule="exact"/>
        <w:ind w:firstLine="640" w:firstLineChars="200"/>
        <w:jc w:val="both"/>
        <w:outlineLvl w:val="9"/>
        <w:rPr>
          <w:rFonts w:hint="default"/>
          <w:sz w:val="32"/>
          <w:szCs w:val="40"/>
          <w:highlight w:val="none"/>
          <w:lang w:val="en-US"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rPr>
        <w:t>、经济等方面的综合影响。</w:t>
      </w:r>
    </w:p>
    <w:p w14:paraId="6CEA0E43">
      <w:pPr>
        <w:pStyle w:val="10"/>
        <w:widowControl w:val="0"/>
        <w:numPr>
          <w:ilvl w:val="0"/>
          <w:numId w:val="0"/>
        </w:numPr>
        <w:spacing w:before="0" w:after="0" w:line="560" w:lineRule="exact"/>
        <w:ind w:firstLine="643" w:firstLineChars="200"/>
        <w:jc w:val="both"/>
        <w:outlineLvl w:val="9"/>
        <w:rPr>
          <w:rFonts w:hint="default"/>
          <w:sz w:val="32"/>
          <w:szCs w:val="40"/>
          <w:highlight w:val="none"/>
          <w:lang w:val="en-US" w:eastAsia="zh-CN"/>
        </w:rPr>
      </w:pPr>
      <w:r>
        <w:rPr>
          <w:rFonts w:hint="eastAsia" w:ascii="仿宋" w:hAnsi="仿宋" w:eastAsia="仿宋" w:cs="仿宋"/>
          <w:sz w:val="32"/>
          <w:szCs w:val="40"/>
          <w:highlight w:val="none"/>
          <w:lang w:val="en-US" w:eastAsia="zh-CN"/>
        </w:rPr>
        <w:t>一是在社会影响方面：</w:t>
      </w:r>
    </w:p>
    <w:p w14:paraId="5FCF952A">
      <w:pPr>
        <w:numPr>
          <w:ilvl w:val="0"/>
          <w:numId w:val="3"/>
        </w:numPr>
        <w:spacing w:line="560" w:lineRule="exact"/>
        <w:ind w:firstLine="640"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公共服务稳定性：一是正向作用是确保行政事业单位在临时用房中正常运转，避免因资金不足导致办公停滞，保障公共服务的连续性。二是潜在问题是若长期依赖临时用房，可能降低机构对办公条件优化的动力，影响服务效率。</w:t>
      </w:r>
    </w:p>
    <w:p w14:paraId="45E5AE81">
      <w:pPr>
        <w:numPr>
          <w:ilvl w:val="0"/>
          <w:numId w:val="3"/>
        </w:numPr>
        <w:spacing w:line="560" w:lineRule="exact"/>
        <w:ind w:firstLine="640"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社会公平性争议：一是公众舆论是若拨付标准不透明，可能引发公众对财政资金优先保障行政单位而非民生领域的质疑，加剧对政府资源分配公平性的担忧。</w:t>
      </w:r>
    </w:p>
    <w:p w14:paraId="1EE70799">
      <w:pPr>
        <w:numPr>
          <w:ilvl w:val="0"/>
          <w:numId w:val="3"/>
        </w:numPr>
        <w:spacing w:line="560" w:lineRule="exact"/>
        <w:ind w:firstLine="640"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社区关系与公共资源占用：临时用房若位于居民区，可能因人流、车辆增加导致噪音、交通拥堵等问题，影响周边居民生活。物业费拨付若覆盖安保、绿化等服务，可能挤占原社区公共资源。</w:t>
      </w:r>
    </w:p>
    <w:p w14:paraId="63AC1BD8">
      <w:pPr>
        <w:numPr>
          <w:ilvl w:val="0"/>
          <w:numId w:val="0"/>
        </w:numPr>
        <w:spacing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二是在经济影响方面：</w:t>
      </w:r>
    </w:p>
    <w:p w14:paraId="6131EB0C">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财政支出压力：短期内，增加地方财政负担，尤其是经济欠发达地区，可能挤占其他民生项目的资金。长期内，若临时用房转为长期使用，可能导致重复投资，形成“预算软约束”问题。</w:t>
      </w:r>
    </w:p>
    <w:p w14:paraId="615402ED">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房地产市场波动：需求侧影响方面，短期内推高商业地产租赁需求，可能抬高区域租金水平，间接增加小微企业或个体经营者的成本。供给侧调整方面，开发商或业主可能倾向于改造物业以满足行政单位的需求，改变区域商业生态。</w:t>
      </w:r>
    </w:p>
    <w:p w14:paraId="7C65885C">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产业链关联效应：物业费拨付可能带动保洁、安保、维修等配套服务行业的短期需求，促进本地就业；但也可能形成依赖政府订单的“非市场化”业态。</w:t>
      </w:r>
    </w:p>
    <w:p w14:paraId="3E7A939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三、在生态环境影响方面</w:t>
      </w:r>
    </w:p>
    <w:p w14:paraId="631CC4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1、资源利用效率：负面效应方面，若临时用房为新建或改造项目，可能消耗建材、能源并产生建筑垃圾，不符合绿色办公理念。优化方向方面，鼓励使用节能建筑或闲置房产，推动资源循环利用。</w:t>
      </w:r>
    </w:p>
    <w:p w14:paraId="062CA6D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2、交通与碳排放：单位搬迁若导致员工通勤距离增加，可能加剧交通拥堵和尾气排放；需评估选址是否贴近公共交通节点。</w:t>
      </w:r>
    </w:p>
    <w:p w14:paraId="08573A3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3、长期可持续性：频繁变更办公地点可能造成重复装修、设备搬迁等资源浪费，需通过政府引导建立稳定的办公场所规划机制。</w:t>
      </w:r>
    </w:p>
    <w:p w14:paraId="4516F221">
      <w:pPr>
        <w:numPr>
          <w:ilvl w:val="0"/>
          <w:numId w:val="5"/>
        </w:numPr>
        <w:spacing w:line="560" w:lineRule="exact"/>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绩效评价原则、评价指标体系（详情见表1）、评价方法、评价标准。</w:t>
      </w:r>
    </w:p>
    <w:p w14:paraId="2D10B2D0">
      <w:pPr>
        <w:numPr>
          <w:ilvl w:val="0"/>
          <w:numId w:val="0"/>
        </w:numPr>
        <w:spacing w:line="560" w:lineRule="exact"/>
        <w:rPr>
          <w:rFonts w:hint="default" w:ascii="Times New Roman" w:hAnsi="Times New Roman" w:eastAsia="仿宋_GB2312" w:cs="Times New Roman"/>
          <w:b w:val="0"/>
          <w:bCs w:val="0"/>
          <w:sz w:val="32"/>
          <w:szCs w:val="40"/>
          <w:highlight w:val="none"/>
        </w:rPr>
      </w:pPr>
      <w:r>
        <w:rPr>
          <w:rFonts w:hint="eastAsia" w:eastAsia="楷体_GB2312" w:cs="Times New Roman"/>
          <w:b/>
          <w:bCs/>
          <w:sz w:val="32"/>
          <w:szCs w:val="32"/>
          <w:highlight w:val="none"/>
          <w:lang w:val="en-US" w:eastAsia="zh-CN"/>
        </w:rPr>
        <w:t xml:space="preserve">   </w:t>
      </w:r>
      <w:r>
        <w:rPr>
          <w:rFonts w:hint="eastAsia" w:eastAsia="楷体_GB2312" w:cs="Times New Roman"/>
          <w:b/>
          <w:bCs/>
          <w:sz w:val="48"/>
          <w:szCs w:val="48"/>
          <w:highlight w:val="none"/>
          <w:lang w:val="en-US" w:eastAsia="zh-CN"/>
        </w:rPr>
        <w:t xml:space="preserve"> </w:t>
      </w:r>
      <w:r>
        <w:rPr>
          <w:rFonts w:hint="default" w:ascii="Times New Roman" w:hAnsi="Times New Roman" w:eastAsia="仿宋_GB2312" w:cs="Times New Roman"/>
          <w:b w:val="0"/>
          <w:bCs w:val="0"/>
          <w:sz w:val="32"/>
          <w:szCs w:val="40"/>
          <w:highlight w:val="none"/>
        </w:rPr>
        <w:t>1</w:t>
      </w:r>
      <w:r>
        <w:rPr>
          <w:rFonts w:hint="default" w:ascii="Times New Roman" w:hAnsi="Times New Roman" w:eastAsia="仿宋_GB2312" w:cs="Times New Roman"/>
          <w:b/>
          <w:bCs/>
          <w:sz w:val="48"/>
          <w:szCs w:val="48"/>
          <w:highlight w:val="none"/>
          <w:lang w:val="en-US" w:eastAsia="zh-CN"/>
        </w:rPr>
        <w:t>.</w:t>
      </w:r>
      <w:r>
        <w:rPr>
          <w:rFonts w:hint="default" w:ascii="Times New Roman" w:hAnsi="Times New Roman" w:eastAsia="仿宋_GB2312" w:cs="Times New Roman"/>
          <w:b w:val="0"/>
          <w:bCs w:val="0"/>
          <w:sz w:val="32"/>
          <w:szCs w:val="40"/>
          <w:highlight w:val="none"/>
        </w:rPr>
        <w:t>绩效评价原则</w:t>
      </w:r>
    </w:p>
    <w:p w14:paraId="1FC48301">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508D3530">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3025C173">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077E806A">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5B31A8EB">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13E3E0AE">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504B0531">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18E7F29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45A9789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76B7CDA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5752827A">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w:t>
      </w:r>
      <w:r>
        <w:rPr>
          <w:rFonts w:hint="eastAsia" w:eastAsia="仿宋_GB2312" w:cs="Times New Roman"/>
          <w:color w:val="000000"/>
          <w:spacing w:val="17"/>
          <w:sz w:val="32"/>
          <w:szCs w:val="32"/>
          <w:highlight w:val="none"/>
          <w:lang w:val="en-US" w:eastAsia="zh-CN"/>
        </w:rPr>
        <w:t>40</w:t>
      </w:r>
      <w:r>
        <w:rPr>
          <w:rFonts w:hint="default" w:ascii="Times New Roman" w:hAnsi="Times New Roman" w:eastAsia="仿宋_GB2312" w:cs="Times New Roman"/>
          <w:color w:val="000000"/>
          <w:spacing w:val="17"/>
          <w:sz w:val="32"/>
          <w:szCs w:val="32"/>
          <w:highlight w:val="none"/>
        </w:rPr>
        <w:t>分，项目效益权重为20分。</w:t>
      </w:r>
    </w:p>
    <w:p w14:paraId="5A5FE5B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7E0B12E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74EB110F">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34758CFB">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3511DE4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408F8FF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绩效评价从项目决策、项目过程、项目产出、项目效益四个维度进行评价。评价对象为项目目标实施情况，评价核心为资金的支出完成情况和项目的产出效益。</w:t>
      </w:r>
    </w:p>
    <w:p w14:paraId="47E7B7B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本次绩效评价采用的方法比较法</w:t>
      </w:r>
      <w:r>
        <w:rPr>
          <w:rFonts w:hint="default" w:ascii="Times New Roman" w:hAnsi="Times New Roman" w:eastAsia="仿宋_GB2312" w:cs="Times New Roman"/>
          <w:sz w:val="32"/>
          <w:szCs w:val="32"/>
          <w:highlight w:val="none"/>
          <w:lang w:eastAsia="zh-CN"/>
        </w:rPr>
        <w:t>、因素分析法、公众评判法</w:t>
      </w:r>
      <w:r>
        <w:rPr>
          <w:rFonts w:hint="default" w:ascii="Times New Roman" w:hAnsi="Times New Roman" w:eastAsia="仿宋_GB2312" w:cs="Times New Roman"/>
          <w:sz w:val="32"/>
          <w:szCs w:val="32"/>
          <w:highlight w:val="none"/>
          <w:lang w:val="en-US" w:eastAsia="zh-CN"/>
        </w:rPr>
        <w:t>对项目绩效目标预期指标值与实施情况进行比较，以及采取公众问卷及抽样调查等方式进行评判的方法对奇财预[2024]109号</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关于拨付行政事业单位临时业务用房及物业费的通知</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项目进行评价。</w:t>
      </w:r>
    </w:p>
    <w:p w14:paraId="39A522E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55B6B88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bCs/>
          <w:highlight w:val="none"/>
          <w:lang w:val="en-US" w:eastAsia="zh-CN"/>
        </w:rPr>
        <w:t>计划</w:t>
      </w:r>
      <w:r>
        <w:rPr>
          <w:rFonts w:hint="default" w:ascii="Times New Roman" w:hAnsi="Times New Roman" w:eastAsia="仿宋_GB2312" w:cs="Times New Roman"/>
          <w:b w:val="0"/>
          <w:bCs w:val="0"/>
          <w:highlight w:val="none"/>
        </w:rPr>
        <w:t>标准。</w:t>
      </w:r>
    </w:p>
    <w:p w14:paraId="700F54DE">
      <w:pPr>
        <w:pStyle w:val="10"/>
        <w:numPr>
          <w:ilvl w:val="0"/>
          <w:numId w:val="6"/>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03C3C9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1F3BD2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w:t>
      </w:r>
      <w:r>
        <w:rPr>
          <w:rFonts w:hint="eastAsia" w:eastAsia="仿宋_GB2312" w:cs="Times New Roman"/>
          <w:sz w:val="32"/>
          <w:szCs w:val="32"/>
          <w:highlight w:val="none"/>
          <w:lang w:val="en-US" w:eastAsia="zh-CN"/>
        </w:rPr>
        <w:t>绩效</w:t>
      </w:r>
      <w:r>
        <w:rPr>
          <w:rFonts w:hint="default" w:ascii="Times New Roman" w:hAnsi="Times New Roman" w:eastAsia="仿宋_GB2312" w:cs="Times New Roman"/>
          <w:sz w:val="32"/>
          <w:szCs w:val="32"/>
          <w:highlight w:val="none"/>
        </w:rPr>
        <w:t>评价工作小组，小组成员由</w:t>
      </w:r>
      <w:r>
        <w:rPr>
          <w:rFonts w:hint="eastAsia" w:eastAsia="仿宋_GB2312" w:cs="Times New Roman"/>
          <w:sz w:val="32"/>
          <w:szCs w:val="32"/>
          <w:highlight w:val="none"/>
          <w:lang w:val="en-US" w:eastAsia="zh-CN"/>
        </w:rPr>
        <w:t>多刚、马云飞、李月、房继凯</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771166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4B0E23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w:t>
      </w:r>
      <w:r>
        <w:rPr>
          <w:rFonts w:hint="eastAsia" w:eastAsia="仿宋_GB2312" w:cs="Times New Roman"/>
          <w:sz w:val="32"/>
          <w:szCs w:val="32"/>
          <w:highlight w:val="none"/>
          <w:lang w:val="en-US" w:eastAsia="zh-CN"/>
        </w:rPr>
        <w:t>从投入、过程、产出、效益等方面设计具体指标。如投入方面有资金到位率，过程方面有租赁合同规范性，产出方面有房屋及服务的提供及时性，效益方面有对单位业务开展的影响等。</w:t>
      </w:r>
      <w:r>
        <w:rPr>
          <w:rFonts w:hint="default" w:ascii="Times New Roman" w:hAnsi="Times New Roman" w:eastAsia="仿宋_GB2312" w:cs="Times New Roman"/>
          <w:sz w:val="32"/>
          <w:szCs w:val="32"/>
          <w:highlight w:val="none"/>
          <w:lang w:eastAsia="zh-CN"/>
        </w:rPr>
        <w:t>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03EF8E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33A801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w:t>
      </w:r>
      <w:r>
        <w:rPr>
          <w:rFonts w:hint="default" w:ascii="Times New Roman" w:hAnsi="Times New Roman" w:eastAsia="仿宋_GB2312" w:cs="Times New Roman"/>
          <w:b/>
          <w:bCs/>
          <w:sz w:val="32"/>
          <w:szCs w:val="32"/>
          <w:highlight w:val="none"/>
          <w:lang w:eastAsia="zh-CN"/>
        </w:rPr>
        <w:t>包</w:t>
      </w:r>
      <w:r>
        <w:rPr>
          <w:rFonts w:hint="default" w:ascii="Times New Roman" w:hAnsi="Times New Roman" w:eastAsia="仿宋_GB2312" w:cs="Times New Roman"/>
          <w:sz w:val="32"/>
          <w:szCs w:val="32"/>
          <w:highlight w:val="none"/>
          <w:lang w:eastAsia="zh-CN"/>
        </w:rPr>
        <w:t>括</w:t>
      </w:r>
      <w:r>
        <w:rPr>
          <w:rFonts w:hint="eastAsia" w:ascii="Times New Roman" w:hAnsi="Times New Roman" w:eastAsia="仿宋_GB2312" w:cs="Times New Roman"/>
          <w:sz w:val="32"/>
          <w:szCs w:val="32"/>
          <w:highlight w:val="none"/>
          <w:lang w:val="en-US" w:eastAsia="zh-CN"/>
        </w:rPr>
        <w:t>房屋租赁合同、资金拨付文件、物业管理服务合同、单位业务开展情况报告等资料。</w:t>
      </w:r>
      <w:r>
        <w:rPr>
          <w:rFonts w:hint="default" w:ascii="Times New Roman" w:hAnsi="Times New Roman" w:eastAsia="仿宋_GB2312" w:cs="Times New Roman"/>
          <w:sz w:val="32"/>
          <w:szCs w:val="32"/>
          <w:highlight w:val="none"/>
          <w:lang w:eastAsia="zh-CN"/>
        </w:rPr>
        <w:t>在数据收集过程中，注重数据的质量与完整性，对缺失或异常的数据进行了合理的处理和补充。随后，对收集到的数据进行了系统的整理与分类，为后续的数据分析提供了有力支持。</w:t>
      </w:r>
    </w:p>
    <w:p w14:paraId="74D80C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198F2D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Calibri" w:hAnsi="Calibri" w:eastAsia="仿宋_GB2312" w:cs="Calibri"/>
          <w:sz w:val="32"/>
          <w:szCs w:val="32"/>
          <w:highlight w:val="none"/>
          <w:lang w:eastAsia="zh-CN"/>
        </w:rPr>
        <w:t>①</w:t>
      </w:r>
      <w:r>
        <w:rPr>
          <w:rFonts w:hint="default" w:ascii="Times New Roman" w:hAnsi="Times New Roman" w:eastAsia="仿宋_GB2312" w:cs="Times New Roman"/>
          <w:sz w:val="32"/>
          <w:szCs w:val="32"/>
          <w:highlight w:val="none"/>
          <w:lang w:eastAsia="zh-CN"/>
        </w:rPr>
        <w:t xml:space="preserve">数据整理：对收集到的各种数据和信息进行分类、汇总和整理，将定性数据进行量化处理，以便进行分析。 </w:t>
      </w:r>
    </w:p>
    <w:p w14:paraId="2C3A14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Calibri" w:hAnsi="Calibri" w:eastAsia="仿宋_GB2312" w:cs="Calibri"/>
          <w:sz w:val="32"/>
          <w:szCs w:val="32"/>
          <w:highlight w:val="none"/>
          <w:lang w:eastAsia="zh-CN"/>
        </w:rPr>
        <w:t>②</w:t>
      </w:r>
      <w:r>
        <w:rPr>
          <w:rFonts w:hint="default" w:ascii="Times New Roman" w:hAnsi="Times New Roman" w:eastAsia="仿宋_GB2312" w:cs="Times New Roman"/>
          <w:sz w:val="32"/>
          <w:szCs w:val="32"/>
          <w:highlight w:val="none"/>
          <w:lang w:eastAsia="zh-CN"/>
        </w:rPr>
        <w:t>指标评分：根据评价指标体系，对各项指标进行评分。可以采用加权平均法等方法计算出综合得分，确定绩效等级，如优秀、良好、合格、不合格。</w:t>
      </w:r>
    </w:p>
    <w:p w14:paraId="5C8082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Calibri" w:hAnsi="Calibri" w:eastAsia="仿宋_GB2312" w:cs="Calibri"/>
          <w:sz w:val="32"/>
          <w:szCs w:val="32"/>
          <w:highlight w:val="none"/>
          <w:lang w:eastAsia="zh-CN"/>
        </w:rPr>
        <w:t>③</w:t>
      </w:r>
      <w:r>
        <w:rPr>
          <w:rFonts w:hint="default" w:ascii="Times New Roman" w:hAnsi="Times New Roman" w:eastAsia="仿宋_GB2312" w:cs="Times New Roman"/>
          <w:sz w:val="32"/>
          <w:szCs w:val="32"/>
          <w:highlight w:val="none"/>
          <w:lang w:eastAsia="zh-CN"/>
        </w:rPr>
        <w:t>撰写评价报告：评价小组根据评价结果撰写详细的绩效评价报告，内容包括项目概况、评价目的、评价方法、评价结果、存在的问题及建议等。</w:t>
      </w:r>
    </w:p>
    <w:p w14:paraId="19B311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）结果反馈与应用</w:t>
      </w:r>
    </w:p>
    <w:p w14:paraId="73FC78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Calibri" w:hAnsi="Calibri" w:eastAsia="仿宋_GB2312" w:cs="Calibri"/>
          <w:sz w:val="32"/>
          <w:szCs w:val="32"/>
          <w:highlight w:val="none"/>
          <w:lang w:eastAsia="zh-CN"/>
        </w:rPr>
        <w:t>①</w:t>
      </w:r>
      <w:r>
        <w:rPr>
          <w:rFonts w:hint="default" w:ascii="Times New Roman" w:hAnsi="Times New Roman" w:eastAsia="仿宋_GB2312" w:cs="Times New Roman"/>
          <w:sz w:val="32"/>
          <w:szCs w:val="32"/>
          <w:highlight w:val="none"/>
          <w:lang w:eastAsia="zh-CN"/>
        </w:rPr>
        <w:t xml:space="preserve"> 反馈结果：将绩效评价结果反馈给被评价的行政事业单位，听取其意见和解释，确保结果的准确性和公正性。</w:t>
      </w:r>
    </w:p>
    <w:p w14:paraId="08537C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Calibri" w:hAnsi="Calibri" w:eastAsia="仿宋_GB2312" w:cs="Calibri"/>
          <w:sz w:val="32"/>
          <w:szCs w:val="32"/>
          <w:highlight w:val="none"/>
          <w:lang w:eastAsia="zh-CN"/>
        </w:rPr>
        <w:t>②</w:t>
      </w:r>
      <w:r>
        <w:rPr>
          <w:rFonts w:hint="default" w:ascii="Times New Roman" w:hAnsi="Times New Roman" w:eastAsia="仿宋_GB2312" w:cs="Times New Roman"/>
          <w:sz w:val="32"/>
          <w:szCs w:val="32"/>
          <w:highlight w:val="none"/>
          <w:lang w:eastAsia="zh-CN"/>
        </w:rPr>
        <w:t>问题整改：要求单位针对评价中发现的问题，制定整改措施并限期整改，评价小组对整改情况进行跟踪检查。</w:t>
      </w:r>
    </w:p>
    <w:p w14:paraId="477200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Calibri" w:hAnsi="Calibri" w:eastAsia="仿宋_GB2312" w:cs="Calibri"/>
          <w:sz w:val="32"/>
          <w:szCs w:val="32"/>
          <w:highlight w:val="none"/>
          <w:lang w:eastAsia="zh-CN"/>
        </w:rPr>
        <w:t>③</w:t>
      </w:r>
      <w:r>
        <w:rPr>
          <w:rFonts w:hint="default" w:ascii="Times New Roman" w:hAnsi="Times New Roman" w:eastAsia="仿宋_GB2312" w:cs="Times New Roman"/>
          <w:sz w:val="32"/>
          <w:szCs w:val="32"/>
          <w:highlight w:val="none"/>
          <w:lang w:eastAsia="zh-CN"/>
        </w:rPr>
        <w:t xml:space="preserve"> 应用结果：将绩效评价结果作为以后年度预算安排、资金分配、政策调整以及单位考核的重要依据，对绩效好的单位给予奖励或政策支持，对绩效差的单位进行通报批评或减少资金安排。</w:t>
      </w:r>
    </w:p>
    <w:p w14:paraId="5DEBDB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19DB33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283354D">
      <w:pPr>
        <w:numPr>
          <w:ilvl w:val="0"/>
          <w:numId w:val="7"/>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4B07A2BE">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4F02A4C6">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奇财预[2024]109号关于拨付行政事业单位临时业务用房及物业费的通知</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val="en-US" w:eastAsia="zh-CN"/>
        </w:rPr>
        <w:t>房屋租赁费</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物业管理费</w:t>
      </w:r>
      <w:r>
        <w:rPr>
          <w:rFonts w:hint="default" w:ascii="Times New Roman" w:hAnsi="Times New Roman" w:eastAsia="仿宋_GB2312" w:cs="Times New Roman"/>
          <w:sz w:val="32"/>
          <w:szCs w:val="32"/>
          <w:highlight w:val="none"/>
        </w:rPr>
        <w:t>等方面表现出色，达到了预期的标准与要求。同时，项目也在在</w:t>
      </w:r>
      <w:r>
        <w:rPr>
          <w:rFonts w:hint="default" w:ascii="Times New Roman" w:hAnsi="Times New Roman" w:eastAsia="仿宋_GB2312" w:cs="Times New Roman"/>
          <w:sz w:val="32"/>
          <w:szCs w:val="32"/>
          <w:highlight w:val="none"/>
          <w:lang w:val="en-US" w:eastAsia="zh-CN"/>
        </w:rPr>
        <w:t>产出指标</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成本指标和效益指标</w:t>
      </w:r>
      <w:r>
        <w:rPr>
          <w:rFonts w:hint="default" w:ascii="Times New Roman" w:hAnsi="Times New Roman" w:eastAsia="仿宋_GB2312" w:cs="Times New Roman"/>
          <w:sz w:val="32"/>
          <w:szCs w:val="32"/>
          <w:highlight w:val="none"/>
        </w:rPr>
        <w:t>等方面取得了显著的成效，如</w:t>
      </w:r>
      <w:r>
        <w:rPr>
          <w:rFonts w:hint="eastAsia" w:eastAsia="仿宋_GB2312" w:cs="Times New Roman"/>
          <w:sz w:val="32"/>
          <w:szCs w:val="32"/>
          <w:highlight w:val="none"/>
          <w:lang w:val="en-US" w:eastAsia="zh-CN"/>
        </w:rPr>
        <w:t>我社在接到县财政局奇财预[2024]109号《关于拨付行政事业单位临时业务用房房屋租赁费及物业费的通知》之后，我社财务人员加班加点从财政局拨资金，资金拨付到账后，立即与新疆天山东部现代农产品物流园有限责任公司对接，让出租方开具发票，保证了债务资金支付完成率达到100%，债务还款准确率达到100%，债务资金能按期支付且按期支付率及债务资金支付率都达到100%，</w:t>
      </w:r>
      <w:r>
        <w:rPr>
          <w:rFonts w:hint="default" w:ascii="Times New Roman" w:hAnsi="Times New Roman" w:eastAsia="仿宋_GB2312" w:cs="Times New Roman"/>
          <w:sz w:val="32"/>
          <w:szCs w:val="32"/>
          <w:highlight w:val="none"/>
        </w:rPr>
        <w:t>未出现逾期支付情况，保障了出租方和物业公司的权益，维护了良好合作关系。</w:t>
      </w:r>
    </w:p>
    <w:p w14:paraId="36AD3406">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奇台县供销合作社联合社</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2D580409">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从项目效益的角度来看，本项目不仅实现了预期的社会效益产生了积极的影响。具体而言，</w:t>
      </w:r>
      <w:r>
        <w:rPr>
          <w:rFonts w:hint="eastAsia" w:eastAsia="仿宋_GB2312" w:cs="Times New Roman"/>
          <w:sz w:val="32"/>
          <w:szCs w:val="32"/>
          <w:highlight w:val="none"/>
          <w:lang w:val="en-US" w:eastAsia="zh-CN"/>
        </w:rPr>
        <w:t>拨付房屋租赁费和物业管理费</w:t>
      </w:r>
      <w:r>
        <w:rPr>
          <w:rFonts w:hint="default" w:ascii="Times New Roman" w:hAnsi="Times New Roman" w:eastAsia="仿宋_GB2312" w:cs="Times New Roman"/>
          <w:sz w:val="32"/>
          <w:szCs w:val="32"/>
          <w:highlight w:val="none"/>
        </w:rPr>
        <w:t>保障</w:t>
      </w:r>
      <w:r>
        <w:rPr>
          <w:rFonts w:hint="eastAsia" w:eastAsia="仿宋_GB2312" w:cs="Times New Roman"/>
          <w:sz w:val="32"/>
          <w:szCs w:val="32"/>
          <w:highlight w:val="none"/>
          <w:lang w:val="en-US" w:eastAsia="zh-CN"/>
        </w:rPr>
        <w:t>了</w:t>
      </w:r>
      <w:r>
        <w:rPr>
          <w:rFonts w:hint="default" w:ascii="Times New Roman" w:hAnsi="Times New Roman" w:eastAsia="仿宋_GB2312" w:cs="Times New Roman"/>
          <w:sz w:val="32"/>
          <w:szCs w:val="32"/>
          <w:highlight w:val="none"/>
        </w:rPr>
        <w:t>业务开展 确保行政事业单位有稳定、合适的办公空间，满足其日常办公、会议、接待等业务需求，使各项工作能够正常有序地开展。</w:t>
      </w:r>
      <w:r>
        <w:rPr>
          <w:rFonts w:hint="eastAsia" w:eastAsia="仿宋_GB2312" w:cs="Times New Roman"/>
          <w:sz w:val="32"/>
          <w:szCs w:val="32"/>
          <w:highlight w:val="none"/>
          <w:lang w:val="en-US" w:eastAsia="zh-CN"/>
        </w:rPr>
        <w:t>同时，</w:t>
      </w:r>
      <w:r>
        <w:rPr>
          <w:rFonts w:hint="default" w:ascii="Times New Roman" w:hAnsi="Times New Roman" w:eastAsia="仿宋_GB2312" w:cs="Times New Roman"/>
          <w:sz w:val="32"/>
          <w:szCs w:val="32"/>
          <w:highlight w:val="none"/>
        </w:rPr>
        <w:t>良好的物业管理服务可以营造整洁、安全、舒适的办公环境，有助于提高工作人员的工作效率和工作积极性，进而保障单位业务的高效运作。</w:t>
      </w:r>
    </w:p>
    <w:p w14:paraId="74F4FD38">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综上所述，奇财预[2024]109号关于拨付行政事业单位临时业务用房及物业费的通知在绩效评价中表现出色，达到了项目的预期目标，并在多个方面取得了显著的成效。</w:t>
      </w:r>
    </w:p>
    <w:p w14:paraId="46C0290B">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1326F07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sz w:val="32"/>
          <w:szCs w:val="32"/>
          <w:highlight w:val="none"/>
        </w:rPr>
        <w:t>总得分为</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分，属于优。其中，项目决策类指标权重为</w:t>
      </w:r>
      <w:r>
        <w:rPr>
          <w:rFonts w:hint="default" w:ascii="Times New Roman" w:hAnsi="Times New Roman" w:eastAsia="仿宋_GB2312" w:cs="Times New Roman"/>
          <w:b w:val="0"/>
          <w:bCs w:val="0"/>
          <w:sz w:val="32"/>
          <w:szCs w:val="32"/>
          <w:highlight w:val="none"/>
          <w:lang w:val="en-US" w:eastAsia="zh-CN"/>
        </w:rPr>
        <w:t>20</w:t>
      </w:r>
      <w:r>
        <w:rPr>
          <w:rFonts w:hint="default" w:ascii="Times New Roman" w:hAnsi="Times New Roman" w:eastAsia="仿宋_GB2312" w:cs="Times New Roman"/>
          <w:b w:val="0"/>
          <w:bCs w:val="0"/>
          <w:sz w:val="32"/>
          <w:szCs w:val="32"/>
          <w:highlight w:val="none"/>
        </w:rPr>
        <w:t>分，得分为</w:t>
      </w:r>
      <w:r>
        <w:rPr>
          <w:rFonts w:hint="default" w:ascii="Times New Roman" w:hAnsi="Times New Roman" w:eastAsia="仿宋_GB2312" w:cs="Times New Roman"/>
          <w:b w:val="0"/>
          <w:bCs w:val="0"/>
          <w:sz w:val="32"/>
          <w:szCs w:val="32"/>
          <w:highlight w:val="none"/>
          <w:lang w:val="en-US" w:eastAsia="zh-CN"/>
        </w:rPr>
        <w:t>20</w:t>
      </w:r>
      <w:r>
        <w:rPr>
          <w:rFonts w:hint="default" w:ascii="Times New Roman" w:hAnsi="Times New Roman" w:eastAsia="仿宋_GB2312" w:cs="Times New Roman"/>
          <w:b w:val="0"/>
          <w:bCs w:val="0"/>
          <w:sz w:val="32"/>
          <w:szCs w:val="32"/>
          <w:highlight w:val="none"/>
        </w:rPr>
        <w:t>分，得分率为</w:t>
      </w:r>
      <w:r>
        <w:rPr>
          <w:rFonts w:hint="default"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%。项目过程类指标权重为</w:t>
      </w:r>
      <w:r>
        <w:rPr>
          <w:rFonts w:hint="default" w:ascii="Times New Roman" w:hAnsi="Times New Roman" w:eastAsia="仿宋_GB2312" w:cs="Times New Roman"/>
          <w:b w:val="0"/>
          <w:bCs w:val="0"/>
          <w:sz w:val="32"/>
          <w:szCs w:val="32"/>
          <w:highlight w:val="none"/>
          <w:lang w:val="en-US" w:eastAsia="zh-CN"/>
        </w:rPr>
        <w:t>20</w:t>
      </w:r>
      <w:r>
        <w:rPr>
          <w:rFonts w:hint="default" w:ascii="Times New Roman" w:hAnsi="Times New Roman" w:eastAsia="仿宋_GB2312" w:cs="Times New Roman"/>
          <w:b w:val="0"/>
          <w:bCs w:val="0"/>
          <w:sz w:val="32"/>
          <w:szCs w:val="32"/>
          <w:highlight w:val="none"/>
        </w:rPr>
        <w:t>分，得分为</w:t>
      </w:r>
      <w:r>
        <w:rPr>
          <w:rFonts w:hint="eastAsia" w:ascii="Times New Roman" w:hAnsi="Times New Roman" w:eastAsia="仿宋_GB2312" w:cs="Times New Roman"/>
          <w:b w:val="0"/>
          <w:bCs w:val="0"/>
          <w:sz w:val="32"/>
          <w:szCs w:val="32"/>
          <w:highlight w:val="none"/>
          <w:lang w:val="en-US" w:eastAsia="zh-CN"/>
        </w:rPr>
        <w:t>20</w:t>
      </w:r>
      <w:r>
        <w:rPr>
          <w:rFonts w:hint="default" w:ascii="Times New Roman" w:hAnsi="Times New Roman" w:eastAsia="仿宋_GB2312" w:cs="Times New Roman"/>
          <w:b w:val="0"/>
          <w:bCs w:val="0"/>
          <w:sz w:val="32"/>
          <w:szCs w:val="32"/>
          <w:highlight w:val="none"/>
        </w:rPr>
        <w:t>分，得分率为</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%。项目产出类指标权重为40分，得分为</w:t>
      </w:r>
      <w:r>
        <w:rPr>
          <w:rFonts w:hint="eastAsia" w:ascii="Times New Roman" w:hAnsi="Times New Roman" w:eastAsia="仿宋_GB2312" w:cs="Times New Roman"/>
          <w:b w:val="0"/>
          <w:bCs w:val="0"/>
          <w:sz w:val="32"/>
          <w:szCs w:val="32"/>
          <w:highlight w:val="none"/>
          <w:lang w:val="en-US" w:eastAsia="zh-CN"/>
        </w:rPr>
        <w:t>40</w:t>
      </w:r>
      <w:r>
        <w:rPr>
          <w:rFonts w:hint="default" w:ascii="Times New Roman" w:hAnsi="Times New Roman" w:eastAsia="仿宋_GB2312" w:cs="Times New Roman"/>
          <w:b w:val="0"/>
          <w:bCs w:val="0"/>
          <w:sz w:val="32"/>
          <w:szCs w:val="32"/>
          <w:highlight w:val="none"/>
        </w:rPr>
        <w:t>分，得分率为</w:t>
      </w:r>
      <w:r>
        <w:rPr>
          <w:rFonts w:hint="eastAsia"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%。项目效益类指标权重为</w:t>
      </w:r>
      <w:r>
        <w:rPr>
          <w:rFonts w:hint="default" w:ascii="Times New Roman" w:hAnsi="Times New Roman" w:eastAsia="仿宋_GB2312" w:cs="Times New Roman"/>
          <w:b w:val="0"/>
          <w:bCs w:val="0"/>
          <w:sz w:val="32"/>
          <w:szCs w:val="32"/>
          <w:highlight w:val="none"/>
          <w:lang w:val="en-US" w:eastAsia="zh-CN"/>
        </w:rPr>
        <w:t>20</w:t>
      </w:r>
      <w:r>
        <w:rPr>
          <w:rFonts w:hint="default" w:ascii="Times New Roman" w:hAnsi="Times New Roman" w:eastAsia="仿宋_GB2312" w:cs="Times New Roman"/>
          <w:b w:val="0"/>
          <w:bCs w:val="0"/>
          <w:sz w:val="32"/>
          <w:szCs w:val="32"/>
          <w:highlight w:val="none"/>
        </w:rPr>
        <w:t>分，得分为</w:t>
      </w:r>
      <w:r>
        <w:rPr>
          <w:rFonts w:hint="default" w:ascii="Times New Roman" w:hAnsi="Times New Roman" w:eastAsia="仿宋_GB2312" w:cs="Times New Roman"/>
          <w:b w:val="0"/>
          <w:bCs w:val="0"/>
          <w:sz w:val="32"/>
          <w:szCs w:val="32"/>
          <w:highlight w:val="none"/>
          <w:lang w:val="en-US" w:eastAsia="zh-CN"/>
        </w:rPr>
        <w:t>20</w:t>
      </w:r>
      <w:r>
        <w:rPr>
          <w:rFonts w:hint="default" w:ascii="Times New Roman" w:hAnsi="Times New Roman" w:eastAsia="仿宋_GB2312" w:cs="Times New Roman"/>
          <w:b w:val="0"/>
          <w:bCs w:val="0"/>
          <w:sz w:val="32"/>
          <w:szCs w:val="32"/>
          <w:highlight w:val="none"/>
        </w:rPr>
        <w:t>分，得分率为</w:t>
      </w:r>
      <w:r>
        <w:rPr>
          <w:rFonts w:hint="default"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40187788">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表1综合评分表</w:t>
      </w:r>
    </w:p>
    <w:p w14:paraId="6785D28E">
      <w:pPr>
        <w:rPr>
          <w:rFonts w:hint="default"/>
          <w:highlight w:val="none"/>
        </w:rPr>
      </w:pP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5D5831DD">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091331B">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68B56E1">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B7D8A65">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218F6F8">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237100F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D40F232">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478CFD7E">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4289026">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kern w:val="2"/>
                <w:sz w:val="21"/>
                <w:szCs w:val="21"/>
                <w:highlight w:val="none"/>
                <w:lang w:val="en-US" w:eastAsia="zh-CN" w:bidi="ar-SA"/>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94489DD">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kern w:val="2"/>
                <w:sz w:val="21"/>
                <w:szCs w:val="21"/>
                <w:highlight w:val="none"/>
                <w:lang w:val="en-US" w:eastAsia="zh-CN" w:bidi="ar-SA"/>
              </w:rPr>
            </w:pPr>
            <w:r>
              <w:rPr>
                <w:rFonts w:hint="eastAsia" w:eastAsia="仿宋_GB2312" w:cs="Times New Roman"/>
                <w:color w:val="000000"/>
                <w:sz w:val="21"/>
                <w:szCs w:val="21"/>
                <w:highlight w:val="none"/>
                <w:lang w:val="en-US" w:eastAsia="zh-CN"/>
              </w:rPr>
              <w:t>100%</w:t>
            </w:r>
          </w:p>
        </w:tc>
      </w:tr>
      <w:tr w14:paraId="3F1E19B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6BAF5DC">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03D16F8B">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4121CC7">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kern w:val="2"/>
                <w:sz w:val="21"/>
                <w:szCs w:val="21"/>
                <w:highlight w:val="none"/>
                <w:lang w:val="en-US" w:eastAsia="zh-CN" w:bidi="ar-SA"/>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8A237AD">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kern w:val="2"/>
                <w:sz w:val="21"/>
                <w:szCs w:val="21"/>
                <w:highlight w:val="none"/>
                <w:lang w:val="en-US" w:eastAsia="zh-CN" w:bidi="ar-SA"/>
              </w:rPr>
            </w:pPr>
            <w:r>
              <w:rPr>
                <w:rFonts w:hint="eastAsia" w:eastAsia="仿宋_GB2312" w:cs="Times New Roman"/>
                <w:color w:val="000000"/>
                <w:sz w:val="21"/>
                <w:szCs w:val="21"/>
                <w:highlight w:val="none"/>
                <w:lang w:val="en-US" w:eastAsia="zh-CN"/>
              </w:rPr>
              <w:t>100%</w:t>
            </w:r>
          </w:p>
        </w:tc>
      </w:tr>
      <w:tr w14:paraId="378B686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3919D80">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5EEA1D02">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1C6C4239">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kern w:val="2"/>
                <w:sz w:val="21"/>
                <w:szCs w:val="21"/>
                <w:highlight w:val="none"/>
                <w:lang w:val="en-US" w:eastAsia="zh-CN" w:bidi="ar-SA"/>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2434290D">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kern w:val="2"/>
                <w:sz w:val="21"/>
                <w:szCs w:val="21"/>
                <w:highlight w:val="none"/>
                <w:lang w:val="en-US" w:eastAsia="zh-CN" w:bidi="ar-SA"/>
              </w:rPr>
            </w:pPr>
            <w:r>
              <w:rPr>
                <w:rFonts w:hint="eastAsia"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w:t>
            </w:r>
          </w:p>
        </w:tc>
      </w:tr>
      <w:tr w14:paraId="1081DB70">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1B67736">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79E95DAE">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A401404">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kern w:val="2"/>
                <w:sz w:val="21"/>
                <w:szCs w:val="21"/>
                <w:highlight w:val="none"/>
                <w:lang w:val="en-US" w:eastAsia="zh-CN" w:bidi="ar-SA"/>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E026BBC">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kern w:val="2"/>
                <w:sz w:val="21"/>
                <w:szCs w:val="21"/>
                <w:highlight w:val="none"/>
                <w:lang w:val="en-US" w:eastAsia="zh-CN" w:bidi="ar-SA"/>
              </w:rPr>
            </w:pPr>
            <w:r>
              <w:rPr>
                <w:rFonts w:hint="eastAsia" w:eastAsia="仿宋_GB2312" w:cs="Times New Roman"/>
                <w:color w:val="000000"/>
                <w:sz w:val="21"/>
                <w:szCs w:val="21"/>
                <w:highlight w:val="none"/>
                <w:lang w:val="en-US" w:eastAsia="zh-CN"/>
              </w:rPr>
              <w:t>100%</w:t>
            </w:r>
          </w:p>
        </w:tc>
      </w:tr>
      <w:tr w14:paraId="35993A2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7620A66">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40D98DA1">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66EC11AF">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kern w:val="2"/>
                <w:sz w:val="21"/>
                <w:szCs w:val="21"/>
                <w:highlight w:val="none"/>
                <w:lang w:val="en-US" w:eastAsia="zh-CN" w:bidi="ar-SA"/>
              </w:rPr>
            </w:pPr>
            <w:r>
              <w:rPr>
                <w:rFonts w:hint="eastAsia"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4750C382">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kern w:val="2"/>
                <w:sz w:val="21"/>
                <w:szCs w:val="21"/>
                <w:highlight w:val="none"/>
                <w:lang w:val="en-US" w:eastAsia="zh-CN" w:bidi="ar-SA"/>
              </w:rPr>
            </w:pPr>
            <w:r>
              <w:rPr>
                <w:rFonts w:hint="eastAsia" w:eastAsia="仿宋_GB2312" w:cs="Times New Roman"/>
                <w:b/>
                <w:bCs/>
                <w:color w:val="000000"/>
                <w:sz w:val="21"/>
                <w:szCs w:val="21"/>
                <w:highlight w:val="none"/>
                <w:lang w:val="en-US" w:eastAsia="zh-CN"/>
              </w:rPr>
              <w:t>100%</w:t>
            </w:r>
          </w:p>
        </w:tc>
      </w:tr>
    </w:tbl>
    <w:p w14:paraId="092A4F53">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40E53BF1">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052E132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项目决策类指标包括项目立项、绩效目标和资金投入三方面的内容，由6个三级指标构成，权重分值为20分，实际得分20分，得分率为100%。</w:t>
      </w:r>
    </w:p>
    <w:p w14:paraId="096A8BC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499C104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0424B1E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5107659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4F26273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67B3AB95">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2C2DE1D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0963330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CB765A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225D17F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6F80E0E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780B5F1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158B64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97EF82F">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4F4331E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51CA1F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B3160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71DEE9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4E47A90">
      <w:pPr>
        <w:pStyle w:val="10"/>
        <w:numPr>
          <w:ilvl w:val="0"/>
          <w:numId w:val="8"/>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51EBA93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2FD21C4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127C15A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4F8CFB5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本项目总投资35.63万元，财政资金及时足额到位，到位率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7004026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5E4074A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预算编制较为详细，项目资金支出总体能够按照预算执行，预算资金支出35.63万元，预算执行率为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C4FDEC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530FE8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本项目的资金使用严格遵循了奇财预[2024]109号</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关于拨付行政事业单位临时业务用房及物业费的通知</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精神</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14:paraId="5FAFB2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3E4B52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FE7658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04243EE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7AC08C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奇财预[2024]109号</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关于拨付行政事业单位临时业务用房及物业费的通知</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6622AF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1FD5CB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58133053">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19B19D1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5D165C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12A999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56EB9A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14:paraId="1EF350DE">
      <w:pPr>
        <w:pStyle w:val="12"/>
        <w:numPr>
          <w:ilvl w:val="0"/>
          <w:numId w:val="8"/>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74C4D8A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5CA8B434">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eastAsia" w:eastAsia="仿宋_GB2312" w:cs="Times New Roman"/>
          <w:sz w:val="32"/>
          <w:szCs w:val="32"/>
          <w:highlight w:val="none"/>
          <w:lang w:val="en-US" w:eastAsia="zh-CN"/>
        </w:rPr>
        <w:t>产出</w:t>
      </w:r>
      <w:r>
        <w:rPr>
          <w:rFonts w:hint="default" w:ascii="Times New Roman" w:hAnsi="Times New Roman" w:eastAsia="仿宋_GB2312" w:cs="Times New Roman"/>
          <w:sz w:val="32"/>
          <w:szCs w:val="32"/>
          <w:highlight w:val="none"/>
        </w:rPr>
        <w:t>数量指标：</w:t>
      </w:r>
    </w:p>
    <w:p w14:paraId="1E990617">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指标1：债务支付笔数，指标值：=3笔，实际完成值：3笔，指标完成率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04182E2E">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eastAsia" w:eastAsia="仿宋_GB2312" w:cs="Times New Roman"/>
          <w:sz w:val="32"/>
          <w:szCs w:val="32"/>
          <w:highlight w:val="none"/>
          <w:lang w:val="en-US" w:eastAsia="zh-CN"/>
        </w:rPr>
        <w:t>产出</w:t>
      </w:r>
      <w:r>
        <w:rPr>
          <w:rFonts w:hint="default" w:ascii="Times New Roman" w:hAnsi="Times New Roman" w:eastAsia="仿宋_GB2312" w:cs="Times New Roman"/>
          <w:sz w:val="32"/>
          <w:szCs w:val="32"/>
          <w:highlight w:val="none"/>
        </w:rPr>
        <w:t>质量指标：</w:t>
      </w:r>
    </w:p>
    <w:p w14:paraId="42B7E020">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lang w:val="en-US" w:eastAsia="zh-CN"/>
        </w:rPr>
        <w:t>债务资金支付完成率</w:t>
      </w:r>
      <w:r>
        <w:rPr>
          <w:rFonts w:hint="eastAsia" w:eastAsia="仿宋_GB2312" w:cs="Times New Roman"/>
          <w:sz w:val="32"/>
          <w:szCs w:val="32"/>
          <w:highlight w:val="none"/>
          <w:lang w:val="en-US" w:eastAsia="zh-CN"/>
        </w:rPr>
        <w:t>，年度指标值=100%，实际完成值100%，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287FC47F">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指标2：债务还款准确率，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=100%，实际完成值100%，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733B840D">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eastAsia" w:eastAsia="仿宋_GB2312" w:cs="Times New Roman"/>
          <w:sz w:val="32"/>
          <w:szCs w:val="32"/>
          <w:highlight w:val="none"/>
          <w:lang w:val="en-US" w:eastAsia="zh-CN"/>
        </w:rPr>
        <w:t>产出</w:t>
      </w:r>
      <w:r>
        <w:rPr>
          <w:rFonts w:hint="default" w:ascii="Times New Roman" w:hAnsi="Times New Roman" w:eastAsia="仿宋_GB2312" w:cs="Times New Roman"/>
          <w:sz w:val="32"/>
          <w:szCs w:val="32"/>
          <w:highlight w:val="none"/>
        </w:rPr>
        <w:t>时效指标：</w:t>
      </w:r>
    </w:p>
    <w:p w14:paraId="423252C4">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指标1：债务资金按期支付率，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=100%，实际完成值100%，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6F177BE8">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eastAsia" w:eastAsia="仿宋_GB2312" w:cs="Times New Roman"/>
          <w:sz w:val="32"/>
          <w:szCs w:val="32"/>
          <w:highlight w:val="none"/>
          <w:lang w:val="en-US" w:eastAsia="zh-CN"/>
        </w:rPr>
        <w:t>产出</w:t>
      </w:r>
      <w:r>
        <w:rPr>
          <w:rFonts w:hint="default" w:ascii="Times New Roman" w:hAnsi="Times New Roman" w:eastAsia="仿宋_GB2312" w:cs="Times New Roman"/>
          <w:sz w:val="32"/>
          <w:szCs w:val="32"/>
          <w:highlight w:val="none"/>
        </w:rPr>
        <w:t>成本指标：</w:t>
      </w:r>
    </w:p>
    <w:p w14:paraId="3887D259">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经济成本指标1：债务资金支付率，=100%，实际完成值100%，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53A89CF8">
      <w:pPr>
        <w:pStyle w:val="12"/>
        <w:numPr>
          <w:ilvl w:val="0"/>
          <w:numId w:val="8"/>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66BEF40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37A6EB3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668F9176">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0BB72991">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指标1：保障单位良好信用，指标值：有效保障，实际完成值：有效保障，</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798927C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7D03CE53">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指标1：支付对象满意度（%）：≥90%，实际完成值：90%，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eastAsia" w:eastAsia="仿宋_GB2312" w:cs="Times New Roman"/>
          <w:sz w:val="32"/>
          <w:szCs w:val="32"/>
          <w:highlight w:val="none"/>
          <w:lang w:eastAsia="zh-CN"/>
        </w:rPr>
        <w:t>。</w:t>
      </w:r>
    </w:p>
    <w:p w14:paraId="5A7BAE7D">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14:paraId="46CE66D1">
      <w:pPr>
        <w:pStyle w:val="19"/>
        <w:spacing w:line="560" w:lineRule="exact"/>
        <w:ind w:firstLine="64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奇财预[2024]109号 关于拨付行政事业单位临时业务用房及物业费的通知</w:t>
      </w:r>
      <w:r>
        <w:rPr>
          <w:rFonts w:hint="eastAsia" w:ascii="仿宋" w:hAnsi="仿宋" w:eastAsia="仿宋" w:cs="仿宋"/>
          <w:sz w:val="32"/>
          <w:szCs w:val="32"/>
          <w:highlight w:val="none"/>
        </w:rPr>
        <w:t>项目年初预算</w:t>
      </w:r>
      <w:r>
        <w:rPr>
          <w:rFonts w:hint="eastAsia" w:ascii="仿宋" w:hAnsi="仿宋" w:eastAsia="仿宋" w:cs="仿宋"/>
          <w:sz w:val="32"/>
          <w:szCs w:val="32"/>
          <w:highlight w:val="none"/>
          <w:lang w:val="en-US" w:eastAsia="zh-CN"/>
        </w:rPr>
        <w:t>32.33</w:t>
      </w:r>
      <w:r>
        <w:rPr>
          <w:rFonts w:hint="eastAsia" w:ascii="仿宋" w:hAnsi="仿宋" w:eastAsia="仿宋" w:cs="仿宋"/>
          <w:sz w:val="32"/>
          <w:szCs w:val="32"/>
          <w:highlight w:val="none"/>
        </w:rPr>
        <w:t>万元，全年预算</w:t>
      </w:r>
      <w:r>
        <w:rPr>
          <w:rFonts w:hint="eastAsia" w:ascii="仿宋" w:hAnsi="仿宋" w:eastAsia="仿宋" w:cs="仿宋"/>
          <w:sz w:val="32"/>
          <w:szCs w:val="32"/>
          <w:highlight w:val="none"/>
          <w:lang w:val="en-US" w:eastAsia="zh-CN"/>
        </w:rPr>
        <w:t>35.63</w:t>
      </w:r>
      <w:r>
        <w:rPr>
          <w:rFonts w:hint="eastAsia" w:ascii="仿宋" w:hAnsi="仿宋" w:eastAsia="仿宋" w:cs="仿宋"/>
          <w:sz w:val="32"/>
          <w:szCs w:val="32"/>
          <w:highlight w:val="none"/>
        </w:rPr>
        <w:t>万元，实际支出</w:t>
      </w:r>
      <w:r>
        <w:rPr>
          <w:rFonts w:hint="eastAsia" w:ascii="仿宋" w:hAnsi="仿宋" w:eastAsia="仿宋" w:cs="仿宋"/>
          <w:sz w:val="32"/>
          <w:szCs w:val="32"/>
          <w:highlight w:val="none"/>
          <w:lang w:val="en-US" w:eastAsia="zh-CN"/>
        </w:rPr>
        <w:t>35.63</w:t>
      </w:r>
      <w:r>
        <w:rPr>
          <w:rFonts w:hint="eastAsia" w:ascii="仿宋" w:hAnsi="仿宋" w:eastAsia="仿宋" w:cs="仿宋"/>
          <w:sz w:val="32"/>
          <w:szCs w:val="32"/>
          <w:highlight w:val="none"/>
        </w:rPr>
        <w:t>万元，预算执行率为</w:t>
      </w:r>
      <w:r>
        <w:rPr>
          <w:rFonts w:hint="eastAsia" w:ascii="仿宋" w:hAnsi="仿宋" w:eastAsia="仿宋" w:cs="仿宋"/>
          <w:sz w:val="32"/>
          <w:szCs w:val="32"/>
          <w:highlight w:val="none"/>
          <w:lang w:val="en-US" w:eastAsia="zh-CN"/>
        </w:rPr>
        <w:t>100</w:t>
      </w:r>
      <w:r>
        <w:rPr>
          <w:rFonts w:hint="eastAsia" w:ascii="仿宋" w:hAnsi="仿宋" w:eastAsia="仿宋" w:cs="仿宋"/>
          <w:sz w:val="32"/>
          <w:szCs w:val="32"/>
          <w:highlight w:val="none"/>
        </w:rPr>
        <w:t>%，项目绩效指标总体完成率为</w:t>
      </w:r>
      <w:r>
        <w:rPr>
          <w:rFonts w:hint="eastAsia" w:ascii="仿宋" w:hAnsi="仿宋" w:eastAsia="仿宋" w:cs="仿宋"/>
          <w:sz w:val="32"/>
          <w:szCs w:val="32"/>
          <w:highlight w:val="none"/>
          <w:lang w:val="en-US" w:eastAsia="zh-CN"/>
        </w:rPr>
        <w:t>100</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Hans"/>
        </w:rPr>
        <w:t>总体</w:t>
      </w:r>
      <w:r>
        <w:rPr>
          <w:rFonts w:hint="eastAsia" w:ascii="仿宋" w:hAnsi="仿宋" w:eastAsia="仿宋" w:cs="仿宋"/>
          <w:sz w:val="32"/>
          <w:szCs w:val="32"/>
          <w:highlight w:val="none"/>
        </w:rPr>
        <w:t>偏差率为</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w:t>
      </w:r>
      <w:r>
        <w:rPr>
          <w:rFonts w:hint="eastAsia" w:ascii="仿宋" w:hAnsi="仿宋" w:eastAsia="仿宋" w:cs="仿宋"/>
          <w:highlight w:val="none"/>
          <w:lang w:eastAsia="zh-CN"/>
        </w:rPr>
        <w:t>。</w:t>
      </w:r>
    </w:p>
    <w:p w14:paraId="4EB5627A">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14:paraId="4CBB9B89">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3C2A4BD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_GB2312" w:hAnsi="楷体_GB2312" w:eastAsia="仿宋_GB2312" w:cs="楷体_GB2312"/>
          <w:b w:val="0"/>
          <w:bCs w:val="0"/>
          <w:sz w:val="32"/>
          <w:szCs w:val="32"/>
          <w:highlight w:val="none"/>
          <w:lang w:val="en-US" w:eastAsia="zh-CN"/>
        </w:rPr>
      </w:pPr>
      <w:r>
        <w:rPr>
          <w:rFonts w:hint="eastAsia" w:ascii="仿宋_GB2312" w:hAnsi="楷体_GB2312" w:eastAsia="仿宋_GB2312" w:cs="楷体_GB2312"/>
          <w:b w:val="0"/>
          <w:bCs w:val="0"/>
          <w:sz w:val="32"/>
          <w:szCs w:val="32"/>
          <w:highlight w:val="none"/>
          <w:lang w:val="en-US" w:eastAsia="zh-CN"/>
        </w:rPr>
        <w:t xml:space="preserve">（1）科学规划预算编制。在预算编制阶段，单位组织财务、业务等多部门人员，结合实际业务需求、当地租赁市场价格动态调研结果，综合考虑办公人员数量、办公流程所需空间等因素，精准核算房屋租赁面积和物业管理服务需求。同时，参考历史租赁费用数据及市场价格波动趋势，制定合理的预算方案，确保预算既满足工作需求，又避免资金浪费，提高资金使用效率。 </w:t>
      </w:r>
    </w:p>
    <w:p w14:paraId="0B134A1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_GB2312" w:hAnsi="楷体_GB2312" w:eastAsia="仿宋_GB2312" w:cs="楷体_GB2312"/>
          <w:b w:val="0"/>
          <w:bCs w:val="0"/>
          <w:sz w:val="32"/>
          <w:szCs w:val="32"/>
          <w:highlight w:val="none"/>
          <w:lang w:val="en-US" w:eastAsia="zh-CN"/>
        </w:rPr>
      </w:pPr>
      <w:r>
        <w:rPr>
          <w:rFonts w:hint="eastAsia" w:ascii="仿宋_GB2312" w:hAnsi="楷体_GB2312" w:eastAsia="仿宋_GB2312" w:cs="楷体_GB2312"/>
          <w:b w:val="0"/>
          <w:bCs w:val="0"/>
          <w:sz w:val="32"/>
          <w:szCs w:val="32"/>
          <w:highlight w:val="none"/>
          <w:lang w:val="en-US" w:eastAsia="zh-CN"/>
        </w:rPr>
        <w:t xml:space="preserve">（2）严格规范采购流程。在房屋租赁和物业管理服务采购过程中，严格遵循政府采购相关法律法规，采用公开招标、竞争性谈判等规范的采购方式。在招标或谈判文件中，详细明确房屋租赁的各项条件，如房屋位置、面积、装修标准、租赁期限等，以及物业管理服务的具体内容、质量标准、服务响应时间等要求。通过规范的采购流程，引入竞争机制，选择信誉良好、服务优质、价格合理的供应商，保障租赁房屋和物业管理服务的质量。 </w:t>
      </w:r>
    </w:p>
    <w:p w14:paraId="69FF14D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_GB2312" w:hAnsi="楷体_GB2312" w:eastAsia="仿宋_GB2312" w:cs="楷体_GB2312"/>
          <w:b w:val="0"/>
          <w:bCs w:val="0"/>
          <w:sz w:val="32"/>
          <w:szCs w:val="32"/>
          <w:highlight w:val="none"/>
          <w:lang w:val="en-US" w:eastAsia="zh-CN"/>
        </w:rPr>
      </w:pPr>
      <w:r>
        <w:rPr>
          <w:rFonts w:hint="eastAsia" w:ascii="仿宋_GB2312" w:hAnsi="楷体_GB2312" w:eastAsia="仿宋_GB2312" w:cs="楷体_GB2312"/>
          <w:b w:val="0"/>
          <w:bCs w:val="0"/>
          <w:sz w:val="32"/>
          <w:szCs w:val="32"/>
          <w:highlight w:val="none"/>
          <w:lang w:val="en-US" w:eastAsia="zh-CN"/>
        </w:rPr>
        <w:t xml:space="preserve">（3）强化合同管理。在签订租赁合同和物业管理服务合同前，组织法务、财务等专业人员对合同条款进行严格审核，确保合同条款清晰、明确、合法合规，明确双方的权利和义务，避免合同纠纷。在合同履行过程中，安排专人负责合同管理，定期对合同执行情况进行检查和监督，确保供应商按照合同约定提供服务，及时处理合同履行过程中出现的问题。   （4）建立动态监督机制。建立内部监督与外部监督相结合的动态监督机制。内部由单位财务、审计部门定期对资金使用情况进行检查，审查资金是否专款专用、使用是否合规；同时，组织使用部门人员对物业管理服务质量进行日常监督和定期评价。外部积极配合财政、审计等部门的监督检查工作，及时发现和纠正存在的问题，确保资金使用安全和服务质量达标。 </w:t>
      </w:r>
    </w:p>
    <w:p w14:paraId="3C14A66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_GB2312" w:hAnsi="楷体_GB2312" w:eastAsia="仿宋_GB2312" w:cs="楷体_GB2312"/>
          <w:b w:val="0"/>
          <w:bCs w:val="0"/>
          <w:sz w:val="32"/>
          <w:szCs w:val="32"/>
          <w:highlight w:val="none"/>
          <w:lang w:val="en-US" w:eastAsia="zh-CN"/>
        </w:rPr>
      </w:pPr>
      <w:r>
        <w:rPr>
          <w:rFonts w:hint="eastAsia" w:ascii="仿宋_GB2312" w:hAnsi="楷体_GB2312" w:eastAsia="仿宋_GB2312" w:cs="楷体_GB2312"/>
          <w:b w:val="0"/>
          <w:bCs w:val="0"/>
          <w:sz w:val="32"/>
          <w:szCs w:val="32"/>
          <w:highlight w:val="none"/>
          <w:lang w:val="en-US" w:eastAsia="zh-CN"/>
        </w:rPr>
        <w:t xml:space="preserve">（5）注重沟通协调。加强与供应商、使用部门之间的沟通协调。定期与供应商召开沟通会议，及时反馈服务过程中存在的问题，共同协商解决办法，督促供应商改进服务质量。同时，与使用部门保持密切联系，及时了解他们在房屋使用和物业管理服务方面的需求和意见，将相关信息反馈给供应商，提高服务的针对性和满意度。 </w:t>
      </w:r>
    </w:p>
    <w:p w14:paraId="6E2ADAFA">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仿宋_GB2312" w:hAnsi="楷体_GB2312" w:eastAsia="仿宋_GB2312" w:cs="楷体_GB2312"/>
          <w:b/>
          <w:bCs/>
          <w:sz w:val="32"/>
          <w:szCs w:val="32"/>
          <w:highlight w:val="none"/>
          <w:lang w:val="en-US" w:eastAsia="zh-CN"/>
        </w:rPr>
      </w:pPr>
      <w:r>
        <w:rPr>
          <w:rFonts w:hint="eastAsia" w:ascii="仿宋_GB2312" w:hAnsi="楷体_GB2312" w:eastAsia="仿宋_GB2312" w:cs="楷体_GB2312"/>
          <w:b/>
          <w:bCs/>
          <w:sz w:val="32"/>
          <w:szCs w:val="32"/>
          <w:highlight w:val="none"/>
          <w:lang w:val="en-US" w:eastAsia="zh-CN"/>
        </w:rPr>
        <w:t xml:space="preserve">（二）存在的问题及原因分析 </w:t>
      </w:r>
    </w:p>
    <w:p w14:paraId="77089F8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仿宋_GB2312" w:hAnsi="楷体_GB2312" w:eastAsia="仿宋_GB2312" w:cs="楷体_GB2312"/>
          <w:b w:val="0"/>
          <w:bCs w:val="0"/>
          <w:sz w:val="32"/>
          <w:szCs w:val="32"/>
          <w:highlight w:val="none"/>
          <w:lang w:val="en-US" w:eastAsia="zh-CN"/>
        </w:rPr>
      </w:pPr>
      <w:r>
        <w:rPr>
          <w:rFonts w:hint="eastAsia" w:ascii="仿宋_GB2312" w:hAnsi="楷体_GB2312" w:eastAsia="仿宋_GB2312" w:cs="楷体_GB2312"/>
          <w:b w:val="0"/>
          <w:bCs w:val="0"/>
          <w:sz w:val="32"/>
          <w:szCs w:val="32"/>
          <w:highlight w:val="none"/>
          <w:lang w:val="en-US" w:eastAsia="zh-CN"/>
        </w:rPr>
        <w:t xml:space="preserve">（1）资金使用效益有待提高。从整体来看，部分资金的使用未能充分发挥最大效益。一方面，由于对房屋使用需求的预估不够精准，可能存在部分办公空间闲置浪费的情况，造成租赁资金的低效使用；另一方面，在物业管理服务方面，一些服务项目未能切实满足使用部门的实际需求，导致资金投入与产出不匹配。 </w:t>
      </w:r>
    </w:p>
    <w:p w14:paraId="7522C7E7">
      <w:pPr>
        <w:spacing w:line="560" w:lineRule="exact"/>
        <w:ind w:firstLine="640" w:firstLineChars="200"/>
        <w:rPr>
          <w:rFonts w:hint="default" w:ascii="Times New Roman" w:hAnsi="Times New Roman" w:eastAsia="仿宋_GB2312" w:cs="Times New Roman"/>
          <w:sz w:val="32"/>
          <w:szCs w:val="32"/>
          <w:highlight w:val="none"/>
        </w:rPr>
      </w:pPr>
      <w:r>
        <w:rPr>
          <w:rFonts w:hint="eastAsia" w:ascii="仿宋_GB2312" w:hAnsi="楷体_GB2312" w:eastAsia="仿宋_GB2312" w:cs="楷体_GB2312"/>
          <w:b w:val="0"/>
          <w:bCs w:val="0"/>
          <w:sz w:val="32"/>
          <w:szCs w:val="32"/>
          <w:highlight w:val="none"/>
          <w:lang w:val="en-US" w:eastAsia="zh-CN"/>
        </w:rPr>
        <w:t>（2）绩效评价体系不完善。目前的绩效评价指标体系不够全面、细化，难以准确衡量房屋租赁费和物业管理费的使用绩效。部分指标缺乏可操作性，在实际评价过程中难以准确量化；同时，绩效评价结果的应用不够充分，未能将评价结果与预算安排、供应商选择等工作紧密结合，导致绩效评价的激励和约束作用未能有效发挥。</w:t>
      </w:r>
    </w:p>
    <w:p w14:paraId="0B5BC5DD">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14:paraId="42FE566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64868C6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1E9FD6B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0570A73F">
      <w:pPr>
        <w:shd w:val="clear"/>
        <w:spacing w:line="600" w:lineRule="exact"/>
        <w:ind w:firstLine="640" w:firstLineChars="200"/>
        <w:outlineLvl w:val="0"/>
        <w:rPr>
          <w:rFonts w:hint="default" w:ascii="Times New Roman" w:hAnsi="Times New Roman" w:cs="Times New Roman"/>
          <w:sz w:val="22"/>
          <w:szCs w:val="28"/>
          <w:highlight w:val="none"/>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highlight w:val="none"/>
        </w:rPr>
        <w:t>。</w:t>
      </w:r>
    </w:p>
    <w:p w14:paraId="3ABDD71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0E984706">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7AC8EC98">
      <w:pPr>
        <w:pStyle w:val="13"/>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14:paraId="20E0D2F7">
      <w:pPr>
        <w:pStyle w:val="13"/>
        <w:spacing w:after="0" w:line="560" w:lineRule="exact"/>
        <w:ind w:left="0" w:leftChars="0" w:firstLine="643" w:firstLineChars="200"/>
        <w:rPr>
          <w:rFonts w:hint="eastAsia" w:ascii="Times New Roman" w:hAnsi="Times New Roman" w:eastAsia="仿宋_GB2312" w:cs="Times New Roman"/>
          <w:b/>
          <w:bCs/>
          <w:color w:val="FF0000"/>
          <w:sz w:val="32"/>
          <w:szCs w:val="32"/>
          <w:highlight w:val="none"/>
          <w:lang w:eastAsia="zh-CN"/>
        </w:rPr>
      </w:pPr>
    </w:p>
    <w:p w14:paraId="1C33F1D4">
      <w:pPr>
        <w:pStyle w:val="13"/>
        <w:spacing w:after="0" w:line="560" w:lineRule="exact"/>
        <w:ind w:left="0" w:leftChars="0" w:firstLine="640"/>
        <w:rPr>
          <w:rFonts w:hint="default" w:ascii="Times New Roman" w:hAnsi="Times New Roman" w:eastAsia="仿宋_GB2312" w:cs="Times New Roman"/>
          <w:sz w:val="32"/>
          <w:szCs w:val="32"/>
          <w:highlight w:val="none"/>
        </w:rPr>
      </w:pPr>
    </w:p>
    <w:p w14:paraId="1C936BED">
      <w:pPr>
        <w:pStyle w:val="13"/>
        <w:spacing w:after="0" w:line="560" w:lineRule="exact"/>
        <w:ind w:left="0" w:leftChars="0" w:firstLine="640"/>
        <w:rPr>
          <w:rFonts w:hint="default" w:ascii="Times New Roman" w:hAnsi="Times New Roman" w:eastAsia="仿宋_GB2312" w:cs="Times New Roman"/>
          <w:sz w:val="32"/>
          <w:szCs w:val="32"/>
          <w:highlight w:val="none"/>
        </w:rPr>
      </w:pPr>
    </w:p>
    <w:p w14:paraId="7D003326">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14:paraId="271C570B">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2326" w:bottom="1440" w:left="1180" w:header="851" w:footer="992" w:gutter="0"/>
          <w:pgNumType w:start="1"/>
          <w:cols w:space="425" w:num="1"/>
          <w:docGrid w:type="lines" w:linePitch="312" w:charSpace="0"/>
        </w:sectPr>
      </w:pPr>
    </w:p>
    <w:p w14:paraId="647CEB1A">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14:paraId="11D07CB7">
      <w:pPr>
        <w:pStyle w:val="19"/>
        <w:ind w:firstLine="562"/>
        <w:jc w:val="center"/>
        <w:rPr>
          <w:rFonts w:hint="eastAsia" w:ascii="仿宋_GB2312" w:hAnsi="仿宋_GB2312" w:eastAsia="仿宋_GB2312" w:cs="仿宋_GB2312"/>
          <w:sz w:val="28"/>
          <w:szCs w:val="40"/>
          <w:highlight w:val="none"/>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奇财预[2024]109号 关于拨付行政事业单位临时业务用房房屋租赁费及物业费</w:t>
      </w: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452D2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344D6B9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14:paraId="5D59D2E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4A3A73C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14:paraId="7D688CC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14:paraId="59F7AFC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14:paraId="1D4D33B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14:paraId="3C3EE84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435E3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1BD86A83">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638C1CD">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60215AA">
            <w:pPr>
              <w:widowControl/>
              <w:spacing w:line="0" w:lineRule="atLeast"/>
              <w:jc w:val="center"/>
              <w:rPr>
                <w:rFonts w:hint="default" w:ascii="Times New Roman" w:hAnsi="Times New Roman" w:eastAsia="仿宋_GB2312" w:cs="Times New Roman"/>
                <w:color w:val="000000"/>
                <w:kern w:val="0"/>
                <w:sz w:val="18"/>
                <w:szCs w:val="18"/>
                <w:highlight w:val="none"/>
              </w:rPr>
            </w:pPr>
          </w:p>
          <w:p w14:paraId="246625A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EC2E821">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E1719C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C0494C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14:paraId="36892C3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5F4CFA6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79A6216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14:paraId="2F55A9A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2FC53F74">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14:paraId="3F44820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10565DC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1877D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E440EED">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21D1A0C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663343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5175F95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14:paraId="40D49C0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14:paraId="0EFCF82F">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43E28D6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7BDEC61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62970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47C64015">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79182F0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687595C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3817F89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14:paraId="5DDC967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7994DC12">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7F6A882B">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14:paraId="1004FC4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61757EB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A3E2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3E55E45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E48592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806438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3E89F4D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14:paraId="1705BB2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42CC0C4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14:paraId="6A53F2F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7BF84A8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6AFEC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643BDEEA">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7574656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3B9925E9">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7C1D527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119797E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14:paraId="475250E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106BFF5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14:paraId="3A47571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4AEA15E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F5507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41977E66">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42D2F3B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70ED95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0327107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14:paraId="6A69057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190DBB2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14:paraId="2ECA324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3D298F1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20B8E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1E0153B9">
            <w:pPr>
              <w:spacing w:line="0" w:lineRule="atLeast"/>
              <w:jc w:val="center"/>
              <w:rPr>
                <w:rFonts w:hint="default" w:ascii="Times New Roman" w:hAnsi="Times New Roman" w:eastAsia="仿宋_GB2312" w:cs="Times New Roman"/>
                <w:color w:val="000000"/>
                <w:kern w:val="0"/>
                <w:sz w:val="18"/>
                <w:szCs w:val="18"/>
                <w:highlight w:val="none"/>
              </w:rPr>
            </w:pPr>
          </w:p>
          <w:p w14:paraId="304CFD00">
            <w:pPr>
              <w:spacing w:line="0" w:lineRule="atLeast"/>
              <w:jc w:val="center"/>
              <w:rPr>
                <w:rFonts w:hint="default" w:ascii="Times New Roman" w:hAnsi="Times New Roman" w:eastAsia="仿宋_GB2312" w:cs="Times New Roman"/>
                <w:color w:val="000000"/>
                <w:kern w:val="0"/>
                <w:sz w:val="18"/>
                <w:szCs w:val="18"/>
                <w:highlight w:val="none"/>
              </w:rPr>
            </w:pPr>
          </w:p>
          <w:p w14:paraId="3CB54C53">
            <w:pPr>
              <w:spacing w:line="0" w:lineRule="atLeast"/>
              <w:jc w:val="center"/>
              <w:rPr>
                <w:rFonts w:hint="default" w:ascii="Times New Roman" w:hAnsi="Times New Roman" w:eastAsia="仿宋_GB2312" w:cs="Times New Roman"/>
                <w:color w:val="000000"/>
                <w:kern w:val="0"/>
                <w:sz w:val="18"/>
                <w:szCs w:val="18"/>
                <w:highlight w:val="none"/>
              </w:rPr>
            </w:pPr>
          </w:p>
          <w:p w14:paraId="6A9F8BE7">
            <w:pPr>
              <w:spacing w:line="0" w:lineRule="atLeast"/>
              <w:jc w:val="center"/>
              <w:rPr>
                <w:rFonts w:hint="default" w:ascii="Times New Roman" w:hAnsi="Times New Roman" w:eastAsia="仿宋_GB2312" w:cs="Times New Roman"/>
                <w:color w:val="000000"/>
                <w:kern w:val="0"/>
                <w:sz w:val="18"/>
                <w:szCs w:val="18"/>
                <w:highlight w:val="none"/>
              </w:rPr>
            </w:pPr>
          </w:p>
          <w:p w14:paraId="184F9F72">
            <w:pPr>
              <w:spacing w:line="0" w:lineRule="atLeast"/>
              <w:jc w:val="center"/>
              <w:rPr>
                <w:rFonts w:hint="default" w:ascii="Times New Roman" w:hAnsi="Times New Roman" w:eastAsia="仿宋_GB2312" w:cs="Times New Roman"/>
                <w:color w:val="000000"/>
                <w:kern w:val="0"/>
                <w:sz w:val="18"/>
                <w:szCs w:val="18"/>
                <w:highlight w:val="none"/>
              </w:rPr>
            </w:pPr>
          </w:p>
          <w:p w14:paraId="01285C7B">
            <w:pPr>
              <w:spacing w:line="0" w:lineRule="atLeast"/>
              <w:jc w:val="center"/>
              <w:rPr>
                <w:rFonts w:hint="default" w:ascii="Times New Roman" w:hAnsi="Times New Roman" w:eastAsia="仿宋_GB2312" w:cs="Times New Roman"/>
                <w:color w:val="000000"/>
                <w:kern w:val="0"/>
                <w:sz w:val="18"/>
                <w:szCs w:val="18"/>
                <w:highlight w:val="none"/>
              </w:rPr>
            </w:pPr>
          </w:p>
          <w:p w14:paraId="44BC1520">
            <w:pPr>
              <w:spacing w:line="0" w:lineRule="atLeast"/>
              <w:jc w:val="center"/>
              <w:rPr>
                <w:rFonts w:hint="default" w:ascii="Times New Roman" w:hAnsi="Times New Roman" w:eastAsia="仿宋_GB2312" w:cs="Times New Roman"/>
                <w:color w:val="000000"/>
                <w:kern w:val="0"/>
                <w:sz w:val="18"/>
                <w:szCs w:val="18"/>
                <w:highlight w:val="none"/>
              </w:rPr>
            </w:pPr>
          </w:p>
          <w:p w14:paraId="34B0A5D3">
            <w:pPr>
              <w:spacing w:line="0" w:lineRule="atLeast"/>
              <w:jc w:val="center"/>
              <w:rPr>
                <w:rFonts w:hint="default" w:ascii="Times New Roman" w:hAnsi="Times New Roman" w:eastAsia="仿宋_GB2312" w:cs="Times New Roman"/>
                <w:color w:val="000000"/>
                <w:kern w:val="0"/>
                <w:sz w:val="18"/>
                <w:szCs w:val="18"/>
                <w:highlight w:val="none"/>
              </w:rPr>
            </w:pPr>
          </w:p>
          <w:p w14:paraId="0BF30AEF">
            <w:pPr>
              <w:spacing w:line="0" w:lineRule="atLeast"/>
              <w:jc w:val="center"/>
              <w:rPr>
                <w:rFonts w:hint="default" w:ascii="Times New Roman" w:hAnsi="Times New Roman" w:eastAsia="仿宋_GB2312" w:cs="Times New Roman"/>
                <w:color w:val="000000"/>
                <w:kern w:val="0"/>
                <w:sz w:val="18"/>
                <w:szCs w:val="18"/>
                <w:highlight w:val="none"/>
              </w:rPr>
            </w:pPr>
          </w:p>
          <w:p w14:paraId="60891E51">
            <w:pPr>
              <w:spacing w:line="0" w:lineRule="atLeast"/>
              <w:jc w:val="center"/>
              <w:rPr>
                <w:rFonts w:hint="default" w:ascii="Times New Roman" w:hAnsi="Times New Roman" w:eastAsia="仿宋_GB2312" w:cs="Times New Roman"/>
                <w:color w:val="000000"/>
                <w:kern w:val="0"/>
                <w:sz w:val="18"/>
                <w:szCs w:val="18"/>
                <w:highlight w:val="none"/>
              </w:rPr>
            </w:pPr>
          </w:p>
          <w:p w14:paraId="525998EB">
            <w:pPr>
              <w:spacing w:line="0" w:lineRule="atLeast"/>
              <w:jc w:val="center"/>
              <w:rPr>
                <w:rFonts w:hint="default" w:ascii="Times New Roman" w:hAnsi="Times New Roman" w:eastAsia="仿宋_GB2312" w:cs="Times New Roman"/>
                <w:color w:val="000000"/>
                <w:kern w:val="0"/>
                <w:sz w:val="18"/>
                <w:szCs w:val="18"/>
                <w:highlight w:val="none"/>
              </w:rPr>
            </w:pPr>
          </w:p>
          <w:p w14:paraId="20CA8C33">
            <w:pPr>
              <w:spacing w:line="0" w:lineRule="atLeast"/>
              <w:jc w:val="center"/>
              <w:rPr>
                <w:rFonts w:hint="default" w:ascii="Times New Roman" w:hAnsi="Times New Roman" w:eastAsia="仿宋_GB2312" w:cs="Times New Roman"/>
                <w:color w:val="000000"/>
                <w:kern w:val="0"/>
                <w:sz w:val="18"/>
                <w:szCs w:val="18"/>
                <w:highlight w:val="none"/>
              </w:rPr>
            </w:pPr>
          </w:p>
          <w:p w14:paraId="64F5F7EF">
            <w:pPr>
              <w:spacing w:line="0" w:lineRule="atLeast"/>
              <w:jc w:val="center"/>
              <w:rPr>
                <w:rFonts w:hint="default" w:ascii="Times New Roman" w:hAnsi="Times New Roman" w:eastAsia="仿宋_GB2312" w:cs="Times New Roman"/>
                <w:color w:val="000000"/>
                <w:kern w:val="0"/>
                <w:sz w:val="18"/>
                <w:szCs w:val="18"/>
                <w:highlight w:val="none"/>
              </w:rPr>
            </w:pPr>
          </w:p>
          <w:p w14:paraId="6DBE0F2D">
            <w:pPr>
              <w:spacing w:line="0" w:lineRule="atLeast"/>
              <w:jc w:val="center"/>
              <w:rPr>
                <w:rFonts w:hint="default" w:ascii="Times New Roman" w:hAnsi="Times New Roman" w:eastAsia="仿宋_GB2312" w:cs="Times New Roman"/>
                <w:color w:val="000000"/>
                <w:kern w:val="0"/>
                <w:sz w:val="18"/>
                <w:szCs w:val="18"/>
                <w:highlight w:val="none"/>
              </w:rPr>
            </w:pPr>
          </w:p>
          <w:p w14:paraId="5141B9FE">
            <w:pPr>
              <w:spacing w:line="0" w:lineRule="atLeast"/>
              <w:jc w:val="center"/>
              <w:rPr>
                <w:rFonts w:hint="default" w:ascii="Times New Roman" w:hAnsi="Times New Roman" w:eastAsia="仿宋_GB2312" w:cs="Times New Roman"/>
                <w:color w:val="000000"/>
                <w:kern w:val="0"/>
                <w:sz w:val="18"/>
                <w:szCs w:val="18"/>
                <w:highlight w:val="none"/>
              </w:rPr>
            </w:pPr>
          </w:p>
          <w:p w14:paraId="3FFD6B18">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3B9EBC1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14:paraId="01A80A6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5FA1C46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14:paraId="60592CB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4116327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02DB125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512F14C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2C52E06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492A3ED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AC35F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6990D41F">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7FE69A06">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1DDD80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14:paraId="10681D6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14:paraId="482557D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41A9677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4C5221A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D3787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30EF4B1F">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2D3EA4B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3D9628E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74EE260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14:paraId="0535CD0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258DB67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14:paraId="14653A8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58D5583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A1266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13EAEF75">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6FF8B2E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5EDBCB26">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16BC719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10F84FB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14:paraId="3E9A49D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6D3D4FC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14:paraId="199A069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1007807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CAF0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5FACA27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24DD53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05F4A0A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580B188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14:paraId="2659880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2D9B634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14:paraId="5FC19CC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7552FA8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4C47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56EA45A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1314819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78FDBFF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14:paraId="75C6734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65CDA08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70A4E4D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58764AF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78E54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4A2BFB6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4F65E7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0CF3818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14:paraId="616AF0A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43F6296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63D31DA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3B605C9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5E9CA46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07E14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5307C2B3">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1D557F66">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4DE9D1E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14:paraId="1E4C563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1815ED3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4BE68B9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0044F56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9ECCD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2D80913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124B988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347A035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67AAF0B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291BF05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41816E3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54022C1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6A5D3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0C7ADB7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3A493AB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2DB7057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14:paraId="7A5C81EC">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230F088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2D02374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14:paraId="79621CB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7EFB3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0A7CFB56">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4A44B5B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BD553D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3756963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4EE563B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6227AD7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3BDDDB5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0F18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6F03B333">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18F7183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14:paraId="78C3F90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3BCF4B5F">
      <w:pPr>
        <w:rPr>
          <w:rFonts w:hint="default" w:ascii="Times New Roman" w:hAnsi="Times New Roman" w:cs="Times New Roman"/>
          <w:highlight w:val="none"/>
        </w:rPr>
        <w:sectPr>
          <w:pgSz w:w="16838" w:h="11906" w:orient="landscape"/>
          <w:pgMar w:top="1800" w:right="1958" w:bottom="1558" w:left="1440" w:header="851" w:footer="992" w:gutter="0"/>
          <w:cols w:space="425" w:num="1"/>
          <w:docGrid w:type="lines" w:linePitch="312" w:charSpace="0"/>
        </w:sectPr>
      </w:pPr>
    </w:p>
    <w:p w14:paraId="7A44956B">
      <w:pPr>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tbl>
      <w:tblPr>
        <w:tblStyle w:val="14"/>
        <w:tblW w:w="13837"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71"/>
        <w:gridCol w:w="1223"/>
        <w:gridCol w:w="1739"/>
        <w:gridCol w:w="972"/>
        <w:gridCol w:w="905"/>
        <w:gridCol w:w="567"/>
        <w:gridCol w:w="1349"/>
        <w:gridCol w:w="1202"/>
        <w:gridCol w:w="782"/>
        <w:gridCol w:w="702"/>
        <w:gridCol w:w="797"/>
        <w:gridCol w:w="554"/>
        <w:gridCol w:w="635"/>
        <w:gridCol w:w="1439"/>
      </w:tblGrid>
      <w:tr w14:paraId="45399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3837" w:type="dxa"/>
            <w:gridSpan w:val="14"/>
            <w:tcBorders>
              <w:top w:val="nil"/>
              <w:left w:val="nil"/>
              <w:bottom w:val="nil"/>
              <w:right w:val="nil"/>
            </w:tcBorders>
            <w:shd w:val="clear" w:color="auto" w:fill="auto"/>
            <w:vAlign w:val="center"/>
          </w:tcPr>
          <w:p w14:paraId="5778DD7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项目支出绩效自评表</w:t>
            </w:r>
          </w:p>
        </w:tc>
      </w:tr>
      <w:tr w14:paraId="34544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3837" w:type="dxa"/>
            <w:gridSpan w:val="14"/>
            <w:tcBorders>
              <w:top w:val="nil"/>
              <w:left w:val="nil"/>
              <w:bottom w:val="nil"/>
              <w:right w:val="nil"/>
            </w:tcBorders>
            <w:shd w:val="clear" w:color="auto" w:fill="auto"/>
            <w:vAlign w:val="center"/>
          </w:tcPr>
          <w:p w14:paraId="787078C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(2024年度)</w:t>
            </w:r>
          </w:p>
        </w:tc>
      </w:tr>
      <w:tr w14:paraId="49DC8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1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DF1E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项目名称</w:t>
            </w:r>
          </w:p>
        </w:tc>
        <w:tc>
          <w:tcPr>
            <w:tcW w:w="1164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2A4D56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奇财预[2024]109号 关于拨付行政事业单位临时业务用房及物业费的通知</w:t>
            </w:r>
          </w:p>
        </w:tc>
      </w:tr>
      <w:tr w14:paraId="368A7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1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5E66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主管部门</w:t>
            </w:r>
          </w:p>
        </w:tc>
        <w:tc>
          <w:tcPr>
            <w:tcW w:w="55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F4A2F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奇台县供销合作社联合社</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AB8F8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实施单位</w:t>
            </w:r>
          </w:p>
        </w:tc>
        <w:tc>
          <w:tcPr>
            <w:tcW w:w="41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2B3A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奇台县供销合作社联合社</w:t>
            </w:r>
          </w:p>
        </w:tc>
      </w:tr>
      <w:tr w14:paraId="2F79E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19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49A3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项目资金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（万元）</w:t>
            </w:r>
          </w:p>
        </w:tc>
        <w:tc>
          <w:tcPr>
            <w:tcW w:w="2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BD71B">
            <w:pPr>
              <w:jc w:val="center"/>
              <w:rPr>
                <w:rFonts w:hint="eastAsia" w:ascii="宋体" w:hAnsi="宋体" w:eastAsia="宋体" w:cs="宋体"/>
                <w:i w:val="0"/>
                <w:iCs w:val="0"/>
                <w:color w:val="000000"/>
                <w:sz w:val="20"/>
                <w:szCs w:val="20"/>
                <w:highlight w:val="none"/>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93F8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年初预算数</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139E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全年预算数</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951C4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全年执行数</w:t>
            </w: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89E5D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ABBD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执行率</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4AD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r>
      <w:tr w14:paraId="35D97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BE946">
            <w:pPr>
              <w:jc w:val="center"/>
              <w:rPr>
                <w:rFonts w:hint="eastAsia" w:ascii="宋体" w:hAnsi="宋体" w:eastAsia="宋体" w:cs="宋体"/>
                <w:i w:val="0"/>
                <w:iCs w:val="0"/>
                <w:color w:val="000000"/>
                <w:sz w:val="20"/>
                <w:szCs w:val="20"/>
                <w:highlight w:val="none"/>
                <w:u w:val="none"/>
              </w:rPr>
            </w:pPr>
          </w:p>
        </w:tc>
        <w:tc>
          <w:tcPr>
            <w:tcW w:w="2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6815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年度资金总额</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7F9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32.33</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5A87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35.63</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8703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35.63</w:t>
            </w: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463D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FF572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100.00%</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1E5A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10.00分</w:t>
            </w:r>
          </w:p>
        </w:tc>
      </w:tr>
      <w:tr w14:paraId="08337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54B01">
            <w:pPr>
              <w:jc w:val="center"/>
              <w:rPr>
                <w:rFonts w:hint="eastAsia" w:ascii="宋体" w:hAnsi="宋体" w:eastAsia="宋体" w:cs="宋体"/>
                <w:i w:val="0"/>
                <w:iCs w:val="0"/>
                <w:color w:val="000000"/>
                <w:sz w:val="20"/>
                <w:szCs w:val="20"/>
                <w:highlight w:val="none"/>
                <w:u w:val="none"/>
              </w:rPr>
            </w:pPr>
          </w:p>
        </w:tc>
        <w:tc>
          <w:tcPr>
            <w:tcW w:w="2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A84F4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其中：当年财政拨款</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F824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32.33</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DF00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35.63</w:t>
            </w: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B952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35.63</w:t>
            </w: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0F53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90BF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648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14:paraId="53899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F641E">
            <w:pPr>
              <w:jc w:val="center"/>
              <w:rPr>
                <w:rFonts w:hint="eastAsia" w:ascii="宋体" w:hAnsi="宋体" w:eastAsia="宋体" w:cs="宋体"/>
                <w:i w:val="0"/>
                <w:iCs w:val="0"/>
                <w:color w:val="000000"/>
                <w:sz w:val="20"/>
                <w:szCs w:val="20"/>
                <w:highlight w:val="none"/>
                <w:u w:val="none"/>
              </w:rPr>
            </w:pPr>
          </w:p>
        </w:tc>
        <w:tc>
          <w:tcPr>
            <w:tcW w:w="2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4FFB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 xml:space="preserve">      上年结转资金</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D244D">
            <w:pPr>
              <w:jc w:val="center"/>
              <w:rPr>
                <w:rFonts w:hint="eastAsia" w:ascii="宋体" w:hAnsi="宋体" w:eastAsia="宋体" w:cs="宋体"/>
                <w:i w:val="0"/>
                <w:iCs w:val="0"/>
                <w:color w:val="000000"/>
                <w:sz w:val="20"/>
                <w:szCs w:val="20"/>
                <w:highlight w:val="none"/>
                <w:u w:val="none"/>
              </w:rPr>
            </w:pP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3DBFEA">
            <w:pPr>
              <w:jc w:val="center"/>
              <w:rPr>
                <w:rFonts w:hint="eastAsia" w:ascii="宋体" w:hAnsi="宋体" w:eastAsia="宋体" w:cs="宋体"/>
                <w:i w:val="0"/>
                <w:iCs w:val="0"/>
                <w:color w:val="000000"/>
                <w:sz w:val="20"/>
                <w:szCs w:val="20"/>
                <w:highlight w:val="none"/>
                <w:u w:val="none"/>
              </w:rPr>
            </w:pP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874159">
            <w:pPr>
              <w:jc w:val="center"/>
              <w:rPr>
                <w:rFonts w:hint="eastAsia" w:ascii="宋体" w:hAnsi="宋体" w:eastAsia="宋体" w:cs="宋体"/>
                <w:i w:val="0"/>
                <w:iCs w:val="0"/>
                <w:color w:val="000000"/>
                <w:sz w:val="20"/>
                <w:szCs w:val="20"/>
                <w:highlight w:val="none"/>
                <w:u w:val="none"/>
              </w:rPr>
            </w:pP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961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DD3D5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3162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14:paraId="59985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3BEB3">
            <w:pPr>
              <w:jc w:val="center"/>
              <w:rPr>
                <w:rFonts w:hint="eastAsia" w:ascii="宋体" w:hAnsi="宋体" w:eastAsia="宋体" w:cs="宋体"/>
                <w:i w:val="0"/>
                <w:iCs w:val="0"/>
                <w:color w:val="000000"/>
                <w:sz w:val="20"/>
                <w:szCs w:val="20"/>
                <w:highlight w:val="none"/>
                <w:u w:val="none"/>
              </w:rPr>
            </w:pPr>
          </w:p>
        </w:tc>
        <w:tc>
          <w:tcPr>
            <w:tcW w:w="2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9635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其他资金</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29F65">
            <w:pPr>
              <w:jc w:val="center"/>
              <w:rPr>
                <w:rFonts w:hint="eastAsia" w:ascii="宋体" w:hAnsi="宋体" w:eastAsia="宋体" w:cs="宋体"/>
                <w:i w:val="0"/>
                <w:iCs w:val="0"/>
                <w:color w:val="000000"/>
                <w:sz w:val="20"/>
                <w:szCs w:val="20"/>
                <w:highlight w:val="none"/>
                <w:u w:val="none"/>
              </w:rPr>
            </w:pP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741354">
            <w:pPr>
              <w:jc w:val="center"/>
              <w:rPr>
                <w:rFonts w:hint="eastAsia" w:ascii="宋体" w:hAnsi="宋体" w:eastAsia="宋体" w:cs="宋体"/>
                <w:i w:val="0"/>
                <w:iCs w:val="0"/>
                <w:color w:val="000000"/>
                <w:sz w:val="20"/>
                <w:szCs w:val="20"/>
                <w:highlight w:val="none"/>
                <w:u w:val="none"/>
              </w:rPr>
            </w:pP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C0473">
            <w:pPr>
              <w:jc w:val="center"/>
              <w:rPr>
                <w:rFonts w:hint="eastAsia" w:ascii="宋体" w:hAnsi="宋体" w:eastAsia="宋体" w:cs="宋体"/>
                <w:i w:val="0"/>
                <w:iCs w:val="0"/>
                <w:color w:val="000000"/>
                <w:sz w:val="20"/>
                <w:szCs w:val="20"/>
                <w:highlight w:val="none"/>
                <w:u w:val="none"/>
              </w:rPr>
            </w:pPr>
          </w:p>
        </w:tc>
        <w:tc>
          <w:tcPr>
            <w:tcW w:w="14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C73E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C917E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702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14:paraId="77A91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9399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年度总体目标</w:t>
            </w:r>
          </w:p>
        </w:tc>
        <w:tc>
          <w:tcPr>
            <w:tcW w:w="675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966987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预期目标</w:t>
            </w:r>
          </w:p>
        </w:tc>
        <w:tc>
          <w:tcPr>
            <w:tcW w:w="611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52F210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实际完成情况</w:t>
            </w:r>
          </w:p>
        </w:tc>
      </w:tr>
      <w:tr w14:paraId="038E7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E3C6F">
            <w:pPr>
              <w:jc w:val="center"/>
              <w:rPr>
                <w:rFonts w:hint="eastAsia" w:ascii="宋体" w:hAnsi="宋体" w:eastAsia="宋体" w:cs="宋体"/>
                <w:i w:val="0"/>
                <w:iCs w:val="0"/>
                <w:color w:val="000000"/>
                <w:sz w:val="20"/>
                <w:szCs w:val="20"/>
                <w:highlight w:val="none"/>
                <w:u w:val="none"/>
              </w:rPr>
            </w:pPr>
          </w:p>
        </w:tc>
        <w:tc>
          <w:tcPr>
            <w:tcW w:w="675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22DDDFCA">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奇台县供销社计划完成债务支付3笔，债务资金支付完成率达到100%，债务还款准确率达到100%，债务资金能按期支付且按期支付率及债务资金支付率都达到100%。通过债务资金按期足额拨付有效保障单位良好信用。</w:t>
            </w:r>
          </w:p>
        </w:tc>
        <w:tc>
          <w:tcPr>
            <w:tcW w:w="6111"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51B00843">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截止2024年12月31日，该项目已完成35.63万元。该项目的实施，保障了行政事业单位的临时业务用房需求，用房保障率达到 100%，确保各单位均能正常开展工作。同时，房租和物业费均按照合同约定时间支付，支付及时率为 100%，未出现逾期支付情况，保障了出租方和物业公司的权益，维护了良好合作关系。  </w:t>
            </w:r>
          </w:p>
        </w:tc>
      </w:tr>
      <w:tr w14:paraId="36757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B61C50">
            <w:pPr>
              <w:jc w:val="center"/>
              <w:rPr>
                <w:rFonts w:hint="eastAsia" w:ascii="宋体" w:hAnsi="宋体" w:eastAsia="宋体" w:cs="宋体"/>
                <w:i w:val="0"/>
                <w:iCs w:val="0"/>
                <w:color w:val="000000"/>
                <w:sz w:val="20"/>
                <w:szCs w:val="20"/>
                <w:highlight w:val="none"/>
                <w:u w:val="none"/>
              </w:rPr>
            </w:pP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0649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6E25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244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58B92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5CD5D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年度指标值</w:t>
            </w:r>
          </w:p>
        </w:tc>
        <w:tc>
          <w:tcPr>
            <w:tcW w:w="12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ADCCD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实际完成值</w:t>
            </w:r>
          </w:p>
        </w:tc>
        <w:tc>
          <w:tcPr>
            <w:tcW w:w="148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2C23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p>
        </w:tc>
        <w:tc>
          <w:tcPr>
            <w:tcW w:w="13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EC5EE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c>
          <w:tcPr>
            <w:tcW w:w="207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C99BE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偏差原因分析及改进措施</w:t>
            </w:r>
          </w:p>
        </w:tc>
      </w:tr>
      <w:tr w14:paraId="69632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F53AE">
            <w:pPr>
              <w:jc w:val="center"/>
              <w:rPr>
                <w:rFonts w:hint="eastAsia" w:ascii="宋体" w:hAnsi="宋体" w:eastAsia="宋体" w:cs="宋体"/>
                <w:i w:val="0"/>
                <w:iCs w:val="0"/>
                <w:color w:val="000000"/>
                <w:sz w:val="20"/>
                <w:szCs w:val="20"/>
                <w:highlight w:val="none"/>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0E0D6">
            <w:pPr>
              <w:jc w:val="center"/>
              <w:rPr>
                <w:rFonts w:hint="eastAsia" w:ascii="宋体" w:hAnsi="宋体" w:eastAsia="宋体" w:cs="宋体"/>
                <w:i w:val="0"/>
                <w:iCs w:val="0"/>
                <w:color w:val="000000"/>
                <w:sz w:val="20"/>
                <w:szCs w:val="20"/>
                <w:highlight w:val="none"/>
                <w:u w:val="none"/>
              </w:rPr>
            </w:pPr>
          </w:p>
        </w:tc>
        <w:tc>
          <w:tcPr>
            <w:tcW w:w="1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949E1">
            <w:pPr>
              <w:jc w:val="center"/>
              <w:rPr>
                <w:rFonts w:hint="eastAsia" w:ascii="宋体" w:hAnsi="宋体" w:eastAsia="宋体" w:cs="宋体"/>
                <w:i w:val="0"/>
                <w:iCs w:val="0"/>
                <w:color w:val="000000"/>
                <w:sz w:val="20"/>
                <w:szCs w:val="20"/>
                <w:highlight w:val="none"/>
                <w:u w:val="none"/>
              </w:rPr>
            </w:pPr>
          </w:p>
        </w:tc>
        <w:tc>
          <w:tcPr>
            <w:tcW w:w="244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6A231">
            <w:pPr>
              <w:jc w:val="center"/>
              <w:rPr>
                <w:rFonts w:hint="eastAsia" w:ascii="宋体" w:hAnsi="宋体" w:eastAsia="宋体" w:cs="宋体"/>
                <w:i w:val="0"/>
                <w:iCs w:val="0"/>
                <w:color w:val="000000"/>
                <w:sz w:val="20"/>
                <w:szCs w:val="20"/>
                <w:highlight w:val="none"/>
                <w:u w:val="none"/>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39C3B">
            <w:pPr>
              <w:jc w:val="center"/>
              <w:rPr>
                <w:rFonts w:hint="eastAsia" w:ascii="宋体" w:hAnsi="宋体" w:eastAsia="宋体" w:cs="宋体"/>
                <w:i w:val="0"/>
                <w:iCs w:val="0"/>
                <w:color w:val="000000"/>
                <w:sz w:val="20"/>
                <w:szCs w:val="20"/>
                <w:highlight w:val="none"/>
                <w:u w:val="none"/>
              </w:rPr>
            </w:pP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A2CDB">
            <w:pPr>
              <w:jc w:val="center"/>
              <w:rPr>
                <w:rFonts w:hint="eastAsia" w:ascii="宋体" w:hAnsi="宋体" w:eastAsia="宋体" w:cs="宋体"/>
                <w:i w:val="0"/>
                <w:iCs w:val="0"/>
                <w:color w:val="000000"/>
                <w:sz w:val="20"/>
                <w:szCs w:val="20"/>
                <w:highlight w:val="none"/>
                <w:u w:val="none"/>
              </w:rPr>
            </w:pPr>
          </w:p>
        </w:tc>
        <w:tc>
          <w:tcPr>
            <w:tcW w:w="14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2E958">
            <w:pPr>
              <w:jc w:val="center"/>
              <w:rPr>
                <w:rFonts w:hint="eastAsia" w:ascii="宋体" w:hAnsi="宋体" w:eastAsia="宋体" w:cs="宋体"/>
                <w:i w:val="0"/>
                <w:iCs w:val="0"/>
                <w:color w:val="000000"/>
                <w:sz w:val="20"/>
                <w:szCs w:val="20"/>
                <w:highlight w:val="none"/>
                <w:u w:val="none"/>
              </w:rPr>
            </w:pPr>
          </w:p>
        </w:tc>
        <w:tc>
          <w:tcPr>
            <w:tcW w:w="13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48314">
            <w:pPr>
              <w:jc w:val="center"/>
              <w:rPr>
                <w:rFonts w:hint="eastAsia" w:ascii="宋体" w:hAnsi="宋体" w:eastAsia="宋体" w:cs="宋体"/>
                <w:i w:val="0"/>
                <w:iCs w:val="0"/>
                <w:color w:val="000000"/>
                <w:sz w:val="20"/>
                <w:szCs w:val="20"/>
                <w:highlight w:val="none"/>
                <w:u w:val="none"/>
              </w:rPr>
            </w:pPr>
          </w:p>
        </w:tc>
        <w:tc>
          <w:tcPr>
            <w:tcW w:w="20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0E665">
            <w:pPr>
              <w:jc w:val="center"/>
              <w:rPr>
                <w:rFonts w:hint="eastAsia" w:ascii="宋体" w:hAnsi="宋体" w:eastAsia="宋体" w:cs="宋体"/>
                <w:i w:val="0"/>
                <w:iCs w:val="0"/>
                <w:color w:val="000000"/>
                <w:sz w:val="20"/>
                <w:szCs w:val="20"/>
                <w:highlight w:val="none"/>
                <w:u w:val="none"/>
              </w:rPr>
            </w:pPr>
          </w:p>
        </w:tc>
      </w:tr>
      <w:tr w14:paraId="1A736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49716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年度绩效指标完成情况</w:t>
            </w: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24355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C198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24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AEB5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债务支付笔数</w:t>
            </w: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EFE9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=3笔</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0C2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=3笔</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758F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5C9E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20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C1DA56">
            <w:pPr>
              <w:jc w:val="center"/>
              <w:rPr>
                <w:rFonts w:hint="eastAsia" w:ascii="宋体" w:hAnsi="宋体" w:eastAsia="宋体" w:cs="宋体"/>
                <w:i w:val="0"/>
                <w:iCs w:val="0"/>
                <w:color w:val="000000"/>
                <w:sz w:val="20"/>
                <w:szCs w:val="20"/>
                <w:highlight w:val="none"/>
                <w:u w:val="none"/>
              </w:rPr>
            </w:pPr>
          </w:p>
        </w:tc>
      </w:tr>
      <w:tr w14:paraId="122A2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8B508">
            <w:pPr>
              <w:jc w:val="center"/>
              <w:rPr>
                <w:rFonts w:hint="eastAsia" w:ascii="宋体" w:hAnsi="宋体" w:eastAsia="宋体" w:cs="宋体"/>
                <w:i w:val="0"/>
                <w:iCs w:val="0"/>
                <w:color w:val="000000"/>
                <w:sz w:val="20"/>
                <w:szCs w:val="20"/>
                <w:highlight w:val="none"/>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D7831">
            <w:pPr>
              <w:jc w:val="center"/>
              <w:rPr>
                <w:rFonts w:hint="eastAsia" w:ascii="宋体" w:hAnsi="宋体" w:eastAsia="宋体" w:cs="宋体"/>
                <w:i w:val="0"/>
                <w:iCs w:val="0"/>
                <w:color w:val="000000"/>
                <w:sz w:val="20"/>
                <w:szCs w:val="20"/>
                <w:highlight w:val="none"/>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B8E8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24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F891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债务资金支付完成率</w:t>
            </w: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6C23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262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93F4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70F8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20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CA0744">
            <w:pPr>
              <w:jc w:val="center"/>
              <w:rPr>
                <w:rFonts w:hint="eastAsia" w:ascii="宋体" w:hAnsi="宋体" w:eastAsia="宋体" w:cs="宋体"/>
                <w:i w:val="0"/>
                <w:iCs w:val="0"/>
                <w:color w:val="000000"/>
                <w:sz w:val="20"/>
                <w:szCs w:val="20"/>
                <w:highlight w:val="none"/>
                <w:u w:val="none"/>
              </w:rPr>
            </w:pPr>
          </w:p>
        </w:tc>
      </w:tr>
      <w:tr w14:paraId="2A4B8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6F3ED">
            <w:pPr>
              <w:jc w:val="center"/>
              <w:rPr>
                <w:rFonts w:hint="eastAsia" w:ascii="宋体" w:hAnsi="宋体" w:eastAsia="宋体" w:cs="宋体"/>
                <w:i w:val="0"/>
                <w:iCs w:val="0"/>
                <w:color w:val="000000"/>
                <w:sz w:val="20"/>
                <w:szCs w:val="20"/>
                <w:highlight w:val="none"/>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69731">
            <w:pPr>
              <w:jc w:val="center"/>
              <w:rPr>
                <w:rFonts w:hint="eastAsia" w:ascii="宋体" w:hAnsi="宋体" w:eastAsia="宋体" w:cs="宋体"/>
                <w:i w:val="0"/>
                <w:iCs w:val="0"/>
                <w:color w:val="000000"/>
                <w:sz w:val="20"/>
                <w:szCs w:val="20"/>
                <w:highlight w:val="none"/>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6439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24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9329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债务还款准确率</w:t>
            </w: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6B17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452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2D52D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733D9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20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B7C64A">
            <w:pPr>
              <w:jc w:val="center"/>
              <w:rPr>
                <w:rFonts w:hint="eastAsia" w:ascii="宋体" w:hAnsi="宋体" w:eastAsia="宋体" w:cs="宋体"/>
                <w:i w:val="0"/>
                <w:iCs w:val="0"/>
                <w:color w:val="000000"/>
                <w:sz w:val="20"/>
                <w:szCs w:val="20"/>
                <w:highlight w:val="none"/>
                <w:u w:val="none"/>
              </w:rPr>
            </w:pPr>
          </w:p>
        </w:tc>
      </w:tr>
      <w:tr w14:paraId="148D8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1054F">
            <w:pPr>
              <w:jc w:val="center"/>
              <w:rPr>
                <w:rFonts w:hint="eastAsia" w:ascii="宋体" w:hAnsi="宋体" w:eastAsia="宋体" w:cs="宋体"/>
                <w:i w:val="0"/>
                <w:iCs w:val="0"/>
                <w:color w:val="000000"/>
                <w:sz w:val="20"/>
                <w:szCs w:val="20"/>
                <w:highlight w:val="none"/>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53A2A">
            <w:pPr>
              <w:jc w:val="center"/>
              <w:rPr>
                <w:rFonts w:hint="eastAsia" w:ascii="宋体" w:hAnsi="宋体" w:eastAsia="宋体" w:cs="宋体"/>
                <w:i w:val="0"/>
                <w:iCs w:val="0"/>
                <w:color w:val="000000"/>
                <w:sz w:val="20"/>
                <w:szCs w:val="20"/>
                <w:highlight w:val="none"/>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A48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24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C31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债务资金按期支付率.</w:t>
            </w: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91A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71D5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64DE1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B5577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20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0875C5">
            <w:pPr>
              <w:jc w:val="center"/>
              <w:rPr>
                <w:rFonts w:hint="eastAsia" w:ascii="宋体" w:hAnsi="宋体" w:eastAsia="宋体" w:cs="宋体"/>
                <w:i w:val="0"/>
                <w:iCs w:val="0"/>
                <w:color w:val="000000"/>
                <w:sz w:val="20"/>
                <w:szCs w:val="20"/>
                <w:highlight w:val="none"/>
                <w:u w:val="none"/>
              </w:rPr>
            </w:pPr>
          </w:p>
        </w:tc>
      </w:tr>
      <w:tr w14:paraId="0CA3F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8B5E3">
            <w:pPr>
              <w:jc w:val="center"/>
              <w:rPr>
                <w:rFonts w:hint="eastAsia" w:ascii="宋体" w:hAnsi="宋体" w:eastAsia="宋体" w:cs="宋体"/>
                <w:i w:val="0"/>
                <w:iCs w:val="0"/>
                <w:color w:val="000000"/>
                <w:sz w:val="20"/>
                <w:szCs w:val="20"/>
                <w:highlight w:val="none"/>
                <w:u w:val="none"/>
              </w:rPr>
            </w:pP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884DA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ADC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24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9528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债务资金支付率</w:t>
            </w: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65CE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291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9E34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553B0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20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EBE710">
            <w:pPr>
              <w:jc w:val="center"/>
              <w:rPr>
                <w:rFonts w:hint="eastAsia" w:ascii="宋体" w:hAnsi="宋体" w:eastAsia="宋体" w:cs="宋体"/>
                <w:i w:val="0"/>
                <w:iCs w:val="0"/>
                <w:color w:val="000000"/>
                <w:sz w:val="20"/>
                <w:szCs w:val="20"/>
                <w:highlight w:val="none"/>
                <w:u w:val="none"/>
              </w:rPr>
            </w:pPr>
          </w:p>
        </w:tc>
      </w:tr>
      <w:tr w14:paraId="76940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0345A">
            <w:pPr>
              <w:jc w:val="center"/>
              <w:rPr>
                <w:rFonts w:hint="eastAsia" w:ascii="宋体" w:hAnsi="宋体" w:eastAsia="宋体" w:cs="宋体"/>
                <w:i w:val="0"/>
                <w:iCs w:val="0"/>
                <w:color w:val="000000"/>
                <w:sz w:val="20"/>
                <w:szCs w:val="20"/>
                <w:highlight w:val="none"/>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B533F">
            <w:pPr>
              <w:jc w:val="center"/>
              <w:rPr>
                <w:rFonts w:hint="eastAsia" w:ascii="宋体" w:hAnsi="宋体" w:eastAsia="宋体" w:cs="宋体"/>
                <w:i w:val="0"/>
                <w:iCs w:val="0"/>
                <w:color w:val="000000"/>
                <w:sz w:val="20"/>
                <w:szCs w:val="20"/>
                <w:highlight w:val="none"/>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16A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社会成本指标</w:t>
            </w:r>
          </w:p>
        </w:tc>
        <w:tc>
          <w:tcPr>
            <w:tcW w:w="24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C65DA">
            <w:pPr>
              <w:jc w:val="left"/>
              <w:rPr>
                <w:rFonts w:hint="eastAsia" w:ascii="宋体" w:hAnsi="宋体" w:eastAsia="宋体" w:cs="宋体"/>
                <w:i w:val="0"/>
                <w:iCs w:val="0"/>
                <w:color w:val="000000"/>
                <w:sz w:val="20"/>
                <w:szCs w:val="20"/>
                <w:highlight w:val="none"/>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26C74">
            <w:pPr>
              <w:jc w:val="center"/>
              <w:rPr>
                <w:rFonts w:hint="eastAsia" w:ascii="宋体" w:hAnsi="宋体" w:eastAsia="宋体" w:cs="宋体"/>
                <w:i w:val="0"/>
                <w:iCs w:val="0"/>
                <w:color w:val="000000"/>
                <w:sz w:val="20"/>
                <w:szCs w:val="20"/>
                <w:highlight w:val="none"/>
                <w:u w:val="none"/>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600A2">
            <w:pPr>
              <w:jc w:val="center"/>
              <w:rPr>
                <w:rFonts w:hint="eastAsia" w:ascii="宋体" w:hAnsi="宋体" w:eastAsia="宋体" w:cs="宋体"/>
                <w:i w:val="0"/>
                <w:iCs w:val="0"/>
                <w:color w:val="000000"/>
                <w:sz w:val="20"/>
                <w:szCs w:val="20"/>
                <w:highlight w:val="none"/>
                <w:u w:val="none"/>
              </w:rPr>
            </w:pP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B7C19D">
            <w:pPr>
              <w:jc w:val="center"/>
              <w:rPr>
                <w:rFonts w:hint="eastAsia" w:ascii="宋体" w:hAnsi="宋体" w:eastAsia="宋体" w:cs="宋体"/>
                <w:i w:val="0"/>
                <w:iCs w:val="0"/>
                <w:color w:val="000000"/>
                <w:sz w:val="20"/>
                <w:szCs w:val="20"/>
                <w:highlight w:val="none"/>
                <w:u w:val="none"/>
              </w:rPr>
            </w:pP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BECD13">
            <w:pPr>
              <w:jc w:val="center"/>
              <w:rPr>
                <w:rFonts w:hint="eastAsia" w:ascii="宋体" w:hAnsi="宋体" w:eastAsia="宋体" w:cs="宋体"/>
                <w:i w:val="0"/>
                <w:iCs w:val="0"/>
                <w:color w:val="000000"/>
                <w:sz w:val="20"/>
                <w:szCs w:val="20"/>
                <w:highlight w:val="none"/>
                <w:u w:val="none"/>
              </w:rPr>
            </w:pPr>
          </w:p>
        </w:tc>
        <w:tc>
          <w:tcPr>
            <w:tcW w:w="20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CAE9F5">
            <w:pPr>
              <w:jc w:val="center"/>
              <w:rPr>
                <w:rFonts w:hint="eastAsia" w:ascii="宋体" w:hAnsi="宋体" w:eastAsia="宋体" w:cs="宋体"/>
                <w:i w:val="0"/>
                <w:iCs w:val="0"/>
                <w:color w:val="000000"/>
                <w:sz w:val="20"/>
                <w:szCs w:val="20"/>
                <w:highlight w:val="none"/>
                <w:u w:val="none"/>
              </w:rPr>
            </w:pPr>
          </w:p>
        </w:tc>
      </w:tr>
      <w:tr w14:paraId="1BFC8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40B99">
            <w:pPr>
              <w:jc w:val="center"/>
              <w:rPr>
                <w:rFonts w:hint="eastAsia" w:ascii="宋体" w:hAnsi="宋体" w:eastAsia="宋体" w:cs="宋体"/>
                <w:i w:val="0"/>
                <w:iCs w:val="0"/>
                <w:color w:val="000000"/>
                <w:sz w:val="20"/>
                <w:szCs w:val="20"/>
                <w:highlight w:val="none"/>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4654E">
            <w:pPr>
              <w:jc w:val="center"/>
              <w:rPr>
                <w:rFonts w:hint="eastAsia" w:ascii="宋体" w:hAnsi="宋体" w:eastAsia="宋体" w:cs="宋体"/>
                <w:i w:val="0"/>
                <w:iCs w:val="0"/>
                <w:color w:val="000000"/>
                <w:sz w:val="20"/>
                <w:szCs w:val="20"/>
                <w:highlight w:val="none"/>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E07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生态环境成本指标</w:t>
            </w:r>
          </w:p>
        </w:tc>
        <w:tc>
          <w:tcPr>
            <w:tcW w:w="24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CCBB1">
            <w:pPr>
              <w:jc w:val="left"/>
              <w:rPr>
                <w:rFonts w:hint="eastAsia" w:ascii="宋体" w:hAnsi="宋体" w:eastAsia="宋体" w:cs="宋体"/>
                <w:i w:val="0"/>
                <w:iCs w:val="0"/>
                <w:color w:val="000000"/>
                <w:sz w:val="20"/>
                <w:szCs w:val="20"/>
                <w:highlight w:val="none"/>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C1B6F">
            <w:pPr>
              <w:jc w:val="center"/>
              <w:rPr>
                <w:rFonts w:hint="eastAsia" w:ascii="宋体" w:hAnsi="宋体" w:eastAsia="宋体" w:cs="宋体"/>
                <w:i w:val="0"/>
                <w:iCs w:val="0"/>
                <w:color w:val="000000"/>
                <w:sz w:val="20"/>
                <w:szCs w:val="20"/>
                <w:highlight w:val="none"/>
                <w:u w:val="none"/>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D31FA">
            <w:pPr>
              <w:jc w:val="center"/>
              <w:rPr>
                <w:rFonts w:hint="eastAsia" w:ascii="宋体" w:hAnsi="宋体" w:eastAsia="宋体" w:cs="宋体"/>
                <w:i w:val="0"/>
                <w:iCs w:val="0"/>
                <w:color w:val="000000"/>
                <w:sz w:val="20"/>
                <w:szCs w:val="20"/>
                <w:highlight w:val="none"/>
                <w:u w:val="none"/>
              </w:rPr>
            </w:pP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88068">
            <w:pPr>
              <w:jc w:val="center"/>
              <w:rPr>
                <w:rFonts w:hint="eastAsia" w:ascii="宋体" w:hAnsi="宋体" w:eastAsia="宋体" w:cs="宋体"/>
                <w:i w:val="0"/>
                <w:iCs w:val="0"/>
                <w:color w:val="000000"/>
                <w:sz w:val="20"/>
                <w:szCs w:val="20"/>
                <w:highlight w:val="none"/>
                <w:u w:val="none"/>
              </w:rPr>
            </w:pP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831AC0">
            <w:pPr>
              <w:jc w:val="center"/>
              <w:rPr>
                <w:rFonts w:hint="eastAsia" w:ascii="宋体" w:hAnsi="宋体" w:eastAsia="宋体" w:cs="宋体"/>
                <w:i w:val="0"/>
                <w:iCs w:val="0"/>
                <w:color w:val="000000"/>
                <w:sz w:val="20"/>
                <w:szCs w:val="20"/>
                <w:highlight w:val="none"/>
                <w:u w:val="none"/>
              </w:rPr>
            </w:pPr>
          </w:p>
        </w:tc>
        <w:tc>
          <w:tcPr>
            <w:tcW w:w="20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64C593">
            <w:pPr>
              <w:jc w:val="center"/>
              <w:rPr>
                <w:rFonts w:hint="eastAsia" w:ascii="宋体" w:hAnsi="宋体" w:eastAsia="宋体" w:cs="宋体"/>
                <w:i w:val="0"/>
                <w:iCs w:val="0"/>
                <w:color w:val="000000"/>
                <w:sz w:val="20"/>
                <w:szCs w:val="20"/>
                <w:highlight w:val="none"/>
                <w:u w:val="none"/>
              </w:rPr>
            </w:pPr>
          </w:p>
        </w:tc>
      </w:tr>
      <w:tr w14:paraId="71ABC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42148">
            <w:pPr>
              <w:jc w:val="center"/>
              <w:rPr>
                <w:rFonts w:hint="eastAsia" w:ascii="宋体" w:hAnsi="宋体" w:eastAsia="宋体" w:cs="宋体"/>
                <w:i w:val="0"/>
                <w:iCs w:val="0"/>
                <w:color w:val="000000"/>
                <w:sz w:val="20"/>
                <w:szCs w:val="20"/>
                <w:highlight w:val="none"/>
                <w:u w:val="none"/>
              </w:rPr>
            </w:pP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4132F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191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经济效益指标</w:t>
            </w:r>
          </w:p>
        </w:tc>
        <w:tc>
          <w:tcPr>
            <w:tcW w:w="24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C9882">
            <w:pPr>
              <w:jc w:val="left"/>
              <w:rPr>
                <w:rFonts w:hint="eastAsia" w:ascii="宋体" w:hAnsi="宋体" w:eastAsia="宋体" w:cs="宋体"/>
                <w:i w:val="0"/>
                <w:iCs w:val="0"/>
                <w:color w:val="000000"/>
                <w:sz w:val="20"/>
                <w:szCs w:val="20"/>
                <w:highlight w:val="none"/>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25832">
            <w:pPr>
              <w:jc w:val="center"/>
              <w:rPr>
                <w:rFonts w:hint="eastAsia" w:ascii="宋体" w:hAnsi="宋体" w:eastAsia="宋体" w:cs="宋体"/>
                <w:i w:val="0"/>
                <w:iCs w:val="0"/>
                <w:color w:val="000000"/>
                <w:sz w:val="20"/>
                <w:szCs w:val="20"/>
                <w:highlight w:val="none"/>
                <w:u w:val="none"/>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E60BE">
            <w:pPr>
              <w:jc w:val="center"/>
              <w:rPr>
                <w:rFonts w:hint="eastAsia" w:ascii="宋体" w:hAnsi="宋体" w:eastAsia="宋体" w:cs="宋体"/>
                <w:i w:val="0"/>
                <w:iCs w:val="0"/>
                <w:color w:val="000000"/>
                <w:sz w:val="20"/>
                <w:szCs w:val="20"/>
                <w:highlight w:val="none"/>
                <w:u w:val="none"/>
              </w:rPr>
            </w:pP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58D6F2">
            <w:pPr>
              <w:jc w:val="center"/>
              <w:rPr>
                <w:rFonts w:hint="eastAsia" w:ascii="宋体" w:hAnsi="宋体" w:eastAsia="宋体" w:cs="宋体"/>
                <w:i w:val="0"/>
                <w:iCs w:val="0"/>
                <w:color w:val="000000"/>
                <w:sz w:val="20"/>
                <w:szCs w:val="20"/>
                <w:highlight w:val="none"/>
                <w:u w:val="none"/>
              </w:rPr>
            </w:pP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896F08">
            <w:pPr>
              <w:jc w:val="center"/>
              <w:rPr>
                <w:rFonts w:hint="eastAsia" w:ascii="宋体" w:hAnsi="宋体" w:eastAsia="宋体" w:cs="宋体"/>
                <w:i w:val="0"/>
                <w:iCs w:val="0"/>
                <w:color w:val="000000"/>
                <w:sz w:val="20"/>
                <w:szCs w:val="20"/>
                <w:highlight w:val="none"/>
                <w:u w:val="none"/>
              </w:rPr>
            </w:pPr>
          </w:p>
        </w:tc>
        <w:tc>
          <w:tcPr>
            <w:tcW w:w="20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59C888">
            <w:pPr>
              <w:jc w:val="center"/>
              <w:rPr>
                <w:rFonts w:hint="eastAsia" w:ascii="宋体" w:hAnsi="宋体" w:eastAsia="宋体" w:cs="宋体"/>
                <w:i w:val="0"/>
                <w:iCs w:val="0"/>
                <w:color w:val="000000"/>
                <w:sz w:val="20"/>
                <w:szCs w:val="20"/>
                <w:highlight w:val="none"/>
                <w:u w:val="none"/>
              </w:rPr>
            </w:pPr>
          </w:p>
        </w:tc>
      </w:tr>
      <w:tr w14:paraId="47492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F88E2">
            <w:pPr>
              <w:jc w:val="center"/>
              <w:rPr>
                <w:rFonts w:hint="eastAsia" w:ascii="宋体" w:hAnsi="宋体" w:eastAsia="宋体" w:cs="宋体"/>
                <w:i w:val="0"/>
                <w:iCs w:val="0"/>
                <w:color w:val="000000"/>
                <w:sz w:val="20"/>
                <w:szCs w:val="20"/>
                <w:highlight w:val="none"/>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93346">
            <w:pPr>
              <w:jc w:val="center"/>
              <w:rPr>
                <w:rFonts w:hint="eastAsia" w:ascii="宋体" w:hAnsi="宋体" w:eastAsia="宋体" w:cs="宋体"/>
                <w:i w:val="0"/>
                <w:iCs w:val="0"/>
                <w:color w:val="000000"/>
                <w:sz w:val="20"/>
                <w:szCs w:val="20"/>
                <w:highlight w:val="none"/>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1E6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24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9E37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保障单位良好信用</w:t>
            </w: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3A38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有效保障</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C8A1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有效保障</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87B9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ACD6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20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55C4B2">
            <w:pPr>
              <w:jc w:val="center"/>
              <w:rPr>
                <w:rFonts w:hint="eastAsia" w:ascii="宋体" w:hAnsi="宋体" w:eastAsia="宋体" w:cs="宋体"/>
                <w:i w:val="0"/>
                <w:iCs w:val="0"/>
                <w:color w:val="000000"/>
                <w:sz w:val="20"/>
                <w:szCs w:val="20"/>
                <w:highlight w:val="none"/>
                <w:u w:val="none"/>
              </w:rPr>
            </w:pPr>
          </w:p>
        </w:tc>
      </w:tr>
      <w:tr w14:paraId="79392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410091">
            <w:pPr>
              <w:jc w:val="center"/>
              <w:rPr>
                <w:rFonts w:hint="eastAsia" w:ascii="宋体" w:hAnsi="宋体" w:eastAsia="宋体" w:cs="宋体"/>
                <w:i w:val="0"/>
                <w:iCs w:val="0"/>
                <w:color w:val="000000"/>
                <w:sz w:val="20"/>
                <w:szCs w:val="20"/>
                <w:highlight w:val="none"/>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992BC">
            <w:pPr>
              <w:jc w:val="center"/>
              <w:rPr>
                <w:rFonts w:hint="eastAsia" w:ascii="宋体" w:hAnsi="宋体" w:eastAsia="宋体" w:cs="宋体"/>
                <w:i w:val="0"/>
                <w:iCs w:val="0"/>
                <w:color w:val="000000"/>
                <w:sz w:val="20"/>
                <w:szCs w:val="20"/>
                <w:highlight w:val="none"/>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1C9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生态效益指标</w:t>
            </w:r>
          </w:p>
        </w:tc>
        <w:tc>
          <w:tcPr>
            <w:tcW w:w="24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B9C0F">
            <w:pPr>
              <w:jc w:val="left"/>
              <w:rPr>
                <w:rFonts w:hint="eastAsia" w:ascii="宋体" w:hAnsi="宋体" w:eastAsia="宋体" w:cs="宋体"/>
                <w:i w:val="0"/>
                <w:iCs w:val="0"/>
                <w:color w:val="000000"/>
                <w:sz w:val="20"/>
                <w:szCs w:val="20"/>
                <w:highlight w:val="none"/>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197AF">
            <w:pPr>
              <w:jc w:val="center"/>
              <w:rPr>
                <w:rFonts w:hint="eastAsia" w:ascii="宋体" w:hAnsi="宋体" w:eastAsia="宋体" w:cs="宋体"/>
                <w:i w:val="0"/>
                <w:iCs w:val="0"/>
                <w:color w:val="000000"/>
                <w:sz w:val="20"/>
                <w:szCs w:val="20"/>
                <w:highlight w:val="none"/>
                <w:u w:val="none"/>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5B750">
            <w:pPr>
              <w:jc w:val="center"/>
              <w:rPr>
                <w:rFonts w:hint="eastAsia" w:ascii="宋体" w:hAnsi="宋体" w:eastAsia="宋体" w:cs="宋体"/>
                <w:i w:val="0"/>
                <w:iCs w:val="0"/>
                <w:color w:val="000000"/>
                <w:sz w:val="20"/>
                <w:szCs w:val="20"/>
                <w:highlight w:val="none"/>
                <w:u w:val="none"/>
              </w:rPr>
            </w:pP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6C3983">
            <w:pPr>
              <w:jc w:val="center"/>
              <w:rPr>
                <w:rFonts w:hint="eastAsia" w:ascii="宋体" w:hAnsi="宋体" w:eastAsia="宋体" w:cs="宋体"/>
                <w:i w:val="0"/>
                <w:iCs w:val="0"/>
                <w:color w:val="000000"/>
                <w:sz w:val="20"/>
                <w:szCs w:val="20"/>
                <w:highlight w:val="none"/>
                <w:u w:val="none"/>
              </w:rPr>
            </w:pP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5DB2CB">
            <w:pPr>
              <w:jc w:val="center"/>
              <w:rPr>
                <w:rFonts w:hint="eastAsia" w:ascii="宋体" w:hAnsi="宋体" w:eastAsia="宋体" w:cs="宋体"/>
                <w:i w:val="0"/>
                <w:iCs w:val="0"/>
                <w:color w:val="000000"/>
                <w:sz w:val="20"/>
                <w:szCs w:val="20"/>
                <w:highlight w:val="none"/>
                <w:u w:val="none"/>
              </w:rPr>
            </w:pPr>
          </w:p>
        </w:tc>
        <w:tc>
          <w:tcPr>
            <w:tcW w:w="20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4E6055">
            <w:pPr>
              <w:jc w:val="center"/>
              <w:rPr>
                <w:rFonts w:hint="eastAsia" w:ascii="宋体" w:hAnsi="宋体" w:eastAsia="宋体" w:cs="宋体"/>
                <w:i w:val="0"/>
                <w:iCs w:val="0"/>
                <w:color w:val="000000"/>
                <w:sz w:val="20"/>
                <w:szCs w:val="20"/>
                <w:highlight w:val="none"/>
                <w:u w:val="none"/>
              </w:rPr>
            </w:pPr>
          </w:p>
        </w:tc>
      </w:tr>
      <w:tr w14:paraId="0EAEC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51EC1">
            <w:pPr>
              <w:jc w:val="center"/>
              <w:rPr>
                <w:rFonts w:hint="eastAsia" w:ascii="宋体" w:hAnsi="宋体" w:eastAsia="宋体" w:cs="宋体"/>
                <w:i w:val="0"/>
                <w:iCs w:val="0"/>
                <w:color w:val="000000"/>
                <w:sz w:val="20"/>
                <w:szCs w:val="20"/>
                <w:highlight w:val="none"/>
                <w:u w:val="none"/>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523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252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244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174E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支付对象满意度（%）</w:t>
            </w: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E129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&gt;=90%</w:t>
            </w:r>
          </w:p>
        </w:tc>
        <w:tc>
          <w:tcPr>
            <w:tcW w:w="1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65F6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=90%</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3A9DF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7349A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20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862252">
            <w:pPr>
              <w:jc w:val="center"/>
              <w:rPr>
                <w:rFonts w:hint="eastAsia" w:ascii="宋体" w:hAnsi="宋体" w:eastAsia="宋体" w:cs="宋体"/>
                <w:i w:val="0"/>
                <w:iCs w:val="0"/>
                <w:color w:val="000000"/>
                <w:sz w:val="20"/>
                <w:szCs w:val="20"/>
                <w:highlight w:val="none"/>
                <w:u w:val="none"/>
              </w:rPr>
            </w:pPr>
          </w:p>
        </w:tc>
      </w:tr>
      <w:tr w14:paraId="421AA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92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70B10F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总分</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A18B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3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C5598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100.00分</w:t>
            </w:r>
          </w:p>
        </w:tc>
        <w:tc>
          <w:tcPr>
            <w:tcW w:w="20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5F4D1D">
            <w:pPr>
              <w:jc w:val="center"/>
              <w:rPr>
                <w:rFonts w:hint="eastAsia" w:ascii="宋体" w:hAnsi="宋体" w:eastAsia="宋体" w:cs="宋体"/>
                <w:i w:val="0"/>
                <w:iCs w:val="0"/>
                <w:color w:val="000000"/>
                <w:sz w:val="20"/>
                <w:szCs w:val="20"/>
                <w:highlight w:val="none"/>
                <w:u w:val="none"/>
              </w:rPr>
            </w:pPr>
          </w:p>
        </w:tc>
      </w:tr>
    </w:tbl>
    <w:p w14:paraId="1EFCE8FF">
      <w:pPr>
        <w:rPr>
          <w:rFonts w:hint="default" w:eastAsia="黑体" w:cs="Times New Roman"/>
          <w:sz w:val="32"/>
          <w:szCs w:val="32"/>
          <w:highlight w:val="none"/>
          <w:lang w:val="en-US" w:eastAsia="zh-C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306B1ECE">
        <w:pPr>
          <w:pStyle w:val="7"/>
          <w:jc w:val="center"/>
        </w:pPr>
        <w:r>
          <w:fldChar w:fldCharType="begin"/>
        </w:r>
        <w:r>
          <w:instrText xml:space="preserve">PAGE   \* MERGEFORMAT</w:instrText>
        </w:r>
        <w:r>
          <w:fldChar w:fldCharType="separate"/>
        </w:r>
        <w:r>
          <w:rPr>
            <w:lang w:val="zh-CN"/>
          </w:rPr>
          <w:t>13</w:t>
        </w:r>
        <w:r>
          <w:fldChar w:fldCharType="end"/>
        </w:r>
      </w:p>
    </w:sdtContent>
  </w:sdt>
  <w:p w14:paraId="6CE7FD47">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622D76"/>
    <w:multiLevelType w:val="singleLevel"/>
    <w:tmpl w:val="9F622D76"/>
    <w:lvl w:ilvl="0" w:tentative="0">
      <w:start w:val="2"/>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00297E1F"/>
    <w:multiLevelType w:val="singleLevel"/>
    <w:tmpl w:val="00297E1F"/>
    <w:lvl w:ilvl="0" w:tentative="0">
      <w:start w:val="2"/>
      <w:numFmt w:val="chineseCounting"/>
      <w:suff w:val="nothing"/>
      <w:lvlText w:val="（%1）"/>
      <w:lvlJc w:val="left"/>
      <w:rPr>
        <w:rFonts w:hint="eastAsia"/>
      </w:rPr>
    </w:lvl>
  </w:abstractNum>
  <w:abstractNum w:abstractNumId="3">
    <w:nsid w:val="0EDF6330"/>
    <w:multiLevelType w:val="singleLevel"/>
    <w:tmpl w:val="0EDF6330"/>
    <w:lvl w:ilvl="0" w:tentative="0">
      <w:start w:val="1"/>
      <w:numFmt w:val="decimal"/>
      <w:suff w:val="nothing"/>
      <w:lvlText w:val="%1、"/>
      <w:lvlJc w:val="left"/>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1D7F1D11"/>
    <w:multiLevelType w:val="singleLevel"/>
    <w:tmpl w:val="1D7F1D11"/>
    <w:lvl w:ilvl="0" w:tentative="0">
      <w:start w:val="1"/>
      <w:numFmt w:val="decimal"/>
      <w:suff w:val="nothing"/>
      <w:lvlText w:val="%1、"/>
      <w:lvlJc w:val="left"/>
    </w:lvl>
  </w:abstractNum>
  <w:abstractNum w:abstractNumId="6">
    <w:nsid w:val="27813159"/>
    <w:multiLevelType w:val="singleLevel"/>
    <w:tmpl w:val="27813159"/>
    <w:lvl w:ilvl="0" w:tentative="0">
      <w:start w:val="3"/>
      <w:numFmt w:val="chineseCounting"/>
      <w:suff w:val="nothing"/>
      <w:lvlText w:val="（%1）"/>
      <w:lvlJc w:val="left"/>
      <w:rPr>
        <w:rFonts w:hint="eastAsia"/>
      </w:rPr>
    </w:lvl>
  </w:abstractNum>
  <w:abstractNum w:abstractNumId="7">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1"/>
  </w:num>
  <w:num w:numId="3">
    <w:abstractNumId w:val="3"/>
  </w:num>
  <w:num w:numId="4">
    <w:abstractNumId w:val="5"/>
  </w:num>
  <w:num w:numId="5">
    <w:abstractNumId w:val="2"/>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5A2D64"/>
    <w:rsid w:val="006F7242"/>
    <w:rsid w:val="00773916"/>
    <w:rsid w:val="007B168A"/>
    <w:rsid w:val="008B2CFE"/>
    <w:rsid w:val="0091246D"/>
    <w:rsid w:val="00F26FF6"/>
    <w:rsid w:val="01011432"/>
    <w:rsid w:val="010F7FF3"/>
    <w:rsid w:val="011E0236"/>
    <w:rsid w:val="014E403B"/>
    <w:rsid w:val="01610122"/>
    <w:rsid w:val="01A20125"/>
    <w:rsid w:val="01A4698D"/>
    <w:rsid w:val="02510197"/>
    <w:rsid w:val="02C60B85"/>
    <w:rsid w:val="02F24357"/>
    <w:rsid w:val="03231B33"/>
    <w:rsid w:val="03636509"/>
    <w:rsid w:val="037B196F"/>
    <w:rsid w:val="038D16A3"/>
    <w:rsid w:val="03A23D55"/>
    <w:rsid w:val="03EC461B"/>
    <w:rsid w:val="03EF1A15"/>
    <w:rsid w:val="04497378"/>
    <w:rsid w:val="0451447E"/>
    <w:rsid w:val="0452341B"/>
    <w:rsid w:val="046B19E4"/>
    <w:rsid w:val="048C3708"/>
    <w:rsid w:val="051E0804"/>
    <w:rsid w:val="054D2E98"/>
    <w:rsid w:val="055F2BCB"/>
    <w:rsid w:val="05746676"/>
    <w:rsid w:val="05940AC6"/>
    <w:rsid w:val="05964123"/>
    <w:rsid w:val="05A84572"/>
    <w:rsid w:val="05EE467B"/>
    <w:rsid w:val="05F31C91"/>
    <w:rsid w:val="06D3561E"/>
    <w:rsid w:val="06DC2725"/>
    <w:rsid w:val="071A5591"/>
    <w:rsid w:val="07397B77"/>
    <w:rsid w:val="073E518E"/>
    <w:rsid w:val="074327A4"/>
    <w:rsid w:val="07797F74"/>
    <w:rsid w:val="07D41F0B"/>
    <w:rsid w:val="08057A5A"/>
    <w:rsid w:val="08385FF1"/>
    <w:rsid w:val="0898267C"/>
    <w:rsid w:val="08C16076"/>
    <w:rsid w:val="08E753B1"/>
    <w:rsid w:val="09173EE8"/>
    <w:rsid w:val="09570789"/>
    <w:rsid w:val="097D1872"/>
    <w:rsid w:val="0988635C"/>
    <w:rsid w:val="09E33D07"/>
    <w:rsid w:val="09FE6E56"/>
    <w:rsid w:val="0A261F09"/>
    <w:rsid w:val="0A4C5E14"/>
    <w:rsid w:val="0A726EFC"/>
    <w:rsid w:val="0A943317"/>
    <w:rsid w:val="0AAC0E22"/>
    <w:rsid w:val="0AC43BFC"/>
    <w:rsid w:val="0AD007F3"/>
    <w:rsid w:val="0AF55D55"/>
    <w:rsid w:val="0B426F27"/>
    <w:rsid w:val="0BD07B44"/>
    <w:rsid w:val="0BE01BDD"/>
    <w:rsid w:val="0C3B1C9C"/>
    <w:rsid w:val="0C436DA2"/>
    <w:rsid w:val="0C5E3BDC"/>
    <w:rsid w:val="0D082A6E"/>
    <w:rsid w:val="0D1D5845"/>
    <w:rsid w:val="0D4032E2"/>
    <w:rsid w:val="0DB461AA"/>
    <w:rsid w:val="0E06452B"/>
    <w:rsid w:val="0E3C619F"/>
    <w:rsid w:val="0E6D0107"/>
    <w:rsid w:val="0EFB1BB6"/>
    <w:rsid w:val="0F0D5446"/>
    <w:rsid w:val="0F1113DA"/>
    <w:rsid w:val="0F234C69"/>
    <w:rsid w:val="0F3B253B"/>
    <w:rsid w:val="0F5512C6"/>
    <w:rsid w:val="0F6273CA"/>
    <w:rsid w:val="0F767C73"/>
    <w:rsid w:val="0FC90780"/>
    <w:rsid w:val="100F38EC"/>
    <w:rsid w:val="10305890"/>
    <w:rsid w:val="105C0433"/>
    <w:rsid w:val="110B247C"/>
    <w:rsid w:val="11170296"/>
    <w:rsid w:val="115E7CD4"/>
    <w:rsid w:val="118C11EC"/>
    <w:rsid w:val="12A52565"/>
    <w:rsid w:val="12C66037"/>
    <w:rsid w:val="12CD1ABC"/>
    <w:rsid w:val="12FD4A84"/>
    <w:rsid w:val="13471461"/>
    <w:rsid w:val="13517FF7"/>
    <w:rsid w:val="13684491"/>
    <w:rsid w:val="138F127E"/>
    <w:rsid w:val="13960100"/>
    <w:rsid w:val="13A740BB"/>
    <w:rsid w:val="13B90F01"/>
    <w:rsid w:val="14495172"/>
    <w:rsid w:val="149363ED"/>
    <w:rsid w:val="14972381"/>
    <w:rsid w:val="149F2FE4"/>
    <w:rsid w:val="15252C38"/>
    <w:rsid w:val="15565D98"/>
    <w:rsid w:val="155E4C4D"/>
    <w:rsid w:val="15681628"/>
    <w:rsid w:val="15F1786F"/>
    <w:rsid w:val="16BA07AA"/>
    <w:rsid w:val="16BD6A70"/>
    <w:rsid w:val="16BF34C9"/>
    <w:rsid w:val="16D57191"/>
    <w:rsid w:val="1758090A"/>
    <w:rsid w:val="178766DD"/>
    <w:rsid w:val="17D11706"/>
    <w:rsid w:val="17DA5E67"/>
    <w:rsid w:val="17FC5791"/>
    <w:rsid w:val="181066D2"/>
    <w:rsid w:val="1821268E"/>
    <w:rsid w:val="182A0E16"/>
    <w:rsid w:val="18624A54"/>
    <w:rsid w:val="187C5B16"/>
    <w:rsid w:val="1890511D"/>
    <w:rsid w:val="18913A29"/>
    <w:rsid w:val="19424604"/>
    <w:rsid w:val="19744A3F"/>
    <w:rsid w:val="19D9779A"/>
    <w:rsid w:val="1A204BC7"/>
    <w:rsid w:val="1A246465"/>
    <w:rsid w:val="1A314A4A"/>
    <w:rsid w:val="1A3366A8"/>
    <w:rsid w:val="1A3D12D5"/>
    <w:rsid w:val="1A562397"/>
    <w:rsid w:val="1A7E355A"/>
    <w:rsid w:val="1B4D5548"/>
    <w:rsid w:val="1B66485B"/>
    <w:rsid w:val="1B697EA8"/>
    <w:rsid w:val="1BC64867"/>
    <w:rsid w:val="1C255E3A"/>
    <w:rsid w:val="1C662141"/>
    <w:rsid w:val="1C671E73"/>
    <w:rsid w:val="1CA90EA4"/>
    <w:rsid w:val="1D303373"/>
    <w:rsid w:val="1D322C47"/>
    <w:rsid w:val="1D5A3F4C"/>
    <w:rsid w:val="1DAA6C81"/>
    <w:rsid w:val="1DBA2C3C"/>
    <w:rsid w:val="1DEF28E6"/>
    <w:rsid w:val="1E0B5246"/>
    <w:rsid w:val="1E124827"/>
    <w:rsid w:val="1E6C0FDE"/>
    <w:rsid w:val="1E6C42CC"/>
    <w:rsid w:val="1EC2702E"/>
    <w:rsid w:val="1F066139"/>
    <w:rsid w:val="1F1840BF"/>
    <w:rsid w:val="20A367D5"/>
    <w:rsid w:val="20A756FA"/>
    <w:rsid w:val="20B6593D"/>
    <w:rsid w:val="21026DD4"/>
    <w:rsid w:val="21537DFC"/>
    <w:rsid w:val="21AD0AEE"/>
    <w:rsid w:val="220A5F40"/>
    <w:rsid w:val="22280ABD"/>
    <w:rsid w:val="22290DFD"/>
    <w:rsid w:val="223B07F0"/>
    <w:rsid w:val="223C00C4"/>
    <w:rsid w:val="22743D02"/>
    <w:rsid w:val="22C24A6D"/>
    <w:rsid w:val="22FB3ADB"/>
    <w:rsid w:val="231C6672"/>
    <w:rsid w:val="23616034"/>
    <w:rsid w:val="23696C97"/>
    <w:rsid w:val="237D0994"/>
    <w:rsid w:val="23E32EED"/>
    <w:rsid w:val="243F349F"/>
    <w:rsid w:val="24480FA2"/>
    <w:rsid w:val="244C26BE"/>
    <w:rsid w:val="24547947"/>
    <w:rsid w:val="24EF141E"/>
    <w:rsid w:val="25227A45"/>
    <w:rsid w:val="25626093"/>
    <w:rsid w:val="25C26B32"/>
    <w:rsid w:val="25F61BA0"/>
    <w:rsid w:val="262F241A"/>
    <w:rsid w:val="26301CEE"/>
    <w:rsid w:val="26AC3A6A"/>
    <w:rsid w:val="26B11666"/>
    <w:rsid w:val="26BB1EFF"/>
    <w:rsid w:val="26E72CF4"/>
    <w:rsid w:val="2705317A"/>
    <w:rsid w:val="27084A19"/>
    <w:rsid w:val="271433BD"/>
    <w:rsid w:val="27204FD0"/>
    <w:rsid w:val="27C72B45"/>
    <w:rsid w:val="27FF6615"/>
    <w:rsid w:val="282F4953"/>
    <w:rsid w:val="283E4B96"/>
    <w:rsid w:val="28414686"/>
    <w:rsid w:val="28481571"/>
    <w:rsid w:val="288307FB"/>
    <w:rsid w:val="28DB23E5"/>
    <w:rsid w:val="290C07F0"/>
    <w:rsid w:val="29115E06"/>
    <w:rsid w:val="29695C42"/>
    <w:rsid w:val="2A3C3357"/>
    <w:rsid w:val="2A505C90"/>
    <w:rsid w:val="2A573A17"/>
    <w:rsid w:val="2B163BA8"/>
    <w:rsid w:val="2B231E21"/>
    <w:rsid w:val="2B85488A"/>
    <w:rsid w:val="2B9D7E25"/>
    <w:rsid w:val="2C071743"/>
    <w:rsid w:val="2C1C26F1"/>
    <w:rsid w:val="2C7C7A3B"/>
    <w:rsid w:val="2CAC20B0"/>
    <w:rsid w:val="2CED0939"/>
    <w:rsid w:val="2D067C4C"/>
    <w:rsid w:val="2D0A773C"/>
    <w:rsid w:val="2D1265F1"/>
    <w:rsid w:val="2D6055AE"/>
    <w:rsid w:val="2D6075F1"/>
    <w:rsid w:val="2D682153"/>
    <w:rsid w:val="2D7D7F0E"/>
    <w:rsid w:val="2DD12008"/>
    <w:rsid w:val="2E165C6D"/>
    <w:rsid w:val="2E1C6DC4"/>
    <w:rsid w:val="2E7E15BE"/>
    <w:rsid w:val="2E8157DC"/>
    <w:rsid w:val="2EBF00B3"/>
    <w:rsid w:val="2EDE2C2F"/>
    <w:rsid w:val="2F164660"/>
    <w:rsid w:val="2F176141"/>
    <w:rsid w:val="2F204FF5"/>
    <w:rsid w:val="2F364819"/>
    <w:rsid w:val="2FA200FA"/>
    <w:rsid w:val="2FD63906"/>
    <w:rsid w:val="30E16A06"/>
    <w:rsid w:val="311F0B8B"/>
    <w:rsid w:val="312B1B7F"/>
    <w:rsid w:val="312F67E6"/>
    <w:rsid w:val="318D5F0C"/>
    <w:rsid w:val="3207249C"/>
    <w:rsid w:val="325A6A70"/>
    <w:rsid w:val="326E7E26"/>
    <w:rsid w:val="32713DBA"/>
    <w:rsid w:val="32917582"/>
    <w:rsid w:val="32EB591A"/>
    <w:rsid w:val="32FB3683"/>
    <w:rsid w:val="33C5616B"/>
    <w:rsid w:val="34140EA1"/>
    <w:rsid w:val="34160775"/>
    <w:rsid w:val="3491015A"/>
    <w:rsid w:val="362B4280"/>
    <w:rsid w:val="364315C9"/>
    <w:rsid w:val="36581D34"/>
    <w:rsid w:val="366C4FC4"/>
    <w:rsid w:val="36CA3A99"/>
    <w:rsid w:val="37215DAE"/>
    <w:rsid w:val="374750E9"/>
    <w:rsid w:val="37490E61"/>
    <w:rsid w:val="37623CD1"/>
    <w:rsid w:val="37691B50"/>
    <w:rsid w:val="37A4253C"/>
    <w:rsid w:val="37A91900"/>
    <w:rsid w:val="37D03331"/>
    <w:rsid w:val="37EF7C5B"/>
    <w:rsid w:val="37FE1C4C"/>
    <w:rsid w:val="386B4E07"/>
    <w:rsid w:val="38CA40DD"/>
    <w:rsid w:val="391536F1"/>
    <w:rsid w:val="395F2B56"/>
    <w:rsid w:val="396B7AE2"/>
    <w:rsid w:val="39E07108"/>
    <w:rsid w:val="3A751F6D"/>
    <w:rsid w:val="3A771D5C"/>
    <w:rsid w:val="3AAC1E33"/>
    <w:rsid w:val="3ADB44C6"/>
    <w:rsid w:val="3B123664"/>
    <w:rsid w:val="3B145AF3"/>
    <w:rsid w:val="3B1874C8"/>
    <w:rsid w:val="3B482032"/>
    <w:rsid w:val="3B702E61"/>
    <w:rsid w:val="3BBA0580"/>
    <w:rsid w:val="3BECE841"/>
    <w:rsid w:val="3CD016DD"/>
    <w:rsid w:val="3CDE204C"/>
    <w:rsid w:val="3D2F4655"/>
    <w:rsid w:val="3D363C36"/>
    <w:rsid w:val="3D402D06"/>
    <w:rsid w:val="3D4A148F"/>
    <w:rsid w:val="3D855EC2"/>
    <w:rsid w:val="3D954E00"/>
    <w:rsid w:val="3DBD4357"/>
    <w:rsid w:val="3DC254CA"/>
    <w:rsid w:val="3DDC7075"/>
    <w:rsid w:val="3E0C2BE9"/>
    <w:rsid w:val="3E9C3F6D"/>
    <w:rsid w:val="3ECB4852"/>
    <w:rsid w:val="3F2D72BA"/>
    <w:rsid w:val="3F857126"/>
    <w:rsid w:val="3F88629F"/>
    <w:rsid w:val="3F8E7D59"/>
    <w:rsid w:val="3FC66530"/>
    <w:rsid w:val="3FE61943"/>
    <w:rsid w:val="3FF7797D"/>
    <w:rsid w:val="40210BCD"/>
    <w:rsid w:val="403269A7"/>
    <w:rsid w:val="410C362B"/>
    <w:rsid w:val="41F45E6E"/>
    <w:rsid w:val="42005999"/>
    <w:rsid w:val="42497F67"/>
    <w:rsid w:val="42725710"/>
    <w:rsid w:val="42C61D0A"/>
    <w:rsid w:val="42E92239"/>
    <w:rsid w:val="42F16CBA"/>
    <w:rsid w:val="430B7913"/>
    <w:rsid w:val="43840EF7"/>
    <w:rsid w:val="43CD6976"/>
    <w:rsid w:val="43DB1093"/>
    <w:rsid w:val="447A4719"/>
    <w:rsid w:val="447A6AFE"/>
    <w:rsid w:val="44AB315B"/>
    <w:rsid w:val="44BC7116"/>
    <w:rsid w:val="44F22B38"/>
    <w:rsid w:val="4506785B"/>
    <w:rsid w:val="455F7598"/>
    <w:rsid w:val="458539AC"/>
    <w:rsid w:val="459E05CA"/>
    <w:rsid w:val="45A81449"/>
    <w:rsid w:val="45FB4075"/>
    <w:rsid w:val="462705C0"/>
    <w:rsid w:val="46476EB4"/>
    <w:rsid w:val="465542EA"/>
    <w:rsid w:val="46690BD8"/>
    <w:rsid w:val="46973ACE"/>
    <w:rsid w:val="46C91677"/>
    <w:rsid w:val="47347438"/>
    <w:rsid w:val="47E250E6"/>
    <w:rsid w:val="4815482F"/>
    <w:rsid w:val="48691363"/>
    <w:rsid w:val="489B34E7"/>
    <w:rsid w:val="48E46C3C"/>
    <w:rsid w:val="48E6461F"/>
    <w:rsid w:val="48FF0C0B"/>
    <w:rsid w:val="491C4628"/>
    <w:rsid w:val="49F70BF1"/>
    <w:rsid w:val="4A0B0DD3"/>
    <w:rsid w:val="4A11580F"/>
    <w:rsid w:val="4A4F4589"/>
    <w:rsid w:val="4A69564B"/>
    <w:rsid w:val="4ABD5996"/>
    <w:rsid w:val="4AD4683C"/>
    <w:rsid w:val="4ADF590D"/>
    <w:rsid w:val="4B2C0426"/>
    <w:rsid w:val="4B4340EE"/>
    <w:rsid w:val="4B5736F5"/>
    <w:rsid w:val="4B6148D3"/>
    <w:rsid w:val="4B976462"/>
    <w:rsid w:val="4BD9235C"/>
    <w:rsid w:val="4BE551A5"/>
    <w:rsid w:val="4CEE1E37"/>
    <w:rsid w:val="4D16138E"/>
    <w:rsid w:val="4D185106"/>
    <w:rsid w:val="4D3E3BA7"/>
    <w:rsid w:val="4D4C3002"/>
    <w:rsid w:val="4D5611D3"/>
    <w:rsid w:val="4DA30E74"/>
    <w:rsid w:val="4E094A4F"/>
    <w:rsid w:val="4E6C5868"/>
    <w:rsid w:val="4EA74993"/>
    <w:rsid w:val="4ECF5C98"/>
    <w:rsid w:val="4F277882"/>
    <w:rsid w:val="4F7B6AD7"/>
    <w:rsid w:val="4F986C56"/>
    <w:rsid w:val="4FCD730F"/>
    <w:rsid w:val="4FF21C3E"/>
    <w:rsid w:val="503D507A"/>
    <w:rsid w:val="50650E03"/>
    <w:rsid w:val="50744D49"/>
    <w:rsid w:val="507A2AA2"/>
    <w:rsid w:val="507E34D2"/>
    <w:rsid w:val="50AA42C7"/>
    <w:rsid w:val="50F6575E"/>
    <w:rsid w:val="51071719"/>
    <w:rsid w:val="510E0CFA"/>
    <w:rsid w:val="511856D5"/>
    <w:rsid w:val="516E53B8"/>
    <w:rsid w:val="51791EEB"/>
    <w:rsid w:val="518C60C3"/>
    <w:rsid w:val="51F74500"/>
    <w:rsid w:val="51FA74D0"/>
    <w:rsid w:val="524644C3"/>
    <w:rsid w:val="527252B8"/>
    <w:rsid w:val="527E1EAF"/>
    <w:rsid w:val="5281374D"/>
    <w:rsid w:val="52A42F98"/>
    <w:rsid w:val="52AA4A52"/>
    <w:rsid w:val="52D90E94"/>
    <w:rsid w:val="533802B0"/>
    <w:rsid w:val="534D3630"/>
    <w:rsid w:val="53853E62"/>
    <w:rsid w:val="539D3AD1"/>
    <w:rsid w:val="53A21BCD"/>
    <w:rsid w:val="540463E4"/>
    <w:rsid w:val="54134879"/>
    <w:rsid w:val="5455279C"/>
    <w:rsid w:val="550348EE"/>
    <w:rsid w:val="554A09E5"/>
    <w:rsid w:val="55627866"/>
    <w:rsid w:val="558772CD"/>
    <w:rsid w:val="55B01C3C"/>
    <w:rsid w:val="55D83684"/>
    <w:rsid w:val="56242D6E"/>
    <w:rsid w:val="56A95021"/>
    <w:rsid w:val="576A2A02"/>
    <w:rsid w:val="57995095"/>
    <w:rsid w:val="579E7D32"/>
    <w:rsid w:val="57B40C03"/>
    <w:rsid w:val="57BE4AFC"/>
    <w:rsid w:val="582708F3"/>
    <w:rsid w:val="58B24661"/>
    <w:rsid w:val="58E3481A"/>
    <w:rsid w:val="592941F7"/>
    <w:rsid w:val="59943D66"/>
    <w:rsid w:val="59D2488F"/>
    <w:rsid w:val="59E051FD"/>
    <w:rsid w:val="59E6355E"/>
    <w:rsid w:val="59F34F31"/>
    <w:rsid w:val="59FB181F"/>
    <w:rsid w:val="59FD190B"/>
    <w:rsid w:val="5A4B22A0"/>
    <w:rsid w:val="5A587D48"/>
    <w:rsid w:val="5AA60145"/>
    <w:rsid w:val="5AE825BC"/>
    <w:rsid w:val="5B084A0C"/>
    <w:rsid w:val="5B4041A6"/>
    <w:rsid w:val="5B5F2152"/>
    <w:rsid w:val="5B821531"/>
    <w:rsid w:val="5BCD355F"/>
    <w:rsid w:val="5BE670C0"/>
    <w:rsid w:val="5BFF6039"/>
    <w:rsid w:val="5C147BC4"/>
    <w:rsid w:val="5CBA1D36"/>
    <w:rsid w:val="5CC606DB"/>
    <w:rsid w:val="5CD57877"/>
    <w:rsid w:val="5CE71EEB"/>
    <w:rsid w:val="5CEB1EEF"/>
    <w:rsid w:val="5CFF2912"/>
    <w:rsid w:val="5D76A616"/>
    <w:rsid w:val="5D7F20B9"/>
    <w:rsid w:val="5D874346"/>
    <w:rsid w:val="5D8B011D"/>
    <w:rsid w:val="5DA6050C"/>
    <w:rsid w:val="5DAC7D0E"/>
    <w:rsid w:val="5DB317A4"/>
    <w:rsid w:val="5DBD4E13"/>
    <w:rsid w:val="5DC10EA2"/>
    <w:rsid w:val="5DD300E3"/>
    <w:rsid w:val="5E145476"/>
    <w:rsid w:val="5E17574A"/>
    <w:rsid w:val="5E1831B8"/>
    <w:rsid w:val="5E4245CB"/>
    <w:rsid w:val="5E525F9E"/>
    <w:rsid w:val="5EA762EA"/>
    <w:rsid w:val="5EAE1426"/>
    <w:rsid w:val="5ED82947"/>
    <w:rsid w:val="5EDC0D4E"/>
    <w:rsid w:val="5F0E6B4D"/>
    <w:rsid w:val="5F265BE7"/>
    <w:rsid w:val="5F390A26"/>
    <w:rsid w:val="5F555D46"/>
    <w:rsid w:val="5F98B5AF"/>
    <w:rsid w:val="5FEC64BA"/>
    <w:rsid w:val="5FFE8511"/>
    <w:rsid w:val="5FFEACE2"/>
    <w:rsid w:val="600F05EB"/>
    <w:rsid w:val="60252BB1"/>
    <w:rsid w:val="602A4AE3"/>
    <w:rsid w:val="6031230F"/>
    <w:rsid w:val="60600E46"/>
    <w:rsid w:val="608A5EC3"/>
    <w:rsid w:val="60917251"/>
    <w:rsid w:val="609D5BF6"/>
    <w:rsid w:val="60DF7FBD"/>
    <w:rsid w:val="61073070"/>
    <w:rsid w:val="616D381B"/>
    <w:rsid w:val="61B9080E"/>
    <w:rsid w:val="61CE1DDF"/>
    <w:rsid w:val="61DF3FED"/>
    <w:rsid w:val="61E15FB7"/>
    <w:rsid w:val="622A34BA"/>
    <w:rsid w:val="62606CE8"/>
    <w:rsid w:val="627B4304"/>
    <w:rsid w:val="62C878A5"/>
    <w:rsid w:val="62E25FCE"/>
    <w:rsid w:val="63495BC1"/>
    <w:rsid w:val="639F1C85"/>
    <w:rsid w:val="639F57E1"/>
    <w:rsid w:val="63A33B28"/>
    <w:rsid w:val="63AB687C"/>
    <w:rsid w:val="642B176B"/>
    <w:rsid w:val="643EE26D"/>
    <w:rsid w:val="64432611"/>
    <w:rsid w:val="652C579B"/>
    <w:rsid w:val="656019A0"/>
    <w:rsid w:val="65757142"/>
    <w:rsid w:val="65B73F24"/>
    <w:rsid w:val="65CC4888"/>
    <w:rsid w:val="65D06CF7"/>
    <w:rsid w:val="65F242EE"/>
    <w:rsid w:val="65FA31A3"/>
    <w:rsid w:val="66303069"/>
    <w:rsid w:val="666A657B"/>
    <w:rsid w:val="666D7E19"/>
    <w:rsid w:val="66855163"/>
    <w:rsid w:val="66952ECC"/>
    <w:rsid w:val="66B032EF"/>
    <w:rsid w:val="66C0263F"/>
    <w:rsid w:val="66C11F13"/>
    <w:rsid w:val="66EA76BB"/>
    <w:rsid w:val="66F347C2"/>
    <w:rsid w:val="67055FEF"/>
    <w:rsid w:val="670F2C7E"/>
    <w:rsid w:val="671A2A3A"/>
    <w:rsid w:val="67A5218C"/>
    <w:rsid w:val="67D05076"/>
    <w:rsid w:val="67E759A9"/>
    <w:rsid w:val="67EB7247"/>
    <w:rsid w:val="67FF2CF3"/>
    <w:rsid w:val="68376930"/>
    <w:rsid w:val="68DE6DAC"/>
    <w:rsid w:val="68F91E38"/>
    <w:rsid w:val="693B41FE"/>
    <w:rsid w:val="694E2184"/>
    <w:rsid w:val="69836C20"/>
    <w:rsid w:val="69964715"/>
    <w:rsid w:val="699D0A15"/>
    <w:rsid w:val="69B44DB4"/>
    <w:rsid w:val="6A0E7DD9"/>
    <w:rsid w:val="6A2B230C"/>
    <w:rsid w:val="6A2E78BF"/>
    <w:rsid w:val="6A4C294C"/>
    <w:rsid w:val="6AB51D80"/>
    <w:rsid w:val="6ABE0C43"/>
    <w:rsid w:val="6B3158B9"/>
    <w:rsid w:val="6B3453A9"/>
    <w:rsid w:val="6B3931E5"/>
    <w:rsid w:val="6B8C6F93"/>
    <w:rsid w:val="6BA02A3F"/>
    <w:rsid w:val="6C105349"/>
    <w:rsid w:val="6C117498"/>
    <w:rsid w:val="6C1E5A53"/>
    <w:rsid w:val="6C4258A4"/>
    <w:rsid w:val="6C57134F"/>
    <w:rsid w:val="6CCA0AD6"/>
    <w:rsid w:val="6CED3A62"/>
    <w:rsid w:val="6D1A237D"/>
    <w:rsid w:val="6D413DAD"/>
    <w:rsid w:val="6D57712D"/>
    <w:rsid w:val="6D617FAC"/>
    <w:rsid w:val="6D65184A"/>
    <w:rsid w:val="6DB620A5"/>
    <w:rsid w:val="6DC01176"/>
    <w:rsid w:val="6E4C7188"/>
    <w:rsid w:val="6E843F52"/>
    <w:rsid w:val="6EBF7C57"/>
    <w:rsid w:val="6ED50C51"/>
    <w:rsid w:val="6F1C6EED"/>
    <w:rsid w:val="6F5C41AC"/>
    <w:rsid w:val="6F6F69B0"/>
    <w:rsid w:val="6F9D176F"/>
    <w:rsid w:val="6FAF6C78"/>
    <w:rsid w:val="6FB865A9"/>
    <w:rsid w:val="6FE37A4A"/>
    <w:rsid w:val="70252DE9"/>
    <w:rsid w:val="704B11CB"/>
    <w:rsid w:val="70820965"/>
    <w:rsid w:val="70AE175A"/>
    <w:rsid w:val="70B34FC2"/>
    <w:rsid w:val="70CD6084"/>
    <w:rsid w:val="70DE2C33"/>
    <w:rsid w:val="71121CE9"/>
    <w:rsid w:val="71184BB8"/>
    <w:rsid w:val="715440AF"/>
    <w:rsid w:val="716167CC"/>
    <w:rsid w:val="7184252D"/>
    <w:rsid w:val="718A7AD1"/>
    <w:rsid w:val="71A77681"/>
    <w:rsid w:val="71B90B9A"/>
    <w:rsid w:val="71C70D25"/>
    <w:rsid w:val="726E73F3"/>
    <w:rsid w:val="72870057"/>
    <w:rsid w:val="72A44BC2"/>
    <w:rsid w:val="72DB6521"/>
    <w:rsid w:val="73027B3B"/>
    <w:rsid w:val="730D4F58"/>
    <w:rsid w:val="7317C656"/>
    <w:rsid w:val="732E26DE"/>
    <w:rsid w:val="73412411"/>
    <w:rsid w:val="734ED73F"/>
    <w:rsid w:val="7352461E"/>
    <w:rsid w:val="737D4043"/>
    <w:rsid w:val="739015EB"/>
    <w:rsid w:val="73C82B32"/>
    <w:rsid w:val="73D2575F"/>
    <w:rsid w:val="73E01C2A"/>
    <w:rsid w:val="73F94DAE"/>
    <w:rsid w:val="7400407A"/>
    <w:rsid w:val="74220495"/>
    <w:rsid w:val="747D1B6F"/>
    <w:rsid w:val="74856C75"/>
    <w:rsid w:val="749E5641"/>
    <w:rsid w:val="74FF07D6"/>
    <w:rsid w:val="755521A4"/>
    <w:rsid w:val="75552411"/>
    <w:rsid w:val="75BF3AC1"/>
    <w:rsid w:val="75F419BD"/>
    <w:rsid w:val="75FE45EA"/>
    <w:rsid w:val="76271066"/>
    <w:rsid w:val="76612DCA"/>
    <w:rsid w:val="76BF5F6B"/>
    <w:rsid w:val="76FA74A7"/>
    <w:rsid w:val="76FB4FCD"/>
    <w:rsid w:val="77170059"/>
    <w:rsid w:val="773E79B3"/>
    <w:rsid w:val="77461D32"/>
    <w:rsid w:val="775C3CBE"/>
    <w:rsid w:val="77D31AA6"/>
    <w:rsid w:val="77FD8BE9"/>
    <w:rsid w:val="78000AED"/>
    <w:rsid w:val="78036054"/>
    <w:rsid w:val="78236589"/>
    <w:rsid w:val="78553F81"/>
    <w:rsid w:val="78632E2A"/>
    <w:rsid w:val="78774B27"/>
    <w:rsid w:val="792E797A"/>
    <w:rsid w:val="794748C6"/>
    <w:rsid w:val="796450AB"/>
    <w:rsid w:val="79A5662B"/>
    <w:rsid w:val="79A9BD3F"/>
    <w:rsid w:val="79C21DD2"/>
    <w:rsid w:val="79F503F9"/>
    <w:rsid w:val="7A8C48BA"/>
    <w:rsid w:val="7A8C5A03"/>
    <w:rsid w:val="7AC5270E"/>
    <w:rsid w:val="7AE00762"/>
    <w:rsid w:val="7B0A3A31"/>
    <w:rsid w:val="7B0C59FB"/>
    <w:rsid w:val="7B776F12"/>
    <w:rsid w:val="7BCD518A"/>
    <w:rsid w:val="7BFFFDD0"/>
    <w:rsid w:val="7C0E7550"/>
    <w:rsid w:val="7C30396B"/>
    <w:rsid w:val="7C336E5F"/>
    <w:rsid w:val="7C4F2043"/>
    <w:rsid w:val="7C8D4919"/>
    <w:rsid w:val="7D4A0A5C"/>
    <w:rsid w:val="7D6F3CF1"/>
    <w:rsid w:val="7D7A5F86"/>
    <w:rsid w:val="7D893333"/>
    <w:rsid w:val="7DBA173E"/>
    <w:rsid w:val="7DC652F5"/>
    <w:rsid w:val="7DD50326"/>
    <w:rsid w:val="7DDD542C"/>
    <w:rsid w:val="7E4B683A"/>
    <w:rsid w:val="7E5E656D"/>
    <w:rsid w:val="7E81225C"/>
    <w:rsid w:val="7E8F2BCB"/>
    <w:rsid w:val="7EC00FD6"/>
    <w:rsid w:val="7EC11C74"/>
    <w:rsid w:val="7EE66563"/>
    <w:rsid w:val="7EFB3DBC"/>
    <w:rsid w:val="7F127358"/>
    <w:rsid w:val="7F37BB4E"/>
    <w:rsid w:val="7F5636E8"/>
    <w:rsid w:val="7FEF918E"/>
    <w:rsid w:val="7FF4FB6F"/>
    <w:rsid w:val="7FF7FF27"/>
    <w:rsid w:val="7FFDF714"/>
    <w:rsid w:val="7FFF168A"/>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31</Pages>
  <Words>13801</Words>
  <Characters>14393</Characters>
  <Lines>58</Lines>
  <Paragraphs>16</Paragraphs>
  <TotalTime>34</TotalTime>
  <ScaleCrop>false</ScaleCrop>
  <LinksUpToDate>false</LinksUpToDate>
  <CharactersWithSpaces>14448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T</cp:lastModifiedBy>
  <dcterms:modified xsi:type="dcterms:W3CDTF">2025-09-19T09:37:37Z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858C553464C8457684960441EC299826_13</vt:lpwstr>
  </property>
  <property fmtid="{D5CDD505-2E9C-101B-9397-08002B2CF9AE}" pid="4" name="KSOTemplateDocerSaveRecord">
    <vt:lpwstr>eyJoZGlkIjoiZTA5ZjRmYmUwZDBlOTg4NmNkMmE5MmFiNTdjZGMwZDUiLCJ1c2VySWQiOiIxNDE0NTMxNzI1In0=</vt:lpwstr>
  </property>
</Properties>
</file>