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F282E">
      <w:pPr>
        <w:spacing w:line="540" w:lineRule="exact"/>
        <w:jc w:val="center"/>
        <w:rPr>
          <w:rFonts w:hint="eastAsia" w:eastAsia="方正小标宋_GBK" w:cs="Times New Roman"/>
          <w:kern w:val="0"/>
          <w:sz w:val="48"/>
          <w:szCs w:val="48"/>
          <w:highlight w:val="none"/>
          <w:lang w:eastAsia="zh-CN"/>
        </w:rPr>
      </w:pPr>
    </w:p>
    <w:p w14:paraId="38C47B6E">
      <w:pPr>
        <w:spacing w:line="540" w:lineRule="exact"/>
        <w:jc w:val="center"/>
        <w:rPr>
          <w:rFonts w:hint="eastAsia" w:eastAsia="方正小标宋_GBK" w:cs="Times New Roman"/>
          <w:kern w:val="0"/>
          <w:sz w:val="48"/>
          <w:szCs w:val="48"/>
          <w:highlight w:val="none"/>
          <w:lang w:eastAsia="zh-CN"/>
        </w:rPr>
      </w:pPr>
    </w:p>
    <w:p w14:paraId="6B070876">
      <w:pPr>
        <w:spacing w:line="540" w:lineRule="exact"/>
        <w:jc w:val="center"/>
        <w:rPr>
          <w:rFonts w:hint="default" w:ascii="Times New Roman" w:hAnsi="Times New Roman" w:eastAsia="方正小标宋_GBK" w:cs="Times New Roman"/>
          <w:kern w:val="0"/>
          <w:sz w:val="48"/>
          <w:szCs w:val="48"/>
          <w:highlight w:val="none"/>
        </w:rPr>
      </w:pPr>
      <w:bookmarkStart w:id="8" w:name="_GoBack"/>
      <w:r>
        <w:rPr>
          <w:rFonts w:hint="eastAsia" w:eastAsia="方正小标宋_GBK" w:cs="Times New Roman"/>
          <w:kern w:val="0"/>
          <w:sz w:val="48"/>
          <w:szCs w:val="48"/>
          <w:highlight w:val="none"/>
          <w:lang w:eastAsia="zh-CN"/>
        </w:rPr>
        <w:t>清洁取暖</w:t>
      </w:r>
      <w:r>
        <w:rPr>
          <w:rFonts w:hint="default" w:ascii="Times New Roman" w:hAnsi="Times New Roman" w:eastAsia="方正小标宋_GBK" w:cs="Times New Roman"/>
          <w:kern w:val="0"/>
          <w:sz w:val="48"/>
          <w:szCs w:val="48"/>
          <w:highlight w:val="none"/>
        </w:rPr>
        <w:t>项目支出绩效评价</w:t>
      </w:r>
    </w:p>
    <w:p w14:paraId="0163E320">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bookmarkEnd w:id="8"/>
    <w:p w14:paraId="34D61DA9">
      <w:pPr>
        <w:spacing w:line="540" w:lineRule="exact"/>
        <w:jc w:val="center"/>
        <w:rPr>
          <w:rFonts w:hint="default" w:ascii="Times New Roman" w:hAnsi="Times New Roman" w:eastAsia="华文中宋" w:cs="Times New Roman"/>
          <w:b/>
          <w:kern w:val="0"/>
          <w:sz w:val="52"/>
          <w:szCs w:val="52"/>
          <w:highlight w:val="none"/>
        </w:rPr>
      </w:pPr>
    </w:p>
    <w:p w14:paraId="4FAF794C">
      <w:pPr>
        <w:pStyle w:val="2"/>
        <w:bidi w:val="0"/>
        <w:ind w:firstLine="2650" w:firstLineChars="600"/>
        <w:jc w:val="both"/>
        <w:rPr>
          <w:rFonts w:hint="default" w:ascii="Times New Roman" w:hAnsi="Times New Roman" w:eastAsia="仿宋_GB2312" w:cs="Times New Roman"/>
          <w:kern w:val="0"/>
          <w:sz w:val="36"/>
          <w:szCs w:val="36"/>
          <w:highlight w:val="none"/>
        </w:rPr>
      </w:pPr>
      <w:r>
        <w:rPr>
          <w:rFonts w:hint="default"/>
          <w:highlight w:val="none"/>
        </w:rPr>
        <w:t>（202</w:t>
      </w:r>
      <w:r>
        <w:rPr>
          <w:rFonts w:hint="default"/>
          <w:highlight w:val="none"/>
          <w:lang w:val="en-US" w:eastAsia="zh-CN"/>
        </w:rPr>
        <w:t>4</w:t>
      </w:r>
      <w:r>
        <w:rPr>
          <w:rFonts w:hint="default"/>
          <w:highlight w:val="none"/>
        </w:rPr>
        <w:t>年度）</w:t>
      </w:r>
    </w:p>
    <w:p w14:paraId="5E35D200">
      <w:pPr>
        <w:spacing w:line="700" w:lineRule="exact"/>
        <w:jc w:val="left"/>
        <w:rPr>
          <w:rFonts w:hint="default" w:ascii="Times New Roman" w:hAnsi="Times New Roman" w:eastAsia="仿宋_GB2312" w:cs="Times New Roman"/>
          <w:kern w:val="0"/>
          <w:sz w:val="36"/>
          <w:szCs w:val="36"/>
          <w:highlight w:val="none"/>
        </w:rPr>
      </w:pPr>
    </w:p>
    <w:p w14:paraId="4F72B7E5">
      <w:pPr>
        <w:spacing w:line="700" w:lineRule="exact"/>
        <w:jc w:val="left"/>
        <w:rPr>
          <w:rFonts w:hint="default" w:ascii="Times New Roman" w:hAnsi="Times New Roman" w:eastAsia="仿宋_GB2312" w:cs="Times New Roman"/>
          <w:kern w:val="0"/>
          <w:sz w:val="36"/>
          <w:szCs w:val="36"/>
          <w:highlight w:val="none"/>
        </w:rPr>
      </w:pPr>
    </w:p>
    <w:p w14:paraId="54C3F4BB">
      <w:pPr>
        <w:spacing w:line="700" w:lineRule="exact"/>
        <w:jc w:val="left"/>
        <w:rPr>
          <w:rFonts w:hint="default" w:ascii="Times New Roman" w:hAnsi="Times New Roman" w:eastAsia="仿宋_GB2312" w:cs="Times New Roman"/>
          <w:kern w:val="0"/>
          <w:sz w:val="36"/>
          <w:szCs w:val="36"/>
          <w:highlight w:val="none"/>
        </w:rPr>
      </w:pPr>
    </w:p>
    <w:p w14:paraId="429753B7">
      <w:pPr>
        <w:spacing w:line="700" w:lineRule="exact"/>
        <w:jc w:val="left"/>
        <w:rPr>
          <w:rFonts w:hint="default" w:ascii="Times New Roman" w:hAnsi="Times New Roman" w:eastAsia="仿宋_GB2312" w:cs="Times New Roman"/>
          <w:kern w:val="0"/>
          <w:sz w:val="36"/>
          <w:szCs w:val="36"/>
          <w:highlight w:val="none"/>
        </w:rPr>
      </w:pPr>
    </w:p>
    <w:p w14:paraId="0308FC52">
      <w:pPr>
        <w:spacing w:line="700" w:lineRule="exact"/>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项目名称：</w:t>
      </w:r>
      <w:r>
        <w:rPr>
          <w:rFonts w:hint="default" w:ascii="Times New Roman" w:hAnsi="Times New Roman" w:eastAsia="仿宋_GB2312" w:cs="Times New Roman"/>
          <w:kern w:val="0"/>
          <w:sz w:val="36"/>
          <w:szCs w:val="36"/>
          <w:highlight w:val="none"/>
          <w:lang w:val="en-US" w:eastAsia="zh-CN"/>
        </w:rPr>
        <w:t>2024年昌吉州冬季清洁取暖项目</w:t>
      </w:r>
    </w:p>
    <w:p w14:paraId="0CC7475F">
      <w:pPr>
        <w:spacing w:line="700" w:lineRule="exact"/>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eastAsia="zh-CN"/>
        </w:rPr>
        <w:t>奇台县住房和城乡建设局</w:t>
      </w:r>
    </w:p>
    <w:p w14:paraId="6BEEBB87">
      <w:pPr>
        <w:spacing w:line="700" w:lineRule="exact"/>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eastAsia="zh-CN"/>
        </w:rPr>
        <w:t>奇台县住房和城乡建设局</w:t>
      </w:r>
    </w:p>
    <w:p w14:paraId="33BDC121">
      <w:pPr>
        <w:spacing w:line="700" w:lineRule="exact"/>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李泉志</w:t>
      </w:r>
    </w:p>
    <w:p w14:paraId="40E07E72">
      <w:pPr>
        <w:spacing w:line="700" w:lineRule="exact"/>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27</w:t>
      </w:r>
      <w:r>
        <w:rPr>
          <w:rFonts w:hint="default" w:ascii="Times New Roman" w:hAnsi="Times New Roman" w:eastAsia="仿宋_GB2312" w:cs="Times New Roman"/>
          <w:kern w:val="0"/>
          <w:sz w:val="36"/>
          <w:szCs w:val="36"/>
          <w:highlight w:val="none"/>
        </w:rPr>
        <w:t>日</w:t>
      </w:r>
    </w:p>
    <w:p w14:paraId="5FCDD124">
      <w:pPr>
        <w:spacing w:line="540" w:lineRule="exact"/>
        <w:jc w:val="center"/>
        <w:rPr>
          <w:rFonts w:hint="default" w:ascii="Times New Roman" w:hAnsi="Times New Roman" w:eastAsia="仿宋_GB2312" w:cs="Times New Roman"/>
          <w:kern w:val="0"/>
          <w:sz w:val="30"/>
          <w:szCs w:val="30"/>
          <w:highlight w:val="none"/>
        </w:rPr>
      </w:pPr>
    </w:p>
    <w:p w14:paraId="21A60FEF">
      <w:pPr>
        <w:spacing w:line="540" w:lineRule="exact"/>
        <w:jc w:val="center"/>
        <w:rPr>
          <w:rFonts w:hint="default" w:ascii="Times New Roman" w:hAnsi="Times New Roman" w:eastAsia="仿宋_GB2312" w:cs="Times New Roman"/>
          <w:kern w:val="0"/>
          <w:sz w:val="30"/>
          <w:szCs w:val="30"/>
          <w:highlight w:val="none"/>
        </w:rPr>
      </w:pPr>
    </w:p>
    <w:p w14:paraId="02FC6BAA">
      <w:pPr>
        <w:spacing w:line="540" w:lineRule="exact"/>
        <w:jc w:val="center"/>
        <w:rPr>
          <w:rFonts w:hint="default" w:ascii="Times New Roman" w:hAnsi="Times New Roman" w:eastAsia="仿宋_GB2312" w:cs="Times New Roman"/>
          <w:kern w:val="0"/>
          <w:sz w:val="30"/>
          <w:szCs w:val="30"/>
          <w:highlight w:val="none"/>
        </w:rPr>
      </w:pPr>
    </w:p>
    <w:p w14:paraId="10E07A56">
      <w:pPr>
        <w:spacing w:line="540" w:lineRule="exact"/>
        <w:jc w:val="center"/>
        <w:rPr>
          <w:rFonts w:hint="default" w:ascii="Times New Roman" w:hAnsi="Times New Roman" w:eastAsia="仿宋_GB2312" w:cs="Times New Roman"/>
          <w:kern w:val="0"/>
          <w:sz w:val="30"/>
          <w:szCs w:val="30"/>
          <w:highlight w:val="none"/>
        </w:rPr>
      </w:pPr>
    </w:p>
    <w:p w14:paraId="2B1A82F2">
      <w:pPr>
        <w:spacing w:line="540" w:lineRule="exact"/>
        <w:jc w:val="center"/>
        <w:rPr>
          <w:rFonts w:hint="default" w:ascii="Times New Roman" w:hAnsi="Times New Roman" w:eastAsia="仿宋_GB2312" w:cs="Times New Roman"/>
          <w:kern w:val="0"/>
          <w:sz w:val="30"/>
          <w:szCs w:val="30"/>
          <w:highlight w:val="none"/>
        </w:rPr>
      </w:pPr>
    </w:p>
    <w:p w14:paraId="6919F0D9">
      <w:pPr>
        <w:rPr>
          <w:highlight w:val="none"/>
        </w:rPr>
      </w:pPr>
    </w:p>
    <w:p w14:paraId="763F554E">
      <w:pPr>
        <w:rPr>
          <w:highlight w:val="none"/>
        </w:rPr>
      </w:pPr>
    </w:p>
    <w:p w14:paraId="14E9DCB7">
      <w:pPr>
        <w:numPr>
          <w:ilvl w:val="0"/>
          <w:numId w:val="1"/>
        </w:numPr>
        <w:spacing w:line="560" w:lineRule="exact"/>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基本情况</w:t>
      </w:r>
    </w:p>
    <w:p w14:paraId="0ADAACDC">
      <w:pPr>
        <w:numPr>
          <w:ilvl w:val="0"/>
          <w:numId w:val="0"/>
        </w:numPr>
        <w:spacing w:line="560" w:lineRule="exact"/>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28853177">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2074BC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深入贯彻落实党的十九大会议精神，牢固树立“创新、协调、绿色、开放、共享 ”的发展理念，把实施农村温暖工程作为提升农民生活水平、 开展美丽乡村建设、根据《昌吉州冬季清洁取暖项目实施方案（2022-2024）》、《昌吉州冬季清洁取暖项目财政专项资金补助及申报验收办法（试行），对昌州财建﹝2024）17号关于下达2024年昌吉州冬季清洁取暖项目补助资金的通知对资金进行全过程监督，为进一步降低大气污染，改善农村人居环境，提高农牧民的生活质量，促进乡村振兴发展。</w:t>
      </w:r>
    </w:p>
    <w:p w14:paraId="0CFFB4FD">
      <w:pPr>
        <w:pStyle w:val="8"/>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4BD11F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昌吉州冬季清洁取暖项目实施方案（2022-2024）》、《昌吉州冬季清洁取暖项目财政专项资金补助及申报验收办法（试行）》对奇台县14个乡镇已经实施清洁取暖改造6100户农户进行补助资金发放，根据补助办法按照实际发生金额乡镇验收合格后进行据实补贴，进行建筑节能改造（外墙保温）改造，完成后进一步降低大气污染，改善农村人居环境，提高农牧民的生活质量，促进乡村振兴发展。按时足额发放奇台县农村地区清洁取暖改造农户补助资金5501万元，按时支付项目资金2272万元，在2025年5月完成4个清洁取暖项目的实施。</w:t>
      </w:r>
    </w:p>
    <w:p w14:paraId="40CCAD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p>
    <w:p w14:paraId="66F4BC8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b/>
          <w:bCs/>
          <w:sz w:val="32"/>
          <w:szCs w:val="32"/>
          <w:highlight w:val="none"/>
          <w:lang w:val="en-US" w:eastAsia="zh-CN"/>
        </w:rPr>
        <w:t>3.</w:t>
      </w:r>
      <w:r>
        <w:rPr>
          <w:rFonts w:hint="default" w:ascii="Times New Roman" w:hAnsi="Times New Roman" w:eastAsia="仿宋_GB2312" w:cs="Times New Roman"/>
          <w:b/>
          <w:bCs/>
          <w:sz w:val="32"/>
          <w:szCs w:val="32"/>
          <w:highlight w:val="none"/>
          <w:lang w:val="en-US" w:eastAsia="zh-CN"/>
        </w:rPr>
        <w:t>项目实施情况</w:t>
      </w:r>
      <w:r>
        <w:rPr>
          <w:rFonts w:hint="eastAsia"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完成2022年-2023年6100户清洁取暖补助资金发放完成4668.55万元，完成项目资金支付2087.8万元，目前该项目还未完工，处于项目实施阶段，该项目还未进行项目全部的竣工验收。</w:t>
      </w:r>
    </w:p>
    <w:p w14:paraId="644D3104">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67808A5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（1）资金投入情况</w:t>
      </w:r>
    </w:p>
    <w:p w14:paraId="477C2D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7773</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7773</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p>
    <w:p w14:paraId="3040C29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（2）资金使用情况</w:t>
      </w:r>
    </w:p>
    <w:p w14:paraId="4DFD68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7773</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7773</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ascii="Times New Roman" w:hAnsi="Times New Roman" w:eastAsia="仿宋_GB2312" w:cs="Times New Roman"/>
          <w:sz w:val="32"/>
          <w:szCs w:val="32"/>
          <w:highlight w:val="none"/>
          <w:lang w:val="en-US" w:eastAsia="zh-CN"/>
        </w:rPr>
        <w:t>6756.35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86.92</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，主要用于：2022年-2023年</w:t>
      </w:r>
      <w:r>
        <w:rPr>
          <w:rFonts w:hint="eastAsia" w:ascii="Times New Roman" w:hAnsi="Times New Roman" w:eastAsia="仿宋_GB2312" w:cs="Times New Roman"/>
          <w:sz w:val="32"/>
          <w:szCs w:val="32"/>
          <w:highlight w:val="none"/>
          <w:lang w:val="en-US" w:eastAsia="zh-CN"/>
        </w:rPr>
        <w:t>农</w:t>
      </w:r>
      <w:r>
        <w:rPr>
          <w:rFonts w:hint="default" w:ascii="Times New Roman" w:hAnsi="Times New Roman" w:eastAsia="仿宋_GB2312" w:cs="Times New Roman"/>
          <w:sz w:val="32"/>
          <w:szCs w:val="32"/>
          <w:highlight w:val="none"/>
          <w:lang w:val="en-US" w:eastAsia="zh-CN"/>
        </w:rPr>
        <w:t>户清洁取暖补助资金。</w:t>
      </w:r>
    </w:p>
    <w:p w14:paraId="387A06E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（二）项目绩效目标</w:t>
      </w:r>
    </w:p>
    <w:p w14:paraId="7BE2BF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以清洁热化为目标，保障群众温暖果冻，替代燃煤取暖，完成2022年-2023年改造任务进行补助，并对已完成的清洁取暖项目支付进度款。</w:t>
      </w:r>
    </w:p>
    <w:p w14:paraId="5583F5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2.阶段性目标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奇台县14个乡镇已经实施清洁取暖改造6100户农户进行补助资金发放，根据补助办法按照实际发生金额乡镇验收合格后进行据实补贴，进行建筑节能改造（外墙保温）改造，</w:t>
      </w:r>
      <w:r>
        <w:rPr>
          <w:rFonts w:hint="eastAsia" w:ascii="Times New Roman" w:hAnsi="Times New Roman" w:eastAsia="仿宋_GB2312" w:cs="Times New Roman"/>
          <w:sz w:val="32"/>
          <w:szCs w:val="32"/>
          <w:highlight w:val="none"/>
          <w:lang w:val="en-US" w:eastAsia="zh-CN"/>
        </w:rPr>
        <w:t>纳入补贴范围，对补贴的发放过程全过程实施监督，</w:t>
      </w:r>
      <w:r>
        <w:rPr>
          <w:rFonts w:hint="default" w:ascii="Times New Roman" w:hAnsi="Times New Roman" w:eastAsia="仿宋_GB2312" w:cs="Times New Roman"/>
          <w:sz w:val="32"/>
          <w:szCs w:val="32"/>
          <w:highlight w:val="none"/>
          <w:lang w:val="en-US" w:eastAsia="zh-CN"/>
        </w:rPr>
        <w:t>在2025年5月完成4个清洁取暖项目的实施</w:t>
      </w:r>
      <w:r>
        <w:rPr>
          <w:rFonts w:hint="eastAsia" w:ascii="Times New Roman" w:hAnsi="Times New Roman" w:eastAsia="仿宋_GB2312" w:cs="Times New Roman"/>
          <w:sz w:val="32"/>
          <w:szCs w:val="32"/>
          <w:highlight w:val="none"/>
          <w:lang w:val="en-US" w:eastAsia="zh-CN"/>
        </w:rPr>
        <w:t>，并按照工程进度按时支付工程款，使煤改电建设有章可循，加强电网改造建设全过程的监督管理，确保电网设计和施工要求得到落实，对不符合电网建设标准的建设行为按照有关规定严格竣工验收。</w:t>
      </w:r>
    </w:p>
    <w:p w14:paraId="0C47750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二、绩效评价工作开展情况</w:t>
      </w:r>
    </w:p>
    <w:p w14:paraId="7ACB264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（一）绩效评价目的、对象和范围</w:t>
      </w:r>
    </w:p>
    <w:p w14:paraId="20786812">
      <w:pPr>
        <w:pStyle w:val="8"/>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57CD7A9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w:t>
      </w:r>
      <w:r>
        <w:rPr>
          <w:rFonts w:hint="eastAsia" w:eastAsia="仿宋_GB2312" w:cs="Times New Roman"/>
          <w:sz w:val="32"/>
          <w:szCs w:val="32"/>
          <w:highlight w:val="none"/>
          <w:lang w:val="en-US" w:eastAsia="zh-CN"/>
        </w:rPr>
        <w:t>律法</w:t>
      </w:r>
      <w:r>
        <w:rPr>
          <w:rFonts w:hint="default" w:ascii="Times New Roman" w:hAnsi="Times New Roman" w:eastAsia="仿宋_GB2312" w:cs="Times New Roman"/>
          <w:sz w:val="32"/>
          <w:szCs w:val="32"/>
          <w:highlight w:val="none"/>
          <w:lang w:val="en-US" w:eastAsia="zh-CN"/>
        </w:rPr>
        <w:t>规与标准，确保评价内容的准确性。报告涵盖了项目从预算编制、执行到完成的全过程，对项目的各项绩效指标进行了梳理与评估。</w:t>
      </w:r>
    </w:p>
    <w:p w14:paraId="6B86B09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效益等多个维度，力求全方位反映项目的绩效状况。同时，对于每个指标的评价标准和数据来源均进行了明确说明，确保评价结果的客观性和可追溯性。</w:t>
      </w:r>
    </w:p>
    <w:p w14:paraId="737B43B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w:t>
      </w:r>
      <w:r>
        <w:rPr>
          <w:rFonts w:hint="eastAsia" w:eastAsia="仿宋_GB2312" w:cs="Times New Roman"/>
          <w:sz w:val="32"/>
          <w:szCs w:val="32"/>
          <w:highlight w:val="none"/>
          <w:lang w:val="en-US" w:eastAsia="zh-CN"/>
        </w:rPr>
        <w:t>查、资料查阅、监测</w:t>
      </w:r>
      <w:r>
        <w:rPr>
          <w:rFonts w:hint="default" w:ascii="Times New Roman" w:hAnsi="Times New Roman" w:eastAsia="仿宋_GB2312" w:cs="Times New Roman"/>
          <w:sz w:val="32"/>
          <w:szCs w:val="32"/>
          <w:highlight w:val="none"/>
          <w:lang w:val="en-US" w:eastAsia="zh-CN"/>
        </w:rPr>
        <w:t>数据</w:t>
      </w:r>
      <w:r>
        <w:rPr>
          <w:rFonts w:hint="eastAsia" w:eastAsia="仿宋_GB2312" w:cs="Times New Roman"/>
          <w:sz w:val="32"/>
          <w:szCs w:val="32"/>
          <w:highlight w:val="none"/>
          <w:lang w:val="en-US" w:eastAsia="zh-CN"/>
        </w:rPr>
        <w:t>查询</w:t>
      </w:r>
      <w:r>
        <w:rPr>
          <w:rFonts w:hint="default" w:ascii="Times New Roman" w:hAnsi="Times New Roman" w:eastAsia="仿宋_GB2312" w:cs="Times New Roman"/>
          <w:sz w:val="32"/>
          <w:szCs w:val="32"/>
          <w:highlight w:val="none"/>
          <w:lang w:val="en-US" w:eastAsia="zh-CN"/>
        </w:rPr>
        <w:t>等，广泛收集了与项目相关的各类数据，保证了评价数据的真实性和有效性。</w:t>
      </w:r>
    </w:p>
    <w:p w14:paraId="09D8FC4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BA41B82">
      <w:pPr>
        <w:pStyle w:val="8"/>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2FF2C95B">
      <w:pPr>
        <w:pStyle w:val="8"/>
        <w:spacing w:line="560" w:lineRule="exact"/>
        <w:ind w:firstLine="640" w:firstLineChars="200"/>
        <w:jc w:val="left"/>
        <w:outlineLvl w:val="9"/>
        <w:rPr>
          <w:highlight w:val="none"/>
        </w:rPr>
      </w:pPr>
      <w:r>
        <w:rPr>
          <w:rFonts w:hint="eastAsia" w:ascii="Times New Roman" w:hAnsi="Times New Roman" w:eastAsia="仿宋_GB2312"/>
          <w:b w:val="0"/>
          <w:bCs w:val="0"/>
          <w:highlight w:val="none"/>
          <w:lang w:val="en-US" w:eastAsia="zh-CN"/>
        </w:rPr>
        <w:t>2.</w:t>
      </w:r>
      <w:r>
        <w:rPr>
          <w:rFonts w:ascii="Times New Roman" w:hAnsi="Times New Roman" w:eastAsia="仿宋_GB2312"/>
          <w:b w:val="0"/>
          <w:bCs w:val="0"/>
          <w:highlight w:val="none"/>
        </w:rPr>
        <w:t>绩效评价的目的</w:t>
      </w:r>
    </w:p>
    <w:p w14:paraId="00EF10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（1）有利于农村人居环境改善和美丽乡村建设煤改电清洁取暖后， 改善了大气环境及城市卫生面貌，减少了煤、灰渣和液化石油气的市内运输，改善了城市交通运输状况，有利于农村人居环境改善和美丽乡村建设。</w:t>
      </w:r>
    </w:p>
    <w:p w14:paraId="7023DA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bookmarkStart w:id="0" w:name="_Toc29193"/>
      <w:bookmarkStart w:id="1" w:name="_Toc28472"/>
      <w:r>
        <w:rPr>
          <w:rFonts w:hint="default" w:ascii="Times New Roman" w:hAnsi="Times New Roman" w:eastAsia="仿宋_GB2312" w:cs="Times New Roman"/>
          <w:sz w:val="32"/>
          <w:szCs w:val="32"/>
          <w:highlight w:val="none"/>
          <w:lang w:val="en-US" w:eastAsia="zh-CN"/>
        </w:rPr>
        <w:t>（2）加速能源结构调整</w:t>
      </w:r>
      <w:bookmarkEnd w:id="0"/>
      <w:bookmarkEnd w:id="1"/>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通过煤改电规划项目的实施将逐步改善以煤为主的能源消费结构，提高清洁能源比例，加速农村的能源结构调整步伐。</w:t>
      </w:r>
    </w:p>
    <w:p w14:paraId="2B0EB8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bookmarkStart w:id="2" w:name="_Toc26697"/>
      <w:bookmarkStart w:id="3" w:name="_Toc21193"/>
      <w:r>
        <w:rPr>
          <w:rFonts w:hint="default" w:ascii="Times New Roman" w:hAnsi="Times New Roman" w:eastAsia="仿宋_GB2312" w:cs="Times New Roman"/>
          <w:sz w:val="32"/>
          <w:szCs w:val="32"/>
          <w:highlight w:val="none"/>
          <w:lang w:val="en-US" w:eastAsia="zh-CN"/>
        </w:rPr>
        <w:t>（3）促进社会事业的发展</w:t>
      </w:r>
      <w:bookmarkEnd w:id="2"/>
      <w:bookmarkEnd w:id="3"/>
      <w:r>
        <w:rPr>
          <w:rFonts w:hint="default" w:ascii="Times New Roman" w:hAnsi="Times New Roman" w:eastAsia="仿宋_GB2312" w:cs="Times New Roman"/>
          <w:sz w:val="32"/>
          <w:szCs w:val="32"/>
          <w:highlight w:val="none"/>
          <w:lang w:val="en-US" w:eastAsia="zh-CN"/>
        </w:rPr>
        <w:t>煤改电规划项目投资规模较大，无疑将带动建筑业、建材业、商业 等相关产业的发展，加快城市基础设施的建设，促进社会各项事业的全面发展。</w:t>
      </w:r>
    </w:p>
    <w:p w14:paraId="389DB1E9">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45F590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265467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清洁取暖项目实施过程制定科学具有可操作性的实施计划，全面把控项目实施期间进度，严格控制成本开支、由第三方参与材料检验，邀请专业监理对施工质量的管控，以及群众满意度综合考量，通过问卷调查、现场走访、入户访谈、会商面谈、会议记录等广泛收集项目实施过程线路敷设成本核算和群众意见的征集。对项目后期实施奠定数据基础。</w:t>
      </w:r>
    </w:p>
    <w:p w14:paraId="392AEF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强化</w:t>
      </w:r>
      <w:r>
        <w:rPr>
          <w:rFonts w:hint="eastAsia" w:ascii="Times New Roman" w:hAnsi="Times New Roman" w:eastAsia="仿宋_GB2312" w:cs="Times New Roman"/>
          <w:sz w:val="32"/>
          <w:szCs w:val="32"/>
          <w:highlight w:val="none"/>
        </w:rPr>
        <w:t>组织力量，加密工作调度。</w:t>
      </w:r>
      <w:bookmarkStart w:id="4" w:name="OLE_LINK1"/>
      <w:r>
        <w:rPr>
          <w:rFonts w:hint="eastAsia" w:ascii="仿宋_GB2312" w:hAnsi="仿宋_GB2312" w:eastAsia="仿宋_GB2312" w:cs="仿宋_GB2312"/>
          <w:b w:val="0"/>
          <w:bCs w:val="0"/>
          <w:kern w:val="2"/>
          <w:sz w:val="32"/>
          <w:szCs w:val="32"/>
          <w:highlight w:val="none"/>
          <w:lang w:val="en-US" w:eastAsia="zh-CN" w:bidi="ar-SA"/>
        </w:rPr>
        <w:t>充分发挥清</w:t>
      </w:r>
      <w:r>
        <w:rPr>
          <w:rFonts w:hint="eastAsia" w:ascii="仿宋_GB2312" w:hAnsi="仿宋_GB2312" w:eastAsia="仿宋_GB2312" w:cs="仿宋_GB2312"/>
          <w:sz w:val="32"/>
          <w:szCs w:val="32"/>
          <w:highlight w:val="none"/>
        </w:rPr>
        <w:t>洁取暖工作攻坚指挥部</w:t>
      </w:r>
      <w:bookmarkEnd w:id="4"/>
      <w:r>
        <w:rPr>
          <w:rFonts w:hint="eastAsia" w:ascii="仿宋_GB2312" w:hAnsi="仿宋_GB2312" w:eastAsia="仿宋_GB2312" w:cs="仿宋_GB2312"/>
          <w:sz w:val="32"/>
          <w:szCs w:val="32"/>
          <w:highlight w:val="none"/>
          <w:lang w:val="en-US" w:eastAsia="zh-CN"/>
        </w:rPr>
        <w:t>职能</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kern w:val="0"/>
          <w:sz w:val="32"/>
          <w:szCs w:val="32"/>
          <w:highlight w:val="none"/>
          <w:lang w:bidi="ar"/>
        </w:rPr>
        <w:t>加强分析研判，强化工作调度，</w:t>
      </w:r>
      <w:r>
        <w:rPr>
          <w:rFonts w:hint="eastAsia" w:ascii="仿宋_GB2312" w:hAnsi="仿宋_GB2312" w:eastAsia="仿宋_GB2312" w:cs="仿宋_GB2312"/>
          <w:kern w:val="0"/>
          <w:sz w:val="32"/>
          <w:szCs w:val="32"/>
          <w:highlight w:val="none"/>
          <w:lang w:val="en-US" w:eastAsia="zh-CN" w:bidi="ar"/>
        </w:rPr>
        <w:t>每日</w:t>
      </w:r>
      <w:r>
        <w:rPr>
          <w:rFonts w:hint="eastAsia" w:ascii="仿宋_GB2312" w:hAnsi="仿宋_GB2312" w:eastAsia="仿宋_GB2312" w:cs="仿宋_GB2312"/>
          <w:sz w:val="32"/>
          <w:szCs w:val="32"/>
          <w:highlight w:val="none"/>
        </w:rPr>
        <w:t>跟踪督促各标段做好人员、设备、材料</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施工</w:t>
      </w:r>
      <w:r>
        <w:rPr>
          <w:rFonts w:hint="eastAsia" w:ascii="仿宋_GB2312" w:hAnsi="仿宋_GB2312" w:eastAsia="仿宋_GB2312" w:cs="仿宋_GB2312"/>
          <w:sz w:val="32"/>
          <w:szCs w:val="32"/>
          <w:highlight w:val="none"/>
        </w:rPr>
        <w:t>统筹调配，</w:t>
      </w:r>
      <w:r>
        <w:rPr>
          <w:rFonts w:hint="eastAsia" w:ascii="仿宋_GB2312" w:hAnsi="仿宋_GB2312" w:eastAsia="仿宋_GB2312" w:cs="仿宋_GB2312"/>
          <w:kern w:val="0"/>
          <w:sz w:val="32"/>
          <w:szCs w:val="32"/>
          <w:highlight w:val="none"/>
          <w:lang w:bidi="ar"/>
        </w:rPr>
        <w:t>确保改造工作有力有序、高效推进。</w:t>
      </w:r>
      <w:r>
        <w:rPr>
          <w:rFonts w:hint="eastAsia" w:ascii="仿宋_GB2312" w:hAnsi="仿宋_GB2312" w:eastAsia="仿宋_GB2312" w:cs="仿宋_GB2312"/>
          <w:kern w:val="0"/>
          <w:sz w:val="32"/>
          <w:szCs w:val="32"/>
          <w:highlight w:val="none"/>
          <w:lang w:eastAsia="zh-CN" w:bidi="ar"/>
        </w:rPr>
        <w:t>根据收集数据深入分析施工过程设计缺陷和修正优化项进行设计、施工、监理、审计多方出方案，优化解决施工过程问题，制定改进计划，并迅速执行，确保评估结果的准确度和可信度。</w:t>
      </w:r>
    </w:p>
    <w:p w14:paraId="74257DE4">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提升资源利用效率</w:t>
      </w:r>
    </w:p>
    <w:p w14:paraId="3C135827">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系统优化与热网整合：农村地区清洁取暖项目结合城乡新农村建设城镇密集区域发展集中供热，农村村组推广分散式用户系统，改造老旧热网，降低输热损耗（如保温管道更换可减少</w:t>
      </w:r>
      <w:r>
        <w:rPr>
          <w:rFonts w:hint="eastAsia" w:eastAsia="仿宋_GB2312" w:cs="Times New Roman"/>
          <w:sz w:val="32"/>
          <w:szCs w:val="32"/>
          <w:highlight w:val="none"/>
          <w:lang w:val="en-US" w:eastAsia="zh-CN"/>
        </w:rPr>
        <w:t>15%-30%热损失</w:t>
      </w:r>
      <w:r>
        <w:rPr>
          <w:rFonts w:hint="eastAsia" w:eastAsia="仿宋_GB2312" w:cs="Times New Roman"/>
          <w:sz w:val="32"/>
          <w:szCs w:val="32"/>
          <w:highlight w:val="none"/>
          <w:lang w:eastAsia="zh-CN"/>
        </w:rPr>
        <w:t>）在经济性、环保性和舒适性之间找到平衡，最大程度实现资源的高效利用，并持续监测优化。</w:t>
      </w:r>
    </w:p>
    <w:p w14:paraId="188FC5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18209B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CAD8E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55E218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3F00D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07E232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E9417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E56FDA6">
      <w:pPr>
        <w:pStyle w:val="8"/>
        <w:widowControl w:val="0"/>
        <w:spacing w:before="0" w:after="0" w:line="560" w:lineRule="exact"/>
        <w:ind w:firstLine="643" w:firstLineChars="200"/>
        <w:jc w:val="both"/>
        <w:outlineLvl w:val="9"/>
        <w:rPr>
          <w:rFonts w:hint="default" w:ascii="Times New Roman" w:hAnsi="Times New Roman" w:eastAsia="仿宋_GB2312" w:cs="Times New Roman"/>
          <w:b/>
          <w:bCs/>
          <w:highlight w:val="none"/>
        </w:rPr>
      </w:pPr>
      <w:r>
        <w:rPr>
          <w:rFonts w:hint="default" w:ascii="Times New Roman" w:hAnsi="Times New Roman" w:eastAsia="仿宋_GB2312" w:cs="Times New Roman"/>
          <w:b/>
          <w:bCs/>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highlight w:val="none"/>
        </w:rPr>
        <w:t>绩效评价的对象</w:t>
      </w:r>
    </w:p>
    <w:p w14:paraId="42D3DFEC">
      <w:pPr>
        <w:pStyle w:val="8"/>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rPr>
        <w:t>本项目预算绩效评价报告的评价对象是</w:t>
      </w:r>
      <w:r>
        <w:rPr>
          <w:rFonts w:hint="default" w:ascii="Times New Roman" w:hAnsi="Times New Roman" w:eastAsia="仿宋_GB2312" w:cs="Times New Roman"/>
          <w:b w:val="0"/>
          <w:bCs w:val="0"/>
          <w:highlight w:val="none"/>
          <w:lang w:val="en-US" w:eastAsia="zh-CN"/>
        </w:rPr>
        <w:t>2024年昌吉州冬季清洁取暖项目该项目年初预算数7773万元，全年预算数7773万元，全年执行数6756.35万元，预算执行率为87%，</w:t>
      </w:r>
    </w:p>
    <w:p w14:paraId="1B66CC57">
      <w:pPr>
        <w:spacing w:line="560" w:lineRule="exact"/>
        <w:ind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该项目由奇台县住房和城乡建设局负责实施，总体目标以热源清洁化为目标，保障群众温暖过冬，替代燃煤取暖， 进一步调整优化城乡供热能源结构，减少农村燃煤锅炉污染，积极探索和形成适应经济社会发展要 求的清洁、低碳、安全、高效新型能源消费方式。不断提高城镇、农村 地区供暖覆盖率和供暖水平，改善城镇、农村人居环境，加快城乡一体化进程。完成6100户农户清洁取暖农户补助资金发放，2025年5月底前完成清洁取暖4个项目的实施。</w:t>
      </w:r>
    </w:p>
    <w:p w14:paraId="5000E71E">
      <w:pPr>
        <w:pStyle w:val="8"/>
        <w:widowControl w:val="0"/>
        <w:spacing w:before="0" w:after="0" w:line="560" w:lineRule="exact"/>
        <w:ind w:firstLine="643" w:firstLineChars="200"/>
        <w:jc w:val="both"/>
        <w:outlineLvl w:val="9"/>
        <w:rPr>
          <w:rFonts w:hint="default" w:ascii="Times New Roman" w:hAnsi="Times New Roman" w:eastAsia="仿宋_GB2312" w:cs="Times New Roman"/>
          <w:b/>
          <w:bCs/>
          <w:highlight w:val="none"/>
        </w:rPr>
      </w:pPr>
      <w:r>
        <w:rPr>
          <w:rFonts w:hint="default" w:ascii="Times New Roman" w:hAnsi="Times New Roman" w:eastAsia="仿宋_GB2312" w:cs="Times New Roman"/>
          <w:b/>
          <w:bCs/>
          <w:highlight w:val="none"/>
          <w:lang w:val="en-US" w:eastAsia="zh-CN"/>
        </w:rPr>
        <w:t>4.</w:t>
      </w:r>
      <w:r>
        <w:rPr>
          <w:rFonts w:hint="default" w:ascii="Times New Roman" w:hAnsi="Times New Roman" w:eastAsia="仿宋_GB2312" w:cs="Times New Roman"/>
          <w:b/>
          <w:bCs/>
          <w:highlight w:val="none"/>
        </w:rPr>
        <w:t>绩效评价的范围</w:t>
      </w:r>
    </w:p>
    <w:p w14:paraId="727099F3">
      <w:pPr>
        <w:pStyle w:val="8"/>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3523E184">
      <w:pPr>
        <w:pStyle w:val="8"/>
        <w:widowControl w:val="0"/>
        <w:numPr>
          <w:ilvl w:val="0"/>
          <w:numId w:val="3"/>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6439EE3C">
      <w:pPr>
        <w:pStyle w:val="8"/>
        <w:widowControl w:val="0"/>
        <w:numPr>
          <w:ilvl w:val="0"/>
          <w:numId w:val="3"/>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r>
        <w:rPr>
          <w:rFonts w:hint="eastAsia" w:ascii="Times New Roman" w:hAnsi="Times New Roman" w:eastAsia="仿宋_GB2312" w:cs="Times New Roman"/>
          <w:b w:val="0"/>
          <w:bCs w:val="0"/>
          <w:kern w:val="28"/>
          <w:sz w:val="32"/>
          <w:szCs w:val="32"/>
          <w:highlight w:val="none"/>
          <w:lang w:val="en-US" w:eastAsia="zh-CN" w:bidi="ar-SA"/>
        </w:rPr>
        <w:t>，</w:t>
      </w:r>
      <w:r>
        <w:rPr>
          <w:rFonts w:hint="eastAsia" w:ascii="Times New Roman" w:hAnsi="Times New Roman" w:eastAsia="仿宋_GB2312" w:cs="Times New Roman"/>
          <w:b w:val="0"/>
          <w:bCs w:val="0"/>
          <w:highlight w:val="none"/>
          <w:lang w:val="en-US" w:eastAsia="zh-CN"/>
        </w:rPr>
        <w:t>农户</w:t>
      </w:r>
      <w:r>
        <w:rPr>
          <w:rFonts w:hint="default" w:ascii="Times New Roman" w:hAnsi="Times New Roman" w:eastAsia="仿宋_GB2312" w:cs="Times New Roman"/>
          <w:b w:val="0"/>
          <w:bCs w:val="0"/>
          <w:kern w:val="28"/>
          <w:sz w:val="32"/>
          <w:szCs w:val="32"/>
          <w:highlight w:val="none"/>
          <w:lang w:val="en-US" w:eastAsia="zh-CN" w:bidi="ar-SA"/>
        </w:rPr>
        <w:t>设备购置、安装等一次性投入（元/户</w:t>
      </w:r>
      <w:r>
        <w:rPr>
          <w:rFonts w:hint="eastAsia" w:ascii="Times New Roman" w:hAnsi="Times New Roman" w:eastAsia="仿宋_GB2312" w:cs="Times New Roman"/>
          <w:b w:val="0"/>
          <w:bCs w:val="0"/>
          <w:kern w:val="28"/>
          <w:sz w:val="32"/>
          <w:szCs w:val="32"/>
          <w:highlight w:val="none"/>
          <w:lang w:val="en-US" w:eastAsia="zh-CN" w:bidi="ar-SA"/>
        </w:rPr>
        <w:t>），按照农户购置发票金额以及</w:t>
      </w:r>
      <w:r>
        <w:rPr>
          <w:rFonts w:hint="default" w:ascii="Times New Roman" w:hAnsi="Times New Roman" w:eastAsia="仿宋_GB2312" w:cs="Times New Roman"/>
          <w:b w:val="0"/>
          <w:bCs w:val="0"/>
          <w:kern w:val="28"/>
          <w:sz w:val="32"/>
          <w:szCs w:val="32"/>
          <w:highlight w:val="none"/>
          <w:lang w:val="en-US" w:eastAsia="zh-CN" w:bidi="ar-SA"/>
        </w:rPr>
        <w:t>政府补贴占用户总成本的比例（%）</w:t>
      </w:r>
      <w:r>
        <w:rPr>
          <w:rFonts w:hint="eastAsia" w:ascii="Times New Roman" w:hAnsi="Times New Roman" w:eastAsia="仿宋_GB2312" w:cs="Times New Roman"/>
          <w:b w:val="0"/>
          <w:bCs w:val="0"/>
          <w:kern w:val="28"/>
          <w:sz w:val="32"/>
          <w:szCs w:val="32"/>
          <w:highlight w:val="none"/>
          <w:lang w:val="en-US" w:eastAsia="zh-CN" w:bidi="ar-SA"/>
        </w:rPr>
        <w:t>进行补贴,</w:t>
      </w:r>
      <w:r>
        <w:rPr>
          <w:rFonts w:hint="default" w:ascii="Times New Roman" w:hAnsi="Times New Roman" w:eastAsia="仿宋_GB2312" w:cs="Times New Roman"/>
          <w:b w:val="0"/>
          <w:bCs w:val="0"/>
          <w:highlight w:val="none"/>
        </w:rPr>
        <w:t>。</w:t>
      </w:r>
    </w:p>
    <w:p w14:paraId="442E38CF">
      <w:pPr>
        <w:pStyle w:val="8"/>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rPr>
        <w:t>项目实施进度与产出：</w:t>
      </w:r>
      <w:r>
        <w:rPr>
          <w:rFonts w:hint="eastAsia" w:ascii="Times New Roman" w:hAnsi="Times New Roman" w:eastAsia="仿宋_GB2312" w:cs="Times New Roman"/>
          <w:b w:val="0"/>
          <w:bCs w:val="0"/>
          <w:highlight w:val="none"/>
          <w:lang w:val="en-US" w:eastAsia="zh-CN"/>
        </w:rPr>
        <w:t>项目按照</w:t>
      </w:r>
      <w:r>
        <w:rPr>
          <w:rFonts w:hint="default" w:ascii="Times New Roman" w:hAnsi="Times New Roman" w:eastAsia="仿宋_GB2312" w:cs="Times New Roman"/>
          <w:b w:val="0"/>
          <w:bCs w:val="0"/>
          <w:kern w:val="28"/>
          <w:sz w:val="32"/>
          <w:szCs w:val="32"/>
          <w:highlight w:val="none"/>
          <w:lang w:val="en-US" w:eastAsia="zh-CN" w:bidi="ar-SA"/>
        </w:rPr>
        <w:t>供热稳定性室温波动范围（如±2℃内达标率）</w:t>
      </w:r>
      <w:r>
        <w:rPr>
          <w:rFonts w:hint="eastAsia" w:ascii="Times New Roman" w:hAnsi="Times New Roman" w:eastAsia="仿宋_GB2312" w:cs="Times New Roman"/>
          <w:b w:val="0"/>
          <w:bCs w:val="0"/>
          <w:kern w:val="28"/>
          <w:sz w:val="32"/>
          <w:szCs w:val="32"/>
          <w:highlight w:val="none"/>
          <w:lang w:val="en-US" w:eastAsia="zh-CN" w:bidi="ar-SA"/>
        </w:rPr>
        <w:t>；</w:t>
      </w:r>
      <w:r>
        <w:rPr>
          <w:rFonts w:hint="default" w:ascii="Times New Roman" w:hAnsi="Times New Roman" w:eastAsia="仿宋_GB2312" w:cs="Times New Roman"/>
          <w:b w:val="0"/>
          <w:bCs w:val="0"/>
          <w:kern w:val="28"/>
          <w:sz w:val="32"/>
          <w:szCs w:val="32"/>
          <w:highlight w:val="none"/>
          <w:lang w:val="en-US" w:eastAsia="zh-CN" w:bidi="ar-SA"/>
        </w:rPr>
        <w:t>响应速度从启动到达到设定温度的时间（分钟）</w:t>
      </w:r>
      <w:r>
        <w:rPr>
          <w:rFonts w:hint="eastAsia" w:ascii="Times New Roman" w:hAnsi="Times New Roman" w:eastAsia="仿宋_GB2312" w:cs="Times New Roman"/>
          <w:b w:val="0"/>
          <w:bCs w:val="0"/>
          <w:kern w:val="28"/>
          <w:sz w:val="32"/>
          <w:szCs w:val="32"/>
          <w:highlight w:val="none"/>
          <w:lang w:val="en-US" w:eastAsia="zh-CN" w:bidi="ar-SA"/>
        </w:rPr>
        <w:t>；</w:t>
      </w:r>
      <w:r>
        <w:rPr>
          <w:rFonts w:hint="default" w:ascii="Times New Roman" w:hAnsi="Times New Roman" w:eastAsia="仿宋_GB2312" w:cs="Times New Roman"/>
          <w:b w:val="0"/>
          <w:bCs w:val="0"/>
          <w:kern w:val="28"/>
          <w:sz w:val="32"/>
          <w:szCs w:val="32"/>
          <w:highlight w:val="none"/>
          <w:lang w:val="en-US" w:eastAsia="zh-CN" w:bidi="ar-SA"/>
        </w:rPr>
        <w:t>自动化水平智能调控（如温控器、远程控制）的普及率</w:t>
      </w:r>
      <w:r>
        <w:rPr>
          <w:rFonts w:hint="eastAsia" w:ascii="Times New Roman" w:hAnsi="Times New Roman" w:eastAsia="仿宋_GB2312" w:cs="Times New Roman"/>
          <w:b w:val="0"/>
          <w:bCs w:val="0"/>
          <w:kern w:val="28"/>
          <w:sz w:val="32"/>
          <w:szCs w:val="32"/>
          <w:highlight w:val="none"/>
          <w:lang w:val="en-US" w:eastAsia="zh-CN" w:bidi="ar-SA"/>
        </w:rPr>
        <w:t>；</w:t>
      </w:r>
      <w:r>
        <w:rPr>
          <w:rFonts w:hint="default" w:ascii="Times New Roman" w:hAnsi="Times New Roman" w:eastAsia="仿宋_GB2312" w:cs="Times New Roman"/>
          <w:b w:val="0"/>
          <w:bCs w:val="0"/>
          <w:kern w:val="28"/>
          <w:sz w:val="32"/>
          <w:szCs w:val="32"/>
          <w:highlight w:val="none"/>
          <w:lang w:val="en-US" w:eastAsia="zh-CN" w:bidi="ar-SA"/>
        </w:rPr>
        <w:t>兼容性与现有建筑或电网的适配程度</w:t>
      </w:r>
      <w:r>
        <w:rPr>
          <w:rFonts w:hint="eastAsia" w:ascii="Times New Roman" w:hAnsi="Times New Roman" w:eastAsia="仿宋_GB2312" w:cs="Times New Roman"/>
          <w:b w:val="0"/>
          <w:bCs w:val="0"/>
          <w:kern w:val="28"/>
          <w:sz w:val="32"/>
          <w:szCs w:val="32"/>
          <w:highlight w:val="none"/>
          <w:lang w:val="en-US" w:eastAsia="zh-CN" w:bidi="ar-SA"/>
        </w:rPr>
        <w:t>等方面是否符合预期的效果</w:t>
      </w:r>
      <w:r>
        <w:rPr>
          <w:rFonts w:hint="default" w:ascii="Times New Roman" w:hAnsi="Times New Roman" w:eastAsia="仿宋_GB2312" w:cs="Times New Roman"/>
          <w:b w:val="0"/>
          <w:bCs w:val="0"/>
          <w:kern w:val="28"/>
          <w:sz w:val="32"/>
          <w:szCs w:val="32"/>
          <w:highlight w:val="none"/>
          <w:lang w:val="en-US" w:eastAsia="zh-CN" w:bidi="ar-SA"/>
        </w:rPr>
        <w:t>。</w:t>
      </w:r>
    </w:p>
    <w:p w14:paraId="382C467B">
      <w:pPr>
        <w:pStyle w:val="8"/>
        <w:widowControl w:val="0"/>
        <w:numPr>
          <w:ilvl w:val="0"/>
          <w:numId w:val="3"/>
        </w:numPr>
        <w:spacing w:before="0" w:after="0" w:line="560" w:lineRule="exact"/>
        <w:ind w:firstLine="640" w:firstLineChars="200"/>
        <w:jc w:val="both"/>
        <w:outlineLvl w:val="9"/>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w:t>
      </w:r>
      <w:r>
        <w:rPr>
          <w:rFonts w:hint="eastAsia" w:ascii="Times New Roman" w:hAnsi="Times New Roman" w:eastAsia="仿宋_GB2312" w:cs="Times New Roman"/>
          <w:b w:val="0"/>
          <w:bCs w:val="0"/>
          <w:kern w:val="28"/>
          <w:sz w:val="32"/>
          <w:szCs w:val="32"/>
          <w:highlight w:val="none"/>
          <w:lang w:val="en-US" w:eastAsia="zh-CN" w:bidi="ar-SA"/>
        </w:rPr>
        <w:t>在社会效益方面</w:t>
      </w:r>
      <w:r>
        <w:rPr>
          <w:rFonts w:hint="default" w:ascii="Times New Roman" w:hAnsi="Times New Roman" w:eastAsia="仿宋_GB2312" w:cs="Times New Roman"/>
          <w:b w:val="0"/>
          <w:bCs w:val="0"/>
          <w:kern w:val="28"/>
          <w:sz w:val="32"/>
          <w:szCs w:val="32"/>
          <w:highlight w:val="none"/>
          <w:lang w:val="en-US" w:eastAsia="zh-CN" w:bidi="ar-SA"/>
        </w:rPr>
        <w:t>可以减少排出二氧化氮</w:t>
      </w:r>
      <w:r>
        <w:rPr>
          <w:rFonts w:hint="eastAsia" w:ascii="Times New Roman" w:hAnsi="Times New Roman" w:eastAsia="仿宋_GB2312" w:cs="Times New Roman"/>
          <w:b w:val="0"/>
          <w:bCs w:val="0"/>
          <w:kern w:val="28"/>
          <w:sz w:val="32"/>
          <w:szCs w:val="32"/>
          <w:highlight w:val="none"/>
          <w:lang w:val="en-US" w:eastAsia="zh-CN" w:bidi="ar-SA"/>
        </w:rPr>
        <w:t>，该项目实施投入使用预计</w:t>
      </w:r>
      <w:r>
        <w:rPr>
          <w:rFonts w:hint="default" w:ascii="Times New Roman" w:hAnsi="Times New Roman" w:eastAsia="仿宋_GB2312" w:cs="Times New Roman"/>
          <w:b w:val="0"/>
          <w:bCs w:val="0"/>
          <w:kern w:val="28"/>
          <w:sz w:val="32"/>
          <w:szCs w:val="32"/>
          <w:highlight w:val="none"/>
          <w:lang w:val="en-US" w:eastAsia="zh-CN" w:bidi="ar-SA"/>
        </w:rPr>
        <w:t>可以减少排出3630吨粉尘，减少二氧化碳90.5万吨</w:t>
      </w:r>
      <w:r>
        <w:rPr>
          <w:rFonts w:hint="eastAsia" w:ascii="Times New Roman" w:hAnsi="Times New Roman" w:eastAsia="仿宋_GB2312" w:cs="Times New Roman"/>
          <w:b w:val="0"/>
          <w:bCs w:val="0"/>
          <w:kern w:val="28"/>
          <w:sz w:val="32"/>
          <w:szCs w:val="32"/>
          <w:highlight w:val="none"/>
          <w:lang w:val="en-US" w:eastAsia="zh-CN" w:bidi="ar-SA"/>
        </w:rPr>
        <w:t>。同时清洁取暖项目实施可以减少对</w:t>
      </w:r>
      <w:r>
        <w:rPr>
          <w:rFonts w:hint="default" w:ascii="Times New Roman" w:hAnsi="Times New Roman" w:eastAsia="仿宋_GB2312" w:cs="Times New Roman"/>
          <w:b w:val="0"/>
          <w:bCs w:val="0"/>
          <w:kern w:val="28"/>
          <w:sz w:val="32"/>
          <w:szCs w:val="32"/>
          <w:highlight w:val="none"/>
          <w:lang w:val="en-US" w:eastAsia="zh-CN" w:bidi="ar-SA"/>
        </w:rPr>
        <w:t>煤炭</w:t>
      </w:r>
      <w:r>
        <w:rPr>
          <w:rFonts w:hint="eastAsia" w:ascii="Times New Roman" w:hAnsi="Times New Roman" w:eastAsia="仿宋_GB2312" w:cs="Times New Roman"/>
          <w:b w:val="0"/>
          <w:bCs w:val="0"/>
          <w:kern w:val="28"/>
          <w:sz w:val="32"/>
          <w:szCs w:val="32"/>
          <w:highlight w:val="none"/>
          <w:lang w:val="en-US" w:eastAsia="zh-CN" w:bidi="ar-SA"/>
        </w:rPr>
        <w:t>使用，节约了煤炭资源。</w:t>
      </w:r>
    </w:p>
    <w:p w14:paraId="41F0B0A5">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73321BDB">
      <w:pPr>
        <w:pStyle w:val="8"/>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16B78A36">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27226626">
      <w:pPr>
        <w:pStyle w:val="8"/>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1C653F57">
      <w:pPr>
        <w:pStyle w:val="8"/>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070D3C4B">
      <w:pPr>
        <w:pStyle w:val="8"/>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5733BD1F">
      <w:pPr>
        <w:pStyle w:val="8"/>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764EA5F8">
      <w:pPr>
        <w:pStyle w:val="8"/>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27C15AAF">
      <w:pPr>
        <w:spacing w:line="560" w:lineRule="exact"/>
        <w:ind w:firstLine="708" w:firstLineChars="200"/>
        <w:rPr>
          <w:rFonts w:hint="default" w:ascii="Times New Roman" w:hAnsi="Times New Roman" w:cs="Times New Roman"/>
          <w:color w:val="000000"/>
          <w:spacing w:val="17"/>
          <w:sz w:val="32"/>
          <w:szCs w:val="32"/>
          <w:highlight w:val="none"/>
        </w:rPr>
      </w:pPr>
      <w:r>
        <w:rPr>
          <w:rFonts w:hint="eastAsia" w:eastAsia="仿宋_GB2312" w:cs="Times New Roman"/>
          <w:color w:val="000000"/>
          <w:spacing w:val="17"/>
          <w:sz w:val="32"/>
          <w:szCs w:val="32"/>
          <w:highlight w:val="none"/>
          <w:lang w:eastAsia="zh-CN"/>
        </w:rPr>
        <w:t>清洁取暖评价指标是衡量取暖方式在环境、经济、社会等多维度综合效益的工具，旨在推动绿色低碳，高效安全的取暖方式。</w:t>
      </w:r>
    </w:p>
    <w:p w14:paraId="16E6212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w:t>
      </w:r>
      <w:r>
        <w:rPr>
          <w:rFonts w:hint="eastAsia" w:eastAsia="仿宋_GB2312" w:cs="Times New Roman"/>
          <w:color w:val="000000"/>
          <w:spacing w:val="17"/>
          <w:sz w:val="32"/>
          <w:szCs w:val="32"/>
          <w:highlight w:val="none"/>
          <w:lang w:eastAsia="zh-CN"/>
        </w:rPr>
        <w:t>环境效益</w:t>
      </w:r>
      <w:r>
        <w:rPr>
          <w:rFonts w:hint="default" w:ascii="Times New Roman" w:hAnsi="Times New Roman" w:eastAsia="仿宋_GB2312" w:cs="Times New Roman"/>
          <w:color w:val="000000"/>
          <w:spacing w:val="17"/>
          <w:sz w:val="32"/>
          <w:szCs w:val="32"/>
          <w:highlight w:val="none"/>
        </w:rPr>
        <w:t>指标</w:t>
      </w:r>
    </w:p>
    <w:p w14:paraId="0673AA5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32F690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746ADA5E">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w:t>
      </w:r>
      <w:r>
        <w:rPr>
          <w:rFonts w:hint="eastAsia" w:eastAsia="仿宋_GB2312" w:cs="Times New Roman"/>
          <w:color w:val="000000"/>
          <w:spacing w:val="17"/>
          <w:sz w:val="32"/>
          <w:szCs w:val="32"/>
          <w:highlight w:val="none"/>
          <w:lang w:val="en-US" w:eastAsia="zh-CN"/>
        </w:rPr>
        <w:t>决策</w:t>
      </w:r>
      <w:r>
        <w:rPr>
          <w:rFonts w:hint="default" w:ascii="Times New Roman" w:hAnsi="Times New Roman" w:eastAsia="仿宋_GB2312" w:cs="Times New Roman"/>
          <w:color w:val="000000"/>
          <w:spacing w:val="17"/>
          <w:sz w:val="32"/>
          <w:szCs w:val="32"/>
          <w:highlight w:val="none"/>
        </w:rPr>
        <w:t>权重为20分，项目</w:t>
      </w:r>
      <w:r>
        <w:rPr>
          <w:rFonts w:hint="eastAsia" w:eastAsia="仿宋_GB2312" w:cs="Times New Roman"/>
          <w:color w:val="000000"/>
          <w:spacing w:val="17"/>
          <w:sz w:val="32"/>
          <w:szCs w:val="32"/>
          <w:highlight w:val="none"/>
          <w:lang w:val="en-US" w:eastAsia="zh-CN"/>
        </w:rPr>
        <w:t>过程</w:t>
      </w:r>
      <w:r>
        <w:rPr>
          <w:rFonts w:hint="default" w:ascii="Times New Roman" w:hAnsi="Times New Roman" w:eastAsia="仿宋_GB2312" w:cs="Times New Roman"/>
          <w:color w:val="000000"/>
          <w:spacing w:val="17"/>
          <w:sz w:val="32"/>
          <w:szCs w:val="32"/>
          <w:highlight w:val="none"/>
        </w:rPr>
        <w:t>权重为20分，项目</w:t>
      </w:r>
      <w:r>
        <w:rPr>
          <w:rFonts w:hint="eastAsia" w:eastAsia="仿宋_GB2312" w:cs="Times New Roman"/>
          <w:color w:val="000000"/>
          <w:spacing w:val="17"/>
          <w:sz w:val="32"/>
          <w:szCs w:val="32"/>
          <w:highlight w:val="none"/>
          <w:lang w:val="en-US" w:eastAsia="zh-CN"/>
        </w:rPr>
        <w:t>产出</w:t>
      </w:r>
      <w:r>
        <w:rPr>
          <w:rFonts w:hint="default" w:ascii="Times New Roman" w:hAnsi="Times New Roman" w:eastAsia="仿宋_GB2312" w:cs="Times New Roman"/>
          <w:color w:val="000000"/>
          <w:spacing w:val="17"/>
          <w:sz w:val="32"/>
          <w:szCs w:val="32"/>
          <w:highlight w:val="none"/>
        </w:rPr>
        <w:t>权重为</w:t>
      </w:r>
      <w:r>
        <w:rPr>
          <w:rFonts w:hint="eastAsia" w:eastAsia="仿宋_GB2312" w:cs="Times New Roman"/>
          <w:color w:val="000000"/>
          <w:spacing w:val="17"/>
          <w:sz w:val="32"/>
          <w:szCs w:val="32"/>
          <w:highlight w:val="none"/>
          <w:lang w:val="en-US" w:eastAsia="zh-CN"/>
        </w:rPr>
        <w:t>40</w:t>
      </w:r>
      <w:r>
        <w:rPr>
          <w:rFonts w:hint="default" w:ascii="Times New Roman" w:hAnsi="Times New Roman" w:eastAsia="仿宋_GB2312" w:cs="Times New Roman"/>
          <w:color w:val="000000"/>
          <w:spacing w:val="17"/>
          <w:sz w:val="32"/>
          <w:szCs w:val="32"/>
          <w:highlight w:val="none"/>
        </w:rPr>
        <w:t>分</w:t>
      </w:r>
      <w:r>
        <w:rPr>
          <w:rFonts w:hint="eastAsia"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项目效益权重为</w:t>
      </w:r>
      <w:r>
        <w:rPr>
          <w:rFonts w:hint="eastAsia"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000000"/>
          <w:spacing w:val="17"/>
          <w:sz w:val="32"/>
          <w:szCs w:val="32"/>
          <w:highlight w:val="none"/>
        </w:rPr>
        <w:t>分。</w:t>
      </w:r>
    </w:p>
    <w:p w14:paraId="09770BF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7DC136E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3D0D3AFB">
      <w:pPr>
        <w:pStyle w:val="8"/>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68566A94">
      <w:pPr>
        <w:pStyle w:val="3"/>
        <w:rPr>
          <w:rFonts w:hint="eastAsia"/>
          <w:highlight w:val="none"/>
          <w:lang w:val="en-US" w:eastAsia="zh-CN"/>
        </w:rPr>
      </w:pPr>
      <w:r>
        <w:rPr>
          <w:rFonts w:hint="eastAsia"/>
          <w:highlight w:val="none"/>
          <w:lang w:val="en-US" w:eastAsia="zh-CN"/>
        </w:rPr>
        <w:t>缺少内容</w:t>
      </w:r>
    </w:p>
    <w:p w14:paraId="2465DD2F">
      <w:pPr>
        <w:pStyle w:val="8"/>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350CC895">
      <w:pPr>
        <w:pStyle w:val="8"/>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4C9E2D5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5C818BE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960C54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706D617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061ACC0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14:paraId="19F53EB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14:paraId="6F4271B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（五）公众评判法。是指通过专家评估、公众问卷及抽样调查等方式进行评判的方法。</w:t>
      </w:r>
    </w:p>
    <w:p w14:paraId="64749FC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（六）标杆管理法。是指以国内外同行业中较高的绩效水平为标杆进行评判的方法。</w:t>
      </w:r>
    </w:p>
    <w:p w14:paraId="3DCDF1E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（七）其他评价方法。</w:t>
      </w:r>
    </w:p>
    <w:p w14:paraId="3F137355">
      <w:pPr>
        <w:pStyle w:val="8"/>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31DE1A13">
      <w:pPr>
        <w:pStyle w:val="8"/>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14:paraId="5268D349">
      <w:pPr>
        <w:pStyle w:val="8"/>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14:paraId="6811137D">
      <w:pPr>
        <w:pStyle w:val="8"/>
        <w:numPr>
          <w:ilvl w:val="0"/>
          <w:numId w:val="4"/>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4FE26D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1D9E7D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67C640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46D9BE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72B2CF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4E97CB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75BAA3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58AF4F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053E5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57D4B9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26E99E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675F1662">
      <w:pPr>
        <w:widowControl w:val="0"/>
        <w:ind w:firstLine="640"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713FF07">
      <w:pPr>
        <w:numPr>
          <w:ilvl w:val="0"/>
          <w:numId w:val="5"/>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7329B713">
      <w:pPr>
        <w:pStyle w:val="8"/>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6A24C2F3">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昌州财建﹝2024﹞17号  关于下达2024年昌吉州冬季清洁取暖项目补助资金的通知</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目前完成项目补贴的发放受益户数达到6100户</w:t>
      </w:r>
      <w:r>
        <w:rPr>
          <w:rFonts w:hint="default" w:ascii="Times New Roman" w:hAnsi="Times New Roman" w:eastAsia="仿宋_GB2312" w:cs="Times New Roman"/>
          <w:sz w:val="32"/>
          <w:szCs w:val="32"/>
          <w:highlight w:val="none"/>
        </w:rPr>
        <w:t>，方面表现出色</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达到了预期的标准与要求。同时，项目也在</w:t>
      </w:r>
      <w:r>
        <w:rPr>
          <w:rFonts w:hint="eastAsia" w:eastAsia="仿宋_GB2312" w:cs="Times New Roman"/>
          <w:sz w:val="32"/>
          <w:szCs w:val="32"/>
          <w:highlight w:val="none"/>
          <w:lang w:eastAsia="zh-CN"/>
        </w:rPr>
        <w:t>确保质量前提下按时完工</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eastAsia="zh-CN"/>
        </w:rPr>
        <w:t>清洁取暖改造农户按时通电投入使用，农户实现温暖过冬</w:t>
      </w:r>
      <w:r>
        <w:rPr>
          <w:rFonts w:hint="default" w:ascii="Times New Roman" w:hAnsi="Times New Roman" w:eastAsia="仿宋_GB2312" w:cs="Times New Roman"/>
          <w:sz w:val="32"/>
          <w:szCs w:val="32"/>
          <w:highlight w:val="none"/>
        </w:rPr>
        <w:t>等。</w:t>
      </w:r>
    </w:p>
    <w:p w14:paraId="50AC3CE8">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奇台县住房和城乡建设局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10D18D8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w:t>
      </w:r>
      <w:r>
        <w:rPr>
          <w:rFonts w:hint="eastAsia" w:eastAsia="仿宋_GB2312" w:cs="Times New Roman"/>
          <w:sz w:val="32"/>
          <w:szCs w:val="32"/>
          <w:highlight w:val="none"/>
          <w:lang w:eastAsia="zh-CN"/>
        </w:rPr>
        <w:t>大气污有明显改善，</w:t>
      </w:r>
      <w:r>
        <w:rPr>
          <w:rFonts w:hint="default" w:ascii="Times New Roman" w:hAnsi="Times New Roman" w:eastAsia="仿宋_GB2312" w:cs="Times New Roman"/>
          <w:sz w:val="32"/>
          <w:szCs w:val="32"/>
          <w:highlight w:val="none"/>
          <w:lang w:val="en-US" w:eastAsia="zh-CN"/>
        </w:rPr>
        <w:t>农村人居环境改善</w:t>
      </w:r>
      <w:r>
        <w:rPr>
          <w:rFonts w:hint="default" w:ascii="Times New Roman" w:hAnsi="Times New Roman" w:eastAsia="仿宋_GB2312" w:cs="Times New Roman"/>
          <w:sz w:val="32"/>
          <w:szCs w:val="32"/>
          <w:highlight w:val="none"/>
        </w:rPr>
        <w:t>提升，</w:t>
      </w:r>
      <w:r>
        <w:rPr>
          <w:rFonts w:hint="default" w:ascii="Times New Roman" w:hAnsi="Times New Roman" w:eastAsia="仿宋_GB2312" w:cs="Times New Roman"/>
          <w:sz w:val="32"/>
          <w:szCs w:val="32"/>
          <w:highlight w:val="none"/>
          <w:lang w:val="en-US" w:eastAsia="zh-CN"/>
        </w:rPr>
        <w:t>提高农牧民的生活质量</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为项目的利益相关者带来了实实在在的利益。</w:t>
      </w:r>
    </w:p>
    <w:p w14:paraId="74B0C13F">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昌州财建﹝2024﹞17号  关于下达2024年昌吉州冬季清洁取暖项目补助资金的通知</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2F107FC3">
      <w:pPr>
        <w:pStyle w:val="8"/>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1AD0A2A9">
      <w:pPr>
        <w:pStyle w:val="8"/>
        <w:widowControl w:val="0"/>
        <w:spacing w:before="0" w:after="0" w:line="560" w:lineRule="exact"/>
        <w:ind w:firstLine="640" w:firstLineChars="200"/>
        <w:jc w:val="both"/>
        <w:outlineLvl w:val="9"/>
        <w:rPr>
          <w:rFonts w:hint="eastAsia" w:ascii="方正仿宋_GB2312" w:hAnsi="方正仿宋_GB2312" w:eastAsia="方正仿宋_GB2312" w:cs="方正仿宋_GB2312"/>
          <w:b w:val="0"/>
          <w:bCs w:val="0"/>
          <w:highlight w:val="none"/>
          <w:lang w:eastAsia="zh-CN"/>
        </w:rPr>
      </w:pPr>
      <w:r>
        <w:rPr>
          <w:rFonts w:hint="eastAsia" w:ascii="Times New Roman" w:hAnsi="Times New Roman" w:eastAsia="仿宋_GB2312" w:cs="Times New Roman"/>
          <w:b w:val="0"/>
          <w:bCs w:val="0"/>
          <w:kern w:val="0"/>
          <w:sz w:val="32"/>
          <w:szCs w:val="32"/>
          <w:highlight w:val="none"/>
          <w:lang w:val="en-US" w:eastAsia="zh-CN" w:bidi="ar"/>
        </w:rPr>
        <w:t>运用绩效评价组制定的评价指标体系以及财政部《项目支出绩效评价管理办法》（财预〔2020〕10号）文件的评分标准，通过数据采集、问卷调查及访谈等方式，对本项目进行客观评价，最终评分结果：总得分为88.33分，属于“良”。其中，项目决策类指标权重为20分，得分为20分，得分率为100%。项目过程类指标权重为20分，得分为19.48分，得分率为100%。项目产出类指标权重为40分，得分为28.85分，得分率为88.5%。项目效益类指标权重为20分，得分为20分，得分率为100%。具体打分情况详见：</w:t>
      </w:r>
    </w:p>
    <w:p w14:paraId="495FD5B4">
      <w:pPr>
        <w:pStyle w:val="8"/>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1"/>
        <w:tblW w:w="8760" w:type="dxa"/>
        <w:jc w:val="center"/>
        <w:tblLayout w:type="fixed"/>
        <w:tblCellMar>
          <w:top w:w="0" w:type="dxa"/>
          <w:left w:w="108" w:type="dxa"/>
          <w:bottom w:w="0" w:type="dxa"/>
          <w:right w:w="108" w:type="dxa"/>
        </w:tblCellMar>
      </w:tblPr>
      <w:tblGrid>
        <w:gridCol w:w="2787"/>
        <w:gridCol w:w="1927"/>
        <w:gridCol w:w="2023"/>
        <w:gridCol w:w="2023"/>
      </w:tblGrid>
      <w:tr w14:paraId="68478B0F">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532EDC7">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B7230D1">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EB5391B">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2C97558">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507252F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F983737">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1A189222">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1A04404">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8FDA9D1">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6D94E01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BC3C3B7">
            <w:pPr>
              <w:jc w:val="center"/>
              <w:rPr>
                <w:rFonts w:hint="eastAsia" w:ascii="Times New Roman" w:hAnsi="Times New Roman" w:eastAsia="仿宋_GB2312" w:cs="Times New Roman"/>
                <w:color w:val="000000"/>
                <w:sz w:val="21"/>
                <w:szCs w:val="21"/>
                <w:highlight w:val="none"/>
                <w:lang w:eastAsia="zh-CN"/>
              </w:rPr>
            </w:pPr>
            <w:r>
              <w:rPr>
                <w:rFonts w:hint="default" w:ascii="Times New Roman" w:hAnsi="Times New Roman" w:eastAsia="仿宋_GB2312" w:cs="Times New Roman"/>
                <w:color w:val="000000"/>
                <w:sz w:val="21"/>
                <w:szCs w:val="21"/>
                <w:highlight w:val="none"/>
              </w:rPr>
              <w:t>项目</w:t>
            </w:r>
            <w:r>
              <w:rPr>
                <w:rFonts w:hint="eastAsia" w:eastAsia="仿宋_GB2312" w:cs="Times New Roman"/>
                <w:color w:val="000000"/>
                <w:sz w:val="21"/>
                <w:szCs w:val="21"/>
                <w:highlight w:val="none"/>
                <w:lang w:eastAsia="zh-CN"/>
              </w:rPr>
              <w:t>成本</w:t>
            </w:r>
          </w:p>
        </w:tc>
        <w:tc>
          <w:tcPr>
            <w:tcW w:w="1927" w:type="dxa"/>
            <w:tcBorders>
              <w:top w:val="nil"/>
              <w:left w:val="nil"/>
              <w:bottom w:val="single" w:color="auto" w:sz="4" w:space="0"/>
              <w:right w:val="single" w:color="auto" w:sz="4" w:space="0"/>
            </w:tcBorders>
            <w:shd w:val="clear" w:color="auto" w:fill="auto"/>
            <w:vAlign w:val="center"/>
          </w:tcPr>
          <w:p w14:paraId="0A5EF658">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BFCE6BE">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19.48</w:t>
            </w:r>
          </w:p>
        </w:tc>
        <w:tc>
          <w:tcPr>
            <w:tcW w:w="2023" w:type="dxa"/>
            <w:tcBorders>
              <w:top w:val="nil"/>
              <w:left w:val="nil"/>
              <w:bottom w:val="single" w:color="auto" w:sz="4" w:space="0"/>
              <w:right w:val="single" w:color="auto" w:sz="4" w:space="0"/>
            </w:tcBorders>
            <w:shd w:val="clear" w:color="auto" w:fill="auto"/>
            <w:vAlign w:val="center"/>
          </w:tcPr>
          <w:p w14:paraId="78837714">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99.48%</w:t>
            </w:r>
          </w:p>
        </w:tc>
      </w:tr>
      <w:tr w14:paraId="136F298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0974592">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30BAF231">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37514CE9">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28.85</w:t>
            </w:r>
          </w:p>
        </w:tc>
        <w:tc>
          <w:tcPr>
            <w:tcW w:w="2023" w:type="dxa"/>
            <w:tcBorders>
              <w:top w:val="nil"/>
              <w:left w:val="nil"/>
              <w:bottom w:val="single" w:color="auto" w:sz="4" w:space="0"/>
              <w:right w:val="single" w:color="auto" w:sz="4" w:space="0"/>
            </w:tcBorders>
            <w:shd w:val="clear" w:color="auto" w:fill="auto"/>
            <w:vAlign w:val="center"/>
          </w:tcPr>
          <w:p w14:paraId="0B678027">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88.5%</w:t>
            </w:r>
          </w:p>
        </w:tc>
      </w:tr>
      <w:tr w14:paraId="61110F21">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CE30772">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4C2A6055">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A7156AD">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6BC64A8">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6A1548B0">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7656C3E">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2D0C5AB0">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022E6C1">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88.33</w:t>
            </w:r>
          </w:p>
        </w:tc>
        <w:tc>
          <w:tcPr>
            <w:tcW w:w="2023" w:type="dxa"/>
            <w:tcBorders>
              <w:top w:val="nil"/>
              <w:left w:val="nil"/>
              <w:bottom w:val="single" w:color="auto" w:sz="4" w:space="0"/>
              <w:right w:val="single" w:color="auto" w:sz="4" w:space="0"/>
            </w:tcBorders>
            <w:shd w:val="clear" w:color="auto" w:fill="auto"/>
            <w:vAlign w:val="center"/>
          </w:tcPr>
          <w:p w14:paraId="52CE1310">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88.33%</w:t>
            </w:r>
          </w:p>
        </w:tc>
      </w:tr>
    </w:tbl>
    <w:p w14:paraId="7CAA994A">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56A7C4A2">
      <w:pPr>
        <w:pStyle w:val="8"/>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37C6EE7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E51AA3A">
      <w:pPr>
        <w:pStyle w:val="1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07B3D30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19DBCA3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w:t>
      </w:r>
      <w:r>
        <w:rPr>
          <w:rFonts w:hint="eastAsia" w:ascii="仿宋_GB2312" w:hAnsi="仿宋_GB2312" w:eastAsia="仿宋_GB2312" w:cs="仿宋_GB2312"/>
          <w:kern w:val="2"/>
          <w:sz w:val="32"/>
          <w:szCs w:val="32"/>
          <w:highlight w:val="none"/>
          <w:lang w:val="en-US" w:eastAsia="zh-CN" w:bidi="ar-SA"/>
        </w:rPr>
        <w:t>根据财政部《财政部关于印发&lt;大气污染防治资金管理办法&gt;的通知》（财资环〔2021〕46号）、《财政部 生态环境部关于征求&lt;北方地区冬季清洁取暖试点城市绩效评价办法&gt;意见的函》（财建〔2021〕428号）和《昌吉州冬季清洁取暖项目实施方案（2022-2024）》文件要求</w:t>
      </w:r>
      <w:r>
        <w:rPr>
          <w:rFonts w:hint="default" w:ascii="Times New Roman" w:hAnsi="Times New Roman" w:eastAsia="仿宋_GB2312" w:cs="Times New Roman"/>
          <w:sz w:val="32"/>
          <w:szCs w:val="32"/>
          <w:highlight w:val="none"/>
          <w:lang w:val="en-US" w:eastAsia="zh-CN"/>
        </w:rPr>
        <w:t>，</w:t>
      </w:r>
    </w:p>
    <w:p w14:paraId="7B26467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围绕本年度工作重点和工作计划制定经费预算，属于公共财政支持范围。本项目与部门内部其他相关项目不重复。部门发展规划及职能文件等归档完整。</w:t>
      </w:r>
    </w:p>
    <w:p w14:paraId="0519FEF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3A610BDC">
      <w:pPr>
        <w:pStyle w:val="1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清洁取暖项目立项程序的规范性是确保项目合法合规、科学高效推进的基础，涉及政策依据、流程设计、多部门协同及风险管控。以下是规范立项程序的关键环节和要点</w:t>
      </w:r>
      <w:r>
        <w:rPr>
          <w:rFonts w:hint="eastAsia" w:eastAsia="仿宋_GB2312" w:cs="Times New Roman"/>
          <w:sz w:val="32"/>
          <w:szCs w:val="32"/>
          <w:highlight w:val="none"/>
          <w:lang w:eastAsia="zh-CN"/>
        </w:rPr>
        <w:t>。</w:t>
      </w:r>
    </w:p>
    <w:p w14:paraId="1E9765BC">
      <w:pPr>
        <w:pStyle w:val="1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eastAsia="仿宋_GB2312" w:cs="Times New Roman"/>
          <w:sz w:val="32"/>
          <w:szCs w:val="32"/>
          <w:highlight w:val="none"/>
          <w:lang w:eastAsia="zh-CN"/>
        </w:rPr>
      </w:pPr>
      <w:r>
        <w:rPr>
          <w:rFonts w:hint="eastAsia" w:eastAsia="仿宋_GB2312" w:cs="Times New Roman"/>
          <w:sz w:val="32"/>
          <w:szCs w:val="32"/>
          <w:highlight w:val="none"/>
          <w:lang w:eastAsia="zh-CN"/>
        </w:rPr>
        <w:t xml:space="preserve">政策依据：符合国家《北方地区冬季清洁取暖规划》《大气污染防治行动计划》等文件要求，以及地方清洁取暖实施方案。 需求调研：通过问卷、实地考察等方式，明确区域取暖现状（如散煤使用比例、建筑保温水平）、用户接受度及资源条件（如电网/气网容量、生物质原料供应）。可行性研究：对比“煤改电”“煤改气”、地源热泵等技术路线的适用性，评估能源供应稳定性、初投资、运行成本等（需附《技术可行性分析报告》）。专家论证：组织能源、环保、建筑等领域专家评审技术方案，重点评估减排潜力与长期可持续性。 </w:t>
      </w:r>
    </w:p>
    <w:p w14:paraId="31F25731">
      <w:pPr>
        <w:pStyle w:val="1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58B158F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131612F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C235D7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45AAB0F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38C32317">
      <w:pPr>
        <w:pStyle w:val="1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0293452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5774A5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7DE247A2">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6155069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264431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59AE4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w:t>
      </w:r>
      <w:r>
        <w:rPr>
          <w:rFonts w:hint="eastAsia" w:eastAsia="仿宋_GB2312" w:cs="Times New Roman"/>
          <w:sz w:val="32"/>
          <w:szCs w:val="32"/>
          <w:highlight w:val="none"/>
          <w:lang w:eastAsia="zh-CN"/>
        </w:rPr>
        <w:t>按照施工进度进行支付工程款</w:t>
      </w:r>
      <w:r>
        <w:rPr>
          <w:rFonts w:hint="default" w:ascii="Times New Roman" w:hAnsi="Times New Roman" w:eastAsia="仿宋_GB2312" w:cs="Times New Roman"/>
          <w:sz w:val="32"/>
          <w:szCs w:val="32"/>
          <w:highlight w:val="none"/>
          <w:lang w:eastAsia="zh-CN"/>
        </w:rPr>
        <w:t>。同时，我们也注重了资金的均衡分配，避免了资源浪费与资金闲置。</w:t>
      </w:r>
      <w:r>
        <w:rPr>
          <w:rFonts w:hint="eastAsia" w:eastAsia="仿宋_GB2312" w:cs="Times New Roman"/>
          <w:sz w:val="32"/>
          <w:szCs w:val="32"/>
          <w:highlight w:val="none"/>
          <w:lang w:eastAsia="zh-CN"/>
        </w:rPr>
        <w:t>在新建高低压线路费用较高的情况下，多次召开研判分析，采取利用原有线路进行升级改造，大大压降项目资金成本支出，</w:t>
      </w:r>
      <w:r>
        <w:rPr>
          <w:rFonts w:hint="default" w:ascii="Times New Roman" w:hAnsi="Times New Roman" w:eastAsia="仿宋_GB2312" w:cs="Times New Roman"/>
          <w:sz w:val="32"/>
          <w:szCs w:val="32"/>
          <w:highlight w:val="none"/>
          <w:lang w:eastAsia="zh-CN"/>
        </w:rPr>
        <w:t>此外，资金分配还充分考虑了风险因素，对可能出现的超支情况进行了预留与调整。</w:t>
      </w:r>
    </w:p>
    <w:p w14:paraId="43106B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3CC37DC9">
      <w:pPr>
        <w:pStyle w:val="8"/>
        <w:numPr>
          <w:ilvl w:val="0"/>
          <w:numId w:val="6"/>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2358CFF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highlight w:val="none"/>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19.48</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99.48</w:t>
      </w:r>
      <w:r>
        <w:rPr>
          <w:rFonts w:hint="default" w:ascii="Times New Roman" w:hAnsi="Times New Roman" w:eastAsia="仿宋_GB2312" w:cs="Times New Roman"/>
          <w:sz w:val="32"/>
          <w:szCs w:val="32"/>
          <w:highlight w:val="none"/>
          <w:lang w:val="en-US" w:eastAsia="zh-CN"/>
        </w:rPr>
        <w:t>%。</w:t>
      </w:r>
    </w:p>
    <w:p w14:paraId="1F89E30D">
      <w:pPr>
        <w:pStyle w:val="1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7E9BACB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0B20A27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7773</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731EA90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341405F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6776.35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87.17</w:t>
      </w:r>
      <w:r>
        <w:rPr>
          <w:rFonts w:hint="default" w:ascii="Times New Roman" w:hAnsi="Times New Roman" w:eastAsia="仿宋_GB2312" w:cs="Times New Roman"/>
          <w:sz w:val="32"/>
          <w:szCs w:val="32"/>
          <w:highlight w:val="none"/>
          <w:lang w:val="en-US" w:eastAsia="zh-CN"/>
        </w:rPr>
        <w:t>%。</w:t>
      </w:r>
    </w:p>
    <w:p w14:paraId="68E5BBB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118243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ascii="仿宋_GB2312" w:hAnsi="仿宋_GB2312" w:eastAsia="仿宋_GB2312" w:cs="仿宋_GB2312"/>
          <w:kern w:val="2"/>
          <w:sz w:val="32"/>
          <w:szCs w:val="32"/>
          <w:highlight w:val="none"/>
          <w:lang w:val="en-US" w:eastAsia="zh-CN" w:bidi="ar-SA"/>
        </w:rPr>
        <w:t>&lt;北方地区冬季清洁取暖试点城市绩效评价办法&gt;意见的函》（财建〔2021〕428号）和《昌吉州冬季清洁取暖项目实施方案（2022-2024）》文件要求</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14:paraId="0C6BF2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4834B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83B67CE">
      <w:pPr>
        <w:pStyle w:val="1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0DF787A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24112B72">
      <w:pPr>
        <w:pStyle w:val="6"/>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default" w:eastAsia="仿宋_GB2312" w:cs="Times New Roman"/>
          <w:sz w:val="32"/>
          <w:szCs w:val="32"/>
          <w:highlight w:val="none"/>
          <w:lang w:eastAsia="zh-CN"/>
        </w:rPr>
        <w:t>明确责任主体：</w:t>
      </w:r>
      <w:r>
        <w:rPr>
          <w:rFonts w:hint="eastAsia" w:eastAsia="仿宋_GB2312" w:cs="Times New Roman"/>
          <w:sz w:val="32"/>
          <w:szCs w:val="32"/>
          <w:highlight w:val="none"/>
          <w:lang w:eastAsia="zh-CN"/>
        </w:rPr>
        <w:t>成立奇台县清洁取暖领导小组办公室，由县委领导担任组长，</w:t>
      </w:r>
      <w:r>
        <w:rPr>
          <w:rFonts w:hint="default" w:eastAsia="仿宋_GB2312" w:cs="Times New Roman"/>
          <w:sz w:val="32"/>
          <w:szCs w:val="32"/>
          <w:highlight w:val="none"/>
          <w:lang w:eastAsia="zh-CN"/>
        </w:rPr>
        <w:t>建立县委统筹住建局落实执行，制定专项法规：出台《</w:t>
      </w:r>
      <w:r>
        <w:rPr>
          <w:rFonts w:hint="eastAsia" w:ascii="仿宋_GB2312" w:hAnsi="仿宋_GB2312" w:eastAsia="仿宋_GB2312" w:cs="仿宋_GB2312"/>
          <w:sz w:val="32"/>
          <w:szCs w:val="32"/>
          <w:highlight w:val="none"/>
          <w:lang w:val="en-US" w:eastAsia="zh-CN"/>
        </w:rPr>
        <w:t>《奇台县冬季清洁取暖项目财政专项资金补助及申报验收办法（试行）》。</w:t>
      </w:r>
    </w:p>
    <w:p w14:paraId="326C3EE4">
      <w:pPr>
        <w:pStyle w:val="6"/>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项目流程管控：项目立项和招标经过公开招标，禁止低价恶性竞标。</w:t>
      </w:r>
    </w:p>
    <w:p w14:paraId="61F5C088">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eastAsia="zh-CN"/>
        </w:rPr>
        <w:t>风险防控：极端天气应对：制定“极寒天气供热保障预案”（如启动燃煤应急热源）</w:t>
      </w:r>
    </w:p>
    <w:p w14:paraId="638F52AD">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可持续运维：专业化运营：培育本地化服务企业，签订</w:t>
      </w:r>
      <w:r>
        <w:rPr>
          <w:rFonts w:hint="eastAsia" w:eastAsia="仿宋_GB2312" w:cs="Times New Roman"/>
          <w:sz w:val="32"/>
          <w:szCs w:val="32"/>
          <w:highlight w:val="none"/>
          <w:lang w:val="en-US" w:eastAsia="zh-CN"/>
        </w:rPr>
        <w:t>5年运维协议，（避免“重建轻管”）最终实现“装的上、用的起、可持续”的清洁取暖目标</w:t>
      </w:r>
    </w:p>
    <w:p w14:paraId="27C9C95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42AB2A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1D21EC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2B8C06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20F8CA0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highlight w:val="none"/>
        </w:rPr>
      </w:pPr>
      <w:r>
        <w:rPr>
          <w:rFonts w:hint="eastAsia" w:eastAsia="楷体_GB2312" w:cs="Times New Roman"/>
          <w:b/>
          <w:bCs/>
          <w:sz w:val="32"/>
          <w:szCs w:val="32"/>
          <w:highlight w:val="none"/>
          <w:lang w:eastAsia="zh-CN"/>
        </w:rPr>
        <w:t>（</w:t>
      </w:r>
      <w:r>
        <w:rPr>
          <w:rFonts w:hint="eastAsia" w:eastAsia="楷体_GB2312" w:cs="Times New Roman"/>
          <w:b/>
          <w:bCs/>
          <w:sz w:val="32"/>
          <w:szCs w:val="32"/>
          <w:highlight w:val="none"/>
          <w:lang w:val="en-US" w:eastAsia="zh-CN"/>
        </w:rPr>
        <w:t>三</w:t>
      </w:r>
      <w:r>
        <w:rPr>
          <w:rFonts w:hint="eastAsia" w:eastAsia="楷体_GB2312" w:cs="Times New Roman"/>
          <w:b/>
          <w:bCs/>
          <w:sz w:val="32"/>
          <w:szCs w:val="32"/>
          <w:highlight w:val="none"/>
          <w:lang w:eastAsia="zh-CN"/>
        </w:rPr>
        <w:t>）</w:t>
      </w: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63EADF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28,85</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88.5</w:t>
      </w:r>
      <w:r>
        <w:rPr>
          <w:rFonts w:hint="default" w:ascii="Times New Roman" w:hAnsi="Times New Roman" w:eastAsia="仿宋_GB2312" w:cs="Times New Roman"/>
          <w:sz w:val="32"/>
          <w:szCs w:val="32"/>
          <w:highlight w:val="none"/>
          <w:lang w:val="en-US" w:eastAsia="zh-CN"/>
        </w:rPr>
        <w:t>%。具体产出指标完成情况如下：</w:t>
      </w:r>
    </w:p>
    <w:p w14:paraId="76D8FE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sz w:val="32"/>
          <w:szCs w:val="32"/>
          <w:highlight w:val="none"/>
          <w:lang w:val="en-US" w:eastAsia="zh-CN"/>
        </w:rPr>
      </w:pPr>
      <w:r>
        <w:rPr>
          <w:rFonts w:hint="default" w:eastAsia="仿宋_GB2312"/>
          <w:sz w:val="32"/>
          <w:szCs w:val="32"/>
          <w:highlight w:val="none"/>
          <w:lang w:val="en-US" w:eastAsia="zh-CN"/>
        </w:rPr>
        <w:t>①数量指标：</w:t>
      </w:r>
    </w:p>
    <w:p w14:paraId="4B3727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sz w:val="32"/>
          <w:szCs w:val="32"/>
          <w:highlight w:val="none"/>
          <w:lang w:val="en-US" w:eastAsia="zh-CN"/>
        </w:rPr>
      </w:pPr>
      <w:r>
        <w:rPr>
          <w:rFonts w:hint="default" w:eastAsia="仿宋_GB2312"/>
          <w:sz w:val="32"/>
          <w:szCs w:val="32"/>
          <w:highlight w:val="none"/>
          <w:lang w:val="en-US" w:eastAsia="zh-CN"/>
        </w:rPr>
        <w:t>指标1：已完成改造未发放补助户数，指标值：=6100户，实际完成值：6100户，完成率100%；</w:t>
      </w:r>
    </w:p>
    <w:p w14:paraId="097FC6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sz w:val="32"/>
          <w:szCs w:val="32"/>
          <w:highlight w:val="none"/>
          <w:lang w:val="en-US" w:eastAsia="zh-CN"/>
        </w:rPr>
      </w:pPr>
      <w:r>
        <w:rPr>
          <w:rFonts w:hint="default" w:eastAsia="仿宋_GB2312"/>
          <w:sz w:val="32"/>
          <w:szCs w:val="32"/>
          <w:highlight w:val="none"/>
          <w:lang w:val="en-US" w:eastAsia="zh-CN"/>
        </w:rPr>
        <w:t>指标2：2024年清洁取暖项目实施个数，指标值：4个，实际完成值：4个，完成率100%；</w:t>
      </w:r>
    </w:p>
    <w:p w14:paraId="2FD944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sz w:val="32"/>
          <w:szCs w:val="32"/>
          <w:highlight w:val="none"/>
          <w:lang w:val="en-US" w:eastAsia="zh-CN"/>
        </w:rPr>
      </w:pPr>
      <w:r>
        <w:rPr>
          <w:rFonts w:hint="default" w:eastAsia="仿宋_GB2312"/>
          <w:sz w:val="32"/>
          <w:szCs w:val="32"/>
          <w:highlight w:val="none"/>
          <w:lang w:val="en-US" w:eastAsia="zh-CN"/>
        </w:rPr>
        <w:t>②质量指标</w:t>
      </w:r>
    </w:p>
    <w:p w14:paraId="5CA798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highlight w:val="none"/>
        </w:rPr>
      </w:pPr>
      <w:r>
        <w:rPr>
          <w:rFonts w:hint="default" w:eastAsia="仿宋_GB2312"/>
          <w:sz w:val="32"/>
          <w:szCs w:val="32"/>
          <w:highlight w:val="none"/>
          <w:lang w:val="en-US" w:eastAsia="zh-CN"/>
        </w:rPr>
        <w:t>指标1：项目验收一次通过率（%）指标值：100%，实际完成值：100%，完成率100%；</w:t>
      </w:r>
    </w:p>
    <w:p w14:paraId="740EE9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lang w:eastAsia="zh-CN"/>
        </w:rPr>
        <w:t>时效指标：</w:t>
      </w:r>
    </w:p>
    <w:p w14:paraId="7DBA76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lang w:eastAsia="zh-CN"/>
        </w:rPr>
        <w:t>项目完成及时率（%），指标值：2025年5月，实际完成值：</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eastAsia="zh-CN"/>
        </w:rPr>
        <w:t>，指标完成率</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偏差原因：该项目为跨年项目，目前项目处于实施阶段，未完工；改进措施：合理安排时间，争取在规定时间内完成项目。</w:t>
      </w:r>
      <w:r>
        <w:rPr>
          <w:rFonts w:hint="eastAsia" w:eastAsia="仿宋_GB2312" w:cs="Times New Roman"/>
          <w:sz w:val="32"/>
          <w:szCs w:val="32"/>
          <w:highlight w:val="none"/>
          <w:lang w:val="en-US" w:eastAsia="zh-CN"/>
        </w:rPr>
        <w:br w:type="textWrapping"/>
      </w: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eastAsia" w:eastAsia="仿宋_GB2312" w:cs="Times New Roman"/>
          <w:sz w:val="32"/>
          <w:szCs w:val="32"/>
          <w:highlight w:val="none"/>
          <w:lang w:val="en-US" w:eastAsia="zh-CN"/>
        </w:rPr>
        <w:t>经济</w:t>
      </w:r>
      <w:r>
        <w:rPr>
          <w:rFonts w:hint="default" w:ascii="Times New Roman" w:hAnsi="Times New Roman" w:eastAsia="仿宋_GB2312" w:cs="Times New Roman"/>
          <w:sz w:val="32"/>
          <w:szCs w:val="32"/>
          <w:highlight w:val="none"/>
          <w:lang w:val="en-US" w:eastAsia="zh-CN"/>
        </w:rPr>
        <w:t>成本指标</w:t>
      </w:r>
      <w:r>
        <w:rPr>
          <w:rFonts w:hint="eastAsia" w:ascii="Times New Roman" w:hAnsi="Times New Roman" w:eastAsia="仿宋_GB2312" w:cs="Times New Roman"/>
          <w:sz w:val="32"/>
          <w:szCs w:val="32"/>
          <w:highlight w:val="none"/>
          <w:lang w:val="en-US" w:eastAsia="zh-CN"/>
        </w:rPr>
        <w:t>:</w:t>
      </w:r>
    </w:p>
    <w:p w14:paraId="3ABC66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eastAsia" w:ascii="Times New Roman" w:hAnsi="Times New Roman" w:eastAsia="仿宋_GB2312" w:cs="Times New Roman"/>
          <w:sz w:val="32"/>
          <w:szCs w:val="32"/>
          <w:highlight w:val="none"/>
          <w:lang w:eastAsia="zh-CN"/>
        </w:rPr>
        <w:t>清洁取暖补助支付资金：</w:t>
      </w:r>
      <w:r>
        <w:rPr>
          <w:rFonts w:hint="default" w:ascii="Times New Roman" w:hAnsi="Times New Roman" w:eastAsia="仿宋_GB2312" w:cs="Times New Roman"/>
          <w:sz w:val="32"/>
          <w:szCs w:val="32"/>
          <w:highlight w:val="none"/>
          <w:lang w:eastAsia="zh-CN"/>
        </w:rPr>
        <w:t>指标值：&lt;=5501万元，实际完成值：</w:t>
      </w:r>
      <w:r>
        <w:rPr>
          <w:rFonts w:hint="eastAsia" w:ascii="Times New Roman" w:hAnsi="Times New Roman" w:eastAsia="仿宋_GB2312" w:cs="Times New Roman"/>
          <w:sz w:val="32"/>
          <w:szCs w:val="32"/>
          <w:highlight w:val="none"/>
          <w:lang w:val="en-US" w:eastAsia="zh-CN"/>
        </w:rPr>
        <w:t>4688.55</w:t>
      </w:r>
      <w:r>
        <w:rPr>
          <w:rFonts w:hint="eastAsia"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lang w:eastAsia="zh-CN"/>
        </w:rPr>
        <w:t>，指标完成率</w:t>
      </w:r>
      <w:r>
        <w:rPr>
          <w:rFonts w:hint="eastAsia" w:ascii="Times New Roman" w:hAnsi="Times New Roman"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偏差原因：该项目为跨年项目，目前项目处于实施阶段，未完工；改进措施：根据项目实施进度支付要求，按时支付资金。</w:t>
      </w:r>
    </w:p>
    <w:p w14:paraId="6390E6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指标2：</w:t>
      </w:r>
      <w:r>
        <w:rPr>
          <w:rFonts w:hint="eastAsia" w:ascii="Times New Roman" w:hAnsi="Times New Roman" w:eastAsia="仿宋_GB2312" w:cs="Times New Roman"/>
          <w:sz w:val="32"/>
          <w:szCs w:val="32"/>
          <w:highlight w:val="none"/>
          <w:lang w:eastAsia="zh-CN"/>
        </w:rPr>
        <w:t>清洁取暖补助支付资金：</w:t>
      </w:r>
      <w:r>
        <w:rPr>
          <w:rFonts w:hint="default" w:ascii="Times New Roman" w:hAnsi="Times New Roman" w:eastAsia="仿宋_GB2312" w:cs="Times New Roman"/>
          <w:sz w:val="32"/>
          <w:szCs w:val="32"/>
          <w:highlight w:val="none"/>
          <w:lang w:eastAsia="zh-CN"/>
        </w:rPr>
        <w:t>指标值：&lt;=</w:t>
      </w:r>
      <w:r>
        <w:rPr>
          <w:rFonts w:hint="eastAsia" w:ascii="Times New Roman" w:hAnsi="Times New Roman" w:eastAsia="仿宋_GB2312" w:cs="Times New Roman"/>
          <w:sz w:val="32"/>
          <w:szCs w:val="32"/>
          <w:highlight w:val="none"/>
          <w:lang w:val="en-US" w:eastAsia="zh-CN"/>
        </w:rPr>
        <w:t>2272</w:t>
      </w:r>
      <w:r>
        <w:rPr>
          <w:rFonts w:hint="default" w:ascii="Times New Roman" w:hAnsi="Times New Roman" w:eastAsia="仿宋_GB2312" w:cs="Times New Roman"/>
          <w:sz w:val="32"/>
          <w:szCs w:val="32"/>
          <w:highlight w:val="none"/>
          <w:lang w:eastAsia="zh-CN"/>
        </w:rPr>
        <w:t>万元，实际完成值：</w:t>
      </w:r>
      <w:r>
        <w:rPr>
          <w:rFonts w:hint="eastAsia" w:ascii="Times New Roman" w:hAnsi="Times New Roman" w:eastAsia="仿宋_GB2312" w:cs="Times New Roman"/>
          <w:sz w:val="32"/>
          <w:szCs w:val="32"/>
          <w:highlight w:val="none"/>
          <w:lang w:val="en-US" w:eastAsia="zh-CN"/>
        </w:rPr>
        <w:t>2087.8</w:t>
      </w:r>
      <w:r>
        <w:rPr>
          <w:rFonts w:hint="eastAsia" w:eastAsia="仿宋_GB2312" w:cs="Times New Roman"/>
          <w:sz w:val="32"/>
          <w:szCs w:val="32"/>
          <w:highlight w:val="none"/>
          <w:lang w:val="en-US" w:eastAsia="zh-CN"/>
        </w:rPr>
        <w:t>万元</w:t>
      </w:r>
      <w:r>
        <w:rPr>
          <w:rFonts w:hint="default" w:ascii="Times New Roman" w:hAnsi="Times New Roman" w:eastAsia="仿宋_GB2312" w:cs="Times New Roman"/>
          <w:sz w:val="32"/>
          <w:szCs w:val="32"/>
          <w:highlight w:val="none"/>
          <w:lang w:eastAsia="zh-CN"/>
        </w:rPr>
        <w:t>，指标完成率</w:t>
      </w:r>
      <w:r>
        <w:rPr>
          <w:rFonts w:hint="eastAsia" w:ascii="Times New Roman" w:hAnsi="Times New Roman" w:eastAsia="仿宋_GB2312" w:cs="Times New Roman"/>
          <w:sz w:val="32"/>
          <w:szCs w:val="32"/>
          <w:highlight w:val="none"/>
          <w:lang w:val="en-US" w:eastAsia="zh-CN"/>
        </w:rPr>
        <w:t>91.8</w:t>
      </w:r>
      <w:r>
        <w:rPr>
          <w:rFonts w:hint="default"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eastAsia="zh-CN"/>
        </w:rPr>
        <w:t>。偏差原因：该项目为跨年项目，目前项目处于实施阶段，未完工；改进措施：根据项目实施进度支付要求，按时支付资金。</w:t>
      </w:r>
    </w:p>
    <w:p w14:paraId="75BC438A">
      <w:pPr>
        <w:ind w:firstLine="640" w:firstLineChars="200"/>
        <w:rPr>
          <w:rFonts w:hint="default" w:ascii="Times New Roman" w:hAnsi="Times New Roman" w:eastAsia="楷体_GB2312" w:cs="Times New Roman"/>
          <w:b/>
          <w:bCs/>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四</w:t>
      </w:r>
      <w:r>
        <w:rPr>
          <w:rFonts w:hint="eastAsia" w:eastAsia="仿宋_GB2312" w:cs="Times New Roman"/>
          <w:sz w:val="32"/>
          <w:szCs w:val="32"/>
          <w:highlight w:val="none"/>
          <w:lang w:eastAsia="zh-CN"/>
        </w:rPr>
        <w:t>）</w:t>
      </w:r>
      <w:r>
        <w:rPr>
          <w:rFonts w:hint="default" w:ascii="Times New Roman" w:hAnsi="Times New Roman" w:eastAsia="楷体_GB2312" w:cs="Times New Roman"/>
          <w:b/>
          <w:bCs/>
          <w:sz w:val="32"/>
          <w:szCs w:val="32"/>
          <w:highlight w:val="none"/>
          <w:lang w:val="en-US" w:eastAsia="zh-CN"/>
        </w:rPr>
        <w:t>项目效益情况</w:t>
      </w:r>
    </w:p>
    <w:p w14:paraId="386F44F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42E678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1.实施效益</w:t>
      </w:r>
    </w:p>
    <w:p w14:paraId="218DACA3">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14:paraId="5517DCD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2024年本项目未设置经济效益指标</w:t>
      </w:r>
    </w:p>
    <w:p w14:paraId="375D5D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14:paraId="360933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lang w:eastAsia="zh-CN"/>
        </w:rPr>
        <w:t>降低大气污染节能减排改善民生，指标值：有效降低污染，有效改善民生，实际完成值：</w:t>
      </w:r>
      <w:r>
        <w:rPr>
          <w:rFonts w:hint="eastAsia" w:ascii="Times New Roman" w:hAnsi="Times New Roman" w:eastAsia="仿宋_GB2312" w:cs="Times New Roman"/>
          <w:sz w:val="32"/>
          <w:szCs w:val="32"/>
          <w:highlight w:val="none"/>
          <w:lang w:val="en-US" w:eastAsia="zh-CN"/>
        </w:rPr>
        <w:t>有效降低污染，有效改善民生</w:t>
      </w:r>
      <w:r>
        <w:rPr>
          <w:rFonts w:hint="default" w:ascii="Times New Roman" w:hAnsi="Times New Roman" w:eastAsia="仿宋_GB2312" w:cs="Times New Roman"/>
          <w:sz w:val="32"/>
          <w:szCs w:val="32"/>
          <w:highlight w:val="none"/>
          <w:lang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eastAsia="zh-CN"/>
        </w:rPr>
        <w:t>%，</w:t>
      </w:r>
    </w:p>
    <w:p w14:paraId="3FE67DF1">
      <w:pPr>
        <w:numPr>
          <w:ilvl w:val="-1"/>
          <w:numId w:val="0"/>
        </w:numPr>
        <w:shd w:val="clear"/>
        <w:spacing w:line="56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指标2：</w:t>
      </w:r>
    </w:p>
    <w:p w14:paraId="1667FD9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③生态效益指标：</w:t>
      </w:r>
    </w:p>
    <w:p w14:paraId="3170ED92">
      <w:pPr>
        <w:numPr>
          <w:ilvl w:val="-1"/>
          <w:numId w:val="0"/>
        </w:numPr>
        <w:shd w:val="clear"/>
        <w:spacing w:line="56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2024年本项目未设置生态效益指标</w:t>
      </w:r>
    </w:p>
    <w:p w14:paraId="2BB86C6B">
      <w:pPr>
        <w:numPr>
          <w:ilvl w:val="-1"/>
          <w:numId w:val="0"/>
        </w:numPr>
        <w:shd w:val="clear"/>
        <w:spacing w:line="56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满意度指标</w:t>
      </w:r>
      <w:r>
        <w:rPr>
          <w:rFonts w:hint="eastAsia" w:eastAsia="仿宋_GB2312" w:cs="Times New Roman"/>
          <w:sz w:val="32"/>
          <w:szCs w:val="32"/>
          <w:highlight w:val="none"/>
          <w:lang w:val="en-US" w:eastAsia="zh-CN"/>
        </w:rPr>
        <w:t>：</w:t>
      </w:r>
    </w:p>
    <w:p w14:paraId="0F3D2111">
      <w:pPr>
        <w:numPr>
          <w:ilvl w:val="-1"/>
          <w:numId w:val="0"/>
        </w:numPr>
        <w:shd w:val="clear"/>
        <w:spacing w:line="560" w:lineRule="exact"/>
        <w:ind w:firstLine="640" w:firstLineChars="200"/>
        <w:outlineLvl w:val="9"/>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指标值：</w:t>
      </w:r>
      <w:r>
        <w:rPr>
          <w:rFonts w:hint="eastAsia" w:eastAsia="仿宋_GB2312" w:cs="Times New Roman"/>
          <w:sz w:val="32"/>
          <w:szCs w:val="32"/>
          <w:highlight w:val="none"/>
          <w:lang w:val="en-US" w:eastAsia="zh-CN"/>
        </w:rPr>
        <w:t>受益群众满意度&gt;=90%</w:t>
      </w:r>
      <w:r>
        <w:rPr>
          <w:rFonts w:hint="default" w:ascii="Times New Roman" w:hAnsi="Times New Roman" w:eastAsia="仿宋_GB2312" w:cs="Times New Roman"/>
          <w:sz w:val="32"/>
          <w:szCs w:val="32"/>
          <w:highlight w:val="none"/>
          <w:lang w:eastAsia="zh-CN"/>
        </w:rPr>
        <w:t>，实际完成值：</w:t>
      </w:r>
      <w:r>
        <w:rPr>
          <w:rFonts w:hint="eastAsia" w:eastAsia="仿宋_GB2312" w:cs="Times New Roman"/>
          <w:sz w:val="32"/>
          <w:szCs w:val="32"/>
          <w:highlight w:val="none"/>
          <w:lang w:val="en-US" w:eastAsia="zh-CN"/>
        </w:rPr>
        <w:t>受益群众满意度</w:t>
      </w:r>
      <w:r>
        <w:rPr>
          <w:rFonts w:hint="eastAsia" w:ascii="Times New Roman" w:hAnsi="Times New Roman"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lang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eastAsia="zh-CN"/>
        </w:rPr>
        <w:t>%，</w:t>
      </w:r>
    </w:p>
    <w:p w14:paraId="400A49EC">
      <w:pPr>
        <w:pStyle w:val="8"/>
        <w:widowControl w:val="0"/>
        <w:numPr>
          <w:ilvl w:val="0"/>
          <w:numId w:val="7"/>
        </w:numPr>
        <w:spacing w:before="0" w:after="0" w:line="560" w:lineRule="exact"/>
        <w:ind w:left="0" w:leftChars="0" w:firstLine="643" w:firstLineChars="200"/>
        <w:jc w:val="both"/>
        <w:outlineLvl w:val="9"/>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Hans"/>
        </w:rPr>
        <w:t>预算执行进度与绩效指标总体完成率偏差</w:t>
      </w:r>
    </w:p>
    <w:p w14:paraId="644C30EE">
      <w:pPr>
        <w:pStyle w:val="8"/>
        <w:widowControl w:val="0"/>
        <w:numPr>
          <w:ilvl w:val="-1"/>
          <w:numId w:val="0"/>
        </w:numPr>
        <w:spacing w:before="0" w:after="0" w:line="560" w:lineRule="exact"/>
        <w:ind w:leftChars="0" w:firstLine="640" w:firstLineChars="200"/>
        <w:jc w:val="both"/>
        <w:outlineLvl w:val="9"/>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仿宋_GB2312" w:cs="Times New Roman"/>
          <w:b w:val="0"/>
          <w:bCs w:val="0"/>
          <w:highlight w:val="none"/>
          <w:lang w:val="en-US" w:eastAsia="zh-CN"/>
        </w:rPr>
        <w:t>2024年昌吉州冬季清洁取暖项目该项目年初预算7773万元，全年预算7773万元，全年</w:t>
      </w:r>
      <w:r>
        <w:rPr>
          <w:rFonts w:hint="eastAsia" w:ascii="Times New Roman" w:hAnsi="Times New Roman" w:eastAsia="仿宋_GB2312" w:cs="Times New Roman"/>
          <w:b w:val="0"/>
          <w:bCs w:val="0"/>
          <w:highlight w:val="none"/>
          <w:lang w:val="en-US" w:eastAsia="zh-CN"/>
        </w:rPr>
        <w:t>实际支出</w:t>
      </w:r>
      <w:r>
        <w:rPr>
          <w:rFonts w:hint="default" w:ascii="Times New Roman" w:hAnsi="Times New Roman" w:eastAsia="仿宋_GB2312" w:cs="Times New Roman"/>
          <w:b w:val="0"/>
          <w:bCs w:val="0"/>
          <w:highlight w:val="none"/>
          <w:lang w:val="en-US" w:eastAsia="zh-CN"/>
        </w:rPr>
        <w:t>6756.35万元，预算执行率为</w:t>
      </w:r>
      <w:r>
        <w:rPr>
          <w:rFonts w:hint="eastAsia" w:ascii="Times New Roman" w:hAnsi="Times New Roman" w:eastAsia="仿宋_GB2312" w:cs="Times New Roman"/>
          <w:b w:val="0"/>
          <w:bCs w:val="0"/>
          <w:highlight w:val="none"/>
          <w:lang w:val="en-US" w:eastAsia="zh-CN"/>
        </w:rPr>
        <w:t>86.92</w:t>
      </w:r>
      <w:r>
        <w:rPr>
          <w:rFonts w:hint="default" w:ascii="Times New Roman" w:hAnsi="Times New Roman" w:eastAsia="仿宋_GB2312" w:cs="Times New Roman"/>
          <w:b w:val="0"/>
          <w:bCs w:val="0"/>
          <w:highlight w:val="none"/>
          <w:lang w:val="en-US" w:eastAsia="zh-CN"/>
        </w:rPr>
        <w:t>%，项目绩效指标总体完成率为</w:t>
      </w:r>
      <w:r>
        <w:rPr>
          <w:rFonts w:hint="eastAsia" w:ascii="Times New Roman" w:hAnsi="Times New Roman" w:eastAsia="仿宋_GB2312" w:cs="Times New Roman"/>
          <w:b w:val="0"/>
          <w:bCs w:val="0"/>
          <w:highlight w:val="none"/>
          <w:lang w:val="en-US" w:eastAsia="zh-CN"/>
        </w:rPr>
        <w:t>82.94%，总体偏差率为3.98%，偏差原因：该项目为跨年项目，目前项目处于实施阶段，未完工；改进措施：根据项目实施进度支付要求，按时支付资金。</w:t>
      </w:r>
    </w:p>
    <w:p w14:paraId="794EE3DD">
      <w:pPr>
        <w:spacing w:line="560" w:lineRule="exact"/>
        <w:ind w:firstLine="640" w:firstLineChars="200"/>
        <w:rPr>
          <w:rStyle w:val="15"/>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14:paraId="1B2C609D">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058489D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 政策引导与财政补贴</w:t>
      </w:r>
    </w:p>
    <w:p w14:paraId="10B6E11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 中央和地方出台多项政策，提供财政补贴，降低用户改造成本。设立专项资金，支持清洁能源设备购置和安装。</w:t>
      </w:r>
    </w:p>
    <w:p w14:paraId="4BD897DD">
      <w:pPr>
        <w:numPr>
          <w:ilvl w:val="0"/>
          <w:numId w:val="0"/>
        </w:numPr>
        <w:spacing w:line="560" w:lineRule="exact"/>
        <w:ind w:leftChars="200" w:firstLine="320" w:firstLineChars="1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 xml:space="preserve">技术路线多样化 </w:t>
      </w:r>
    </w:p>
    <w:p w14:paraId="4F683208">
      <w:pPr>
        <w:numPr>
          <w:ilvl w:val="0"/>
          <w:numId w:val="0"/>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根据地区资源禀赋选择合适技术，如空气源热泵、</w:t>
      </w:r>
      <w:r>
        <w:rPr>
          <w:rFonts w:hint="eastAsia" w:eastAsia="仿宋_GB2312" w:cs="Times New Roman"/>
          <w:sz w:val="32"/>
          <w:szCs w:val="32"/>
          <w:highlight w:val="none"/>
          <w:lang w:val="en-US" w:eastAsia="zh-CN"/>
        </w:rPr>
        <w:t>高温辐射板、电锅炉、硅晶壁画、发热电缆</w:t>
      </w:r>
      <w:r>
        <w:rPr>
          <w:rFonts w:hint="default" w:ascii="Times New Roman" w:hAnsi="Times New Roman" w:eastAsia="仿宋_GB2312" w:cs="Times New Roman"/>
          <w:sz w:val="32"/>
          <w:szCs w:val="32"/>
          <w:highlight w:val="none"/>
          <w:lang w:val="en-US" w:eastAsia="zh-CN"/>
        </w:rPr>
        <w:t>等。推广“煤改电”“煤改气”等模式，因地制宜选择方案。</w:t>
      </w:r>
    </w:p>
    <w:p w14:paraId="73D34A61">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 试点示范先行</w:t>
      </w:r>
    </w:p>
    <w:p w14:paraId="06D8C71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通过试点项目探索可行模式，积累经验后逐步推广。</w:t>
      </w:r>
    </w:p>
    <w:p w14:paraId="63B1F79C">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示范工程带动周边区域，形成规模效应。</w:t>
      </w:r>
    </w:p>
    <w:p w14:paraId="7D5A2E8B">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 多方协同推进</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政府、企业、用户多方合作，形成合力。</w:t>
      </w:r>
    </w:p>
    <w:p w14:paraId="4D2D798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 宣传培训</w:t>
      </w:r>
    </w:p>
    <w:p w14:paraId="1D429DF8">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加强用户宣传，提高对清洁取暖的认知和接受度。开展技术培训，提升安装和维护能力。</w:t>
      </w:r>
    </w:p>
    <w:p w14:paraId="59E5F526">
      <w:pPr>
        <w:spacing w:line="560" w:lineRule="exact"/>
        <w:ind w:firstLine="627" w:firstLineChars="200"/>
        <w:rPr>
          <w:rFonts w:hint="default" w:ascii="Times New Roman" w:hAnsi="Times New Roman" w:eastAsia="楷体" w:cs="Times New Roman"/>
          <w:b/>
          <w:spacing w:val="-4"/>
          <w:sz w:val="32"/>
          <w:szCs w:val="32"/>
          <w:highlight w:val="none"/>
          <w:lang w:val="en-US" w:eastAsia="zh-CN"/>
        </w:rPr>
      </w:pPr>
      <w:r>
        <w:rPr>
          <w:rFonts w:hint="eastAsia" w:eastAsia="楷体" w:cs="Times New Roman"/>
          <w:b/>
          <w:spacing w:val="-4"/>
          <w:sz w:val="32"/>
          <w:szCs w:val="32"/>
          <w:highlight w:val="none"/>
          <w:lang w:val="en-US" w:eastAsia="zh-CN"/>
        </w:rPr>
        <w:t>（二）</w:t>
      </w:r>
      <w:r>
        <w:rPr>
          <w:rFonts w:hint="default" w:ascii="Times New Roman" w:hAnsi="Times New Roman" w:eastAsia="楷体" w:cs="Times New Roman"/>
          <w:b/>
          <w:spacing w:val="-4"/>
          <w:sz w:val="32"/>
          <w:szCs w:val="32"/>
          <w:highlight w:val="none"/>
          <w:lang w:val="en-US" w:eastAsia="zh-CN"/>
        </w:rPr>
        <w:t>存在问题及原因分析</w:t>
      </w:r>
    </w:p>
    <w:p w14:paraId="0D031A3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1.财政补贴依赖性强：用户习惯依赖补贴，一旦补贴减少或退出，可能难以持续。原因：清洁取暖初期投资高，运行成本较高，用户经济承受能力有限。</w:t>
      </w:r>
    </w:p>
    <w:p w14:paraId="67B4EF9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2.技术适用性不足</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部分</w:t>
      </w:r>
      <w:r>
        <w:rPr>
          <w:rFonts w:hint="eastAsia" w:eastAsia="仿宋_GB2312" w:cs="Times New Roman"/>
          <w:sz w:val="32"/>
          <w:szCs w:val="32"/>
          <w:highlight w:val="none"/>
          <w:lang w:val="en-US" w:eastAsia="zh-CN"/>
        </w:rPr>
        <w:t>乡镇农户因知识有限，对电采暖所采用的</w:t>
      </w:r>
      <w:r>
        <w:rPr>
          <w:rFonts w:hint="default" w:ascii="Times New Roman" w:hAnsi="Times New Roman" w:eastAsia="仿宋_GB2312" w:cs="Times New Roman"/>
          <w:sz w:val="32"/>
          <w:szCs w:val="32"/>
          <w:highlight w:val="none"/>
          <w:lang w:val="en-US" w:eastAsia="zh-CN"/>
        </w:rPr>
        <w:t>技术选择不合理，导致效果不佳。原因：未充分考虑当地气候、资源、基础设施等条件，盲目套用其他地区经验。</w:t>
      </w:r>
    </w:p>
    <w:p w14:paraId="40DE21FC">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3.基础设施不完善电力、燃气等配套不足，影响清洁取暖效果。原因：农村地区电网、气管网薄弱，改造升级投入大、周期长。</w:t>
      </w:r>
    </w:p>
    <w:p w14:paraId="6E5FF5AE">
      <w:pPr>
        <w:numPr>
          <w:ilvl w:val="0"/>
          <w:numId w:val="0"/>
        </w:numPr>
        <w:spacing w:line="560" w:lineRule="exact"/>
        <w:ind w:leftChars="0"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运行维护困难</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设备后期维护不到位，影响使用效果和寿命。原因：缺乏专业技术人员，售后服务网络不健全。</w:t>
      </w:r>
    </w:p>
    <w:p w14:paraId="69F390EC">
      <w:pPr>
        <w:numPr>
          <w:ilvl w:val="0"/>
          <w:numId w:val="0"/>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用户接受度低</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部分用户对新技术不了解，仍习惯传统取暖方式。宣传不到位，用户对清洁取暖的经济性和环保性认识不足。</w:t>
      </w:r>
    </w:p>
    <w:p w14:paraId="687FB03A">
      <w:pPr>
        <w:numPr>
          <w:ilvl w:val="0"/>
          <w:numId w:val="0"/>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经济性不足</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部分清洁取暖方式运行成本高，用户负担加重。能源价格波动大，清洁能源成本较高，缺乏长期经济激励。</w:t>
      </w:r>
    </w:p>
    <w:p w14:paraId="4438BCB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（三）</w:t>
      </w:r>
      <w:r>
        <w:rPr>
          <w:rFonts w:hint="default" w:ascii="Times New Roman" w:hAnsi="Times New Roman" w:eastAsia="仿宋_GB2312" w:cs="Times New Roman"/>
          <w:sz w:val="32"/>
          <w:szCs w:val="32"/>
          <w:highlight w:val="none"/>
          <w:lang w:val="en-US" w:eastAsia="zh-CN"/>
        </w:rPr>
        <w:t>改进建议</w:t>
      </w:r>
    </w:p>
    <w:p w14:paraId="7740587D">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优化补贴政策：逐步从设备补贴转向运行补贴，建立长效机制。</w:t>
      </w:r>
    </w:p>
    <w:p w14:paraId="29ED53D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加强技术适配性：根据</w:t>
      </w:r>
      <w:r>
        <w:rPr>
          <w:rFonts w:hint="eastAsia" w:eastAsia="仿宋_GB2312"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地区特点选择最适合的技术路线。</w:t>
      </w:r>
    </w:p>
    <w:p w14:paraId="55FA4A5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完善基础设施：加大电网、气管网等配套建设投入。</w:t>
      </w:r>
    </w:p>
    <w:p w14:paraId="27D2DD8E">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健全服务体系：建立完善的售后和维护网络，提升服务质量。</w:t>
      </w:r>
    </w:p>
    <w:p w14:paraId="6B8D7C4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加大宣传力度：通过多种渠道普及清洁取暖知识，提高用户接受度。</w:t>
      </w:r>
    </w:p>
    <w:p w14:paraId="6424BEB8">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通过总结经验和解决问题，清洁取暖项目可以更加高效、可持续地推进，实现环保与民生改善的双赢。</w:t>
      </w:r>
    </w:p>
    <w:p w14:paraId="4825D19F">
      <w:pPr>
        <w:pStyle w:val="8"/>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eastAsia" w:ascii="Times New Roman" w:hAnsi="Times New Roman" w:eastAsia="仿宋_GB2312" w:cs="Times New Roman"/>
          <w:b w:val="0"/>
          <w:bCs w:val="0"/>
          <w:kern w:val="2"/>
          <w:highlight w:val="none"/>
          <w:lang w:val="en-US" w:eastAsia="zh-CN"/>
        </w:rPr>
        <w:t>7.</w:t>
      </w: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443744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16C7BEC">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14:paraId="0AFFA46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112AB8D8">
      <w:pPr>
        <w:shd w:val="clear"/>
        <w:spacing w:line="600" w:lineRule="exact"/>
        <w:ind w:firstLine="640" w:firstLineChars="200"/>
        <w:outlineLvl w:val="0"/>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2.专门设定对绩效工作人员定职、定岗、定责等相关制度措施，进一步提升我单位绩效管理工作业务水平，扎实做好绩效管理工作。项目评价过程中有关数据和资料的收集、整理、审核及分析</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项目后续管理有待进一步加强和跟踪</w:t>
      </w:r>
      <w:r>
        <w:rPr>
          <w:rFonts w:hint="default" w:ascii="Times New Roman" w:hAnsi="Times New Roman" w:eastAsia="仿宋_GB2312" w:cs="Times New Roman"/>
          <w:sz w:val="36"/>
          <w:szCs w:val="32"/>
          <w:highlight w:val="none"/>
        </w:rPr>
        <w:t>。</w:t>
      </w:r>
    </w:p>
    <w:p w14:paraId="3F93EB1F">
      <w:pPr>
        <w:shd w:val="clear"/>
        <w:spacing w:line="600" w:lineRule="exact"/>
        <w:ind w:firstLine="640" w:firstLineChars="200"/>
        <w:outlineLvl w:val="0"/>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w:t>
      </w:r>
    </w:p>
    <w:p w14:paraId="008240D8">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5" w:name="page8"/>
      <w:bookmarkEnd w:id="5"/>
      <w:r>
        <w:rPr>
          <w:rFonts w:hint="default" w:ascii="Times New Roman" w:hAnsi="Times New Roman" w:eastAsia="黑体" w:cs="Times New Roman"/>
          <w:sz w:val="32"/>
          <w:szCs w:val="32"/>
          <w:highlight w:val="none"/>
        </w:rPr>
        <w:t>明的问题</w:t>
      </w:r>
    </w:p>
    <w:p w14:paraId="3C207377">
      <w:pPr>
        <w:pStyle w:val="10"/>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14:paraId="698B1721">
      <w:pPr>
        <w:pStyle w:val="10"/>
        <w:spacing w:after="0" w:line="560" w:lineRule="exact"/>
        <w:ind w:left="0" w:leftChars="0" w:firstLine="0" w:firstLineChars="0"/>
        <w:rPr>
          <w:rFonts w:hint="eastAsia" w:ascii="Times New Roman" w:hAnsi="Times New Roman" w:eastAsia="仿宋_GB2312" w:cs="Times New Roman"/>
          <w:sz w:val="32"/>
          <w:szCs w:val="32"/>
          <w:highlight w:val="none"/>
          <w:lang w:eastAsia="zh-CN"/>
        </w:rPr>
      </w:pPr>
    </w:p>
    <w:p w14:paraId="2EA95DF1">
      <w:pPr>
        <w:rPr>
          <w:highlight w:val="none"/>
        </w:rPr>
      </w:pPr>
    </w:p>
    <w:p w14:paraId="29111E32">
      <w:pPr>
        <w:rPr>
          <w:highlight w:val="none"/>
        </w:rPr>
      </w:pPr>
    </w:p>
    <w:p w14:paraId="32019AEB">
      <w:pPr>
        <w:rPr>
          <w:highlight w:val="none"/>
        </w:rPr>
        <w:sectPr>
          <w:pgSz w:w="11906" w:h="16838"/>
          <w:pgMar w:top="1440" w:right="1800" w:bottom="1440" w:left="1800" w:header="851" w:footer="992" w:gutter="0"/>
          <w:cols w:space="425" w:num="1"/>
          <w:docGrid w:type="lines" w:linePitch="312" w:charSpace="0"/>
        </w:sectPr>
      </w:pPr>
    </w:p>
    <w:p w14:paraId="436614FB">
      <w:pPr>
        <w:pStyle w:val="14"/>
        <w:ind w:firstLine="562"/>
        <w:jc w:val="center"/>
        <w:rPr>
          <w:rFonts w:hint="eastAsia" w:ascii="仿宋_GB2312" w:hAnsi="仿宋_GB2312" w:eastAsia="仿宋_GB2312" w:cs="仿宋_GB2312"/>
          <w:sz w:val="28"/>
          <w:szCs w:val="40"/>
          <w:highlight w:val="none"/>
        </w:rPr>
      </w:pPr>
      <w:bookmarkStart w:id="6" w:name="_Toc30064_WPSOffice_Level1"/>
      <w:bookmarkStart w:id="7" w:name="_Toc26499_WPSOffice_Level2"/>
      <w:r>
        <w:rPr>
          <w:rFonts w:hint="eastAsia" w:ascii="仿宋_GB2312" w:hAnsi="仿宋_GB2312" w:eastAsia="仿宋_GB2312" w:cs="仿宋_GB2312"/>
          <w:b/>
          <w:bCs/>
          <w:sz w:val="28"/>
          <w:szCs w:val="40"/>
          <w:highlight w:val="none"/>
        </w:rPr>
        <w:t>项目绩效评价指标体系及综合评分表</w:t>
      </w:r>
      <w:bookmarkEnd w:id="6"/>
      <w:bookmarkEnd w:id="7"/>
    </w:p>
    <w:tbl>
      <w:tblPr>
        <w:tblStyle w:val="11"/>
        <w:tblW w:w="1246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147"/>
      </w:tblGrid>
      <w:tr w14:paraId="6670F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2F578EC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786205E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4040FF1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14:paraId="3BF80E9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14:paraId="72932BB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14:paraId="3A6574B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147" w:type="dxa"/>
            <w:shd w:val="clear" w:color="auto" w:fill="FFFFFF"/>
            <w:vAlign w:val="center"/>
          </w:tcPr>
          <w:p w14:paraId="772A39F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476EAB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642C5016">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F1E5E0D">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A108167">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2530CD5">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BFD2E2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39297B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E39973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37381F2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2225315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55B9534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14:paraId="773AE22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345B5B85">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14:paraId="2E7C092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147" w:type="dxa"/>
            <w:shd w:val="clear" w:color="auto" w:fill="FFFFFF"/>
            <w:vAlign w:val="center"/>
          </w:tcPr>
          <w:p w14:paraId="416A13C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A633C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1ABC54D">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F7C676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AC78E5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43BFDBE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14:paraId="3F8EB7F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46048618">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153AE4E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147" w:type="dxa"/>
            <w:shd w:val="clear" w:color="auto" w:fill="FFFFFF"/>
            <w:vAlign w:val="center"/>
          </w:tcPr>
          <w:p w14:paraId="619C01A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A2E71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7E259B63">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46606E2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4D6E01A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7006202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14:paraId="0102C67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797D613B">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5FA6761A">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14:paraId="04A86FE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147" w:type="dxa"/>
            <w:shd w:val="clear" w:color="000000" w:fill="FFFFFF"/>
            <w:vAlign w:val="center"/>
          </w:tcPr>
          <w:p w14:paraId="5CCD6D1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F51E9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2DD5C2A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8BB9F6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A93BF3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6A3DDF6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14:paraId="6149554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771274E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14:paraId="7DDED3F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147" w:type="dxa"/>
            <w:shd w:val="clear" w:color="000000" w:fill="FFFFFF"/>
            <w:vAlign w:val="center"/>
          </w:tcPr>
          <w:p w14:paraId="4F62A3E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379A8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07DB44B2">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4858599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05086764">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312C650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36F1787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14:paraId="380DEC7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0F2DC9C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14:paraId="5C4EE22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47" w:type="dxa"/>
            <w:shd w:val="clear" w:color="auto" w:fill="FFFFFF"/>
            <w:vAlign w:val="center"/>
          </w:tcPr>
          <w:p w14:paraId="6CBFADA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4A9E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633B2E0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562823F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41F0F9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64F2336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14:paraId="36352C9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100C4B4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14:paraId="443A0DA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47" w:type="dxa"/>
            <w:shd w:val="clear" w:color="auto" w:fill="FFFFFF"/>
            <w:vAlign w:val="center"/>
          </w:tcPr>
          <w:p w14:paraId="67FC45F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67C3A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2A2B2DBB">
            <w:pPr>
              <w:spacing w:line="0" w:lineRule="atLeast"/>
              <w:jc w:val="center"/>
              <w:rPr>
                <w:rFonts w:hint="default" w:ascii="Times New Roman" w:hAnsi="Times New Roman" w:eastAsia="仿宋_GB2312" w:cs="Times New Roman"/>
                <w:color w:val="000000"/>
                <w:kern w:val="0"/>
                <w:sz w:val="18"/>
                <w:szCs w:val="18"/>
                <w:highlight w:val="none"/>
              </w:rPr>
            </w:pPr>
          </w:p>
          <w:p w14:paraId="0DAD6BE9">
            <w:pPr>
              <w:spacing w:line="0" w:lineRule="atLeast"/>
              <w:jc w:val="center"/>
              <w:rPr>
                <w:rFonts w:hint="default" w:ascii="Times New Roman" w:hAnsi="Times New Roman" w:eastAsia="仿宋_GB2312" w:cs="Times New Roman"/>
                <w:color w:val="000000"/>
                <w:kern w:val="0"/>
                <w:sz w:val="18"/>
                <w:szCs w:val="18"/>
                <w:highlight w:val="none"/>
              </w:rPr>
            </w:pPr>
          </w:p>
          <w:p w14:paraId="36B83652">
            <w:pPr>
              <w:spacing w:line="0" w:lineRule="atLeast"/>
              <w:jc w:val="center"/>
              <w:rPr>
                <w:rFonts w:hint="default" w:ascii="Times New Roman" w:hAnsi="Times New Roman" w:eastAsia="仿宋_GB2312" w:cs="Times New Roman"/>
                <w:color w:val="000000"/>
                <w:kern w:val="0"/>
                <w:sz w:val="18"/>
                <w:szCs w:val="18"/>
                <w:highlight w:val="none"/>
              </w:rPr>
            </w:pPr>
          </w:p>
          <w:p w14:paraId="2A5BE763">
            <w:pPr>
              <w:spacing w:line="0" w:lineRule="atLeast"/>
              <w:jc w:val="center"/>
              <w:rPr>
                <w:rFonts w:hint="default" w:ascii="Times New Roman" w:hAnsi="Times New Roman" w:eastAsia="仿宋_GB2312" w:cs="Times New Roman"/>
                <w:color w:val="000000"/>
                <w:kern w:val="0"/>
                <w:sz w:val="18"/>
                <w:szCs w:val="18"/>
                <w:highlight w:val="none"/>
              </w:rPr>
            </w:pPr>
          </w:p>
          <w:p w14:paraId="6495C32E">
            <w:pPr>
              <w:spacing w:line="0" w:lineRule="atLeast"/>
              <w:jc w:val="center"/>
              <w:rPr>
                <w:rFonts w:hint="default" w:ascii="Times New Roman" w:hAnsi="Times New Roman" w:eastAsia="仿宋_GB2312" w:cs="Times New Roman"/>
                <w:color w:val="000000"/>
                <w:kern w:val="0"/>
                <w:sz w:val="18"/>
                <w:szCs w:val="18"/>
                <w:highlight w:val="none"/>
              </w:rPr>
            </w:pPr>
          </w:p>
          <w:p w14:paraId="53277706">
            <w:pPr>
              <w:spacing w:line="0" w:lineRule="atLeast"/>
              <w:jc w:val="center"/>
              <w:rPr>
                <w:rFonts w:hint="default" w:ascii="Times New Roman" w:hAnsi="Times New Roman" w:eastAsia="仿宋_GB2312" w:cs="Times New Roman"/>
                <w:color w:val="000000"/>
                <w:kern w:val="0"/>
                <w:sz w:val="18"/>
                <w:szCs w:val="18"/>
                <w:highlight w:val="none"/>
              </w:rPr>
            </w:pPr>
          </w:p>
          <w:p w14:paraId="347739EF">
            <w:pPr>
              <w:spacing w:line="0" w:lineRule="atLeast"/>
              <w:jc w:val="center"/>
              <w:rPr>
                <w:rFonts w:hint="default" w:ascii="Times New Roman" w:hAnsi="Times New Roman" w:eastAsia="仿宋_GB2312" w:cs="Times New Roman"/>
                <w:color w:val="000000"/>
                <w:kern w:val="0"/>
                <w:sz w:val="18"/>
                <w:szCs w:val="18"/>
                <w:highlight w:val="none"/>
              </w:rPr>
            </w:pPr>
          </w:p>
          <w:p w14:paraId="5236DED6">
            <w:pPr>
              <w:spacing w:line="0" w:lineRule="atLeast"/>
              <w:jc w:val="center"/>
              <w:rPr>
                <w:rFonts w:hint="default" w:ascii="Times New Roman" w:hAnsi="Times New Roman" w:eastAsia="仿宋_GB2312" w:cs="Times New Roman"/>
                <w:color w:val="000000"/>
                <w:kern w:val="0"/>
                <w:sz w:val="18"/>
                <w:szCs w:val="18"/>
                <w:highlight w:val="none"/>
              </w:rPr>
            </w:pPr>
          </w:p>
          <w:p w14:paraId="334B92BD">
            <w:pPr>
              <w:spacing w:line="0" w:lineRule="atLeast"/>
              <w:jc w:val="center"/>
              <w:rPr>
                <w:rFonts w:hint="default" w:ascii="Times New Roman" w:hAnsi="Times New Roman" w:eastAsia="仿宋_GB2312" w:cs="Times New Roman"/>
                <w:color w:val="000000"/>
                <w:kern w:val="0"/>
                <w:sz w:val="18"/>
                <w:szCs w:val="18"/>
                <w:highlight w:val="none"/>
              </w:rPr>
            </w:pPr>
          </w:p>
          <w:p w14:paraId="60966D15">
            <w:pPr>
              <w:spacing w:line="0" w:lineRule="atLeast"/>
              <w:jc w:val="center"/>
              <w:rPr>
                <w:rFonts w:hint="default" w:ascii="Times New Roman" w:hAnsi="Times New Roman" w:eastAsia="仿宋_GB2312" w:cs="Times New Roman"/>
                <w:color w:val="000000"/>
                <w:kern w:val="0"/>
                <w:sz w:val="18"/>
                <w:szCs w:val="18"/>
                <w:highlight w:val="none"/>
              </w:rPr>
            </w:pPr>
          </w:p>
          <w:p w14:paraId="1BA51BC2">
            <w:pPr>
              <w:spacing w:line="0" w:lineRule="atLeast"/>
              <w:jc w:val="center"/>
              <w:rPr>
                <w:rFonts w:hint="default" w:ascii="Times New Roman" w:hAnsi="Times New Roman" w:eastAsia="仿宋_GB2312" w:cs="Times New Roman"/>
                <w:color w:val="000000"/>
                <w:kern w:val="0"/>
                <w:sz w:val="18"/>
                <w:szCs w:val="18"/>
                <w:highlight w:val="none"/>
              </w:rPr>
            </w:pPr>
          </w:p>
          <w:p w14:paraId="724CF754">
            <w:pPr>
              <w:spacing w:line="0" w:lineRule="atLeast"/>
              <w:jc w:val="center"/>
              <w:rPr>
                <w:rFonts w:hint="default" w:ascii="Times New Roman" w:hAnsi="Times New Roman" w:eastAsia="仿宋_GB2312" w:cs="Times New Roman"/>
                <w:color w:val="000000"/>
                <w:kern w:val="0"/>
                <w:sz w:val="18"/>
                <w:szCs w:val="18"/>
                <w:highlight w:val="none"/>
              </w:rPr>
            </w:pPr>
          </w:p>
          <w:p w14:paraId="14D1E2C8">
            <w:pPr>
              <w:spacing w:line="0" w:lineRule="atLeast"/>
              <w:jc w:val="center"/>
              <w:rPr>
                <w:rFonts w:hint="default" w:ascii="Times New Roman" w:hAnsi="Times New Roman" w:eastAsia="仿宋_GB2312" w:cs="Times New Roman"/>
                <w:color w:val="000000"/>
                <w:kern w:val="0"/>
                <w:sz w:val="18"/>
                <w:szCs w:val="18"/>
                <w:highlight w:val="none"/>
              </w:rPr>
            </w:pPr>
          </w:p>
          <w:p w14:paraId="7BEDBCDE">
            <w:pPr>
              <w:spacing w:line="0" w:lineRule="atLeast"/>
              <w:jc w:val="center"/>
              <w:rPr>
                <w:rFonts w:hint="default" w:ascii="Times New Roman" w:hAnsi="Times New Roman" w:eastAsia="仿宋_GB2312" w:cs="Times New Roman"/>
                <w:color w:val="000000"/>
                <w:kern w:val="0"/>
                <w:sz w:val="18"/>
                <w:szCs w:val="18"/>
                <w:highlight w:val="none"/>
              </w:rPr>
            </w:pPr>
          </w:p>
          <w:p w14:paraId="36E602B5">
            <w:pPr>
              <w:spacing w:line="0" w:lineRule="atLeast"/>
              <w:jc w:val="center"/>
              <w:rPr>
                <w:rFonts w:hint="default" w:ascii="Times New Roman" w:hAnsi="Times New Roman" w:eastAsia="仿宋_GB2312" w:cs="Times New Roman"/>
                <w:color w:val="000000"/>
                <w:kern w:val="0"/>
                <w:sz w:val="18"/>
                <w:szCs w:val="18"/>
                <w:highlight w:val="none"/>
              </w:rPr>
            </w:pPr>
          </w:p>
          <w:p w14:paraId="5D4E9453">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1396E1E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6D9C2FB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0201343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14:paraId="219A71B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49F3907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202CEBC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149DF29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2657A44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47" w:type="dxa"/>
            <w:shd w:val="clear" w:color="000000" w:fill="FFFFFF"/>
            <w:vAlign w:val="center"/>
          </w:tcPr>
          <w:p w14:paraId="5573404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DB91F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52C47612">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3476332B">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B9CFC3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14:paraId="14AA1EB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7CE46B3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2B0A1CE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47" w:type="dxa"/>
            <w:shd w:val="clear" w:color="auto" w:fill="FFFFFF"/>
            <w:vAlign w:val="center"/>
          </w:tcPr>
          <w:p w14:paraId="0A6D280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3.48</w:t>
            </w:r>
          </w:p>
        </w:tc>
      </w:tr>
      <w:tr w14:paraId="1178C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05CC17B2">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7C19DAF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51D62A0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08BEBDC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14:paraId="610A5BD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4DE0356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14:paraId="1ABEE16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47" w:type="dxa"/>
            <w:shd w:val="clear" w:color="000000" w:fill="FFFFFF"/>
            <w:vAlign w:val="center"/>
          </w:tcPr>
          <w:p w14:paraId="15CAF14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CB0F1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54CE128E">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053C00C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7CE9C68A">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5E7829A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2894D37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14:paraId="3517FF9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5F7B8E4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14:paraId="19D3E57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47" w:type="dxa"/>
            <w:shd w:val="clear" w:color="000000" w:fill="FFFFFF"/>
            <w:vAlign w:val="center"/>
          </w:tcPr>
          <w:p w14:paraId="645359E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313F5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54B3924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6A5ED5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0F4734A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3184CD9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14:paraId="377FE9D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7F4D765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14:paraId="04962FA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47" w:type="dxa"/>
            <w:shd w:val="clear" w:color="000000" w:fill="FFFFFF"/>
            <w:vAlign w:val="center"/>
          </w:tcPr>
          <w:p w14:paraId="7E2AE30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3E168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6BBBF7D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611B2FF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5D71E05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14:paraId="7977F8C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0E4B06C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40C41C9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147" w:type="dxa"/>
            <w:shd w:val="clear" w:color="000000" w:fill="FFFFFF"/>
            <w:vAlign w:val="center"/>
          </w:tcPr>
          <w:p w14:paraId="755CE86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3C7A2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6960D85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1AE889B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3497320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14:paraId="3ECFDBA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4286DF3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1FF5B6D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21AF369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147" w:type="dxa"/>
            <w:shd w:val="clear" w:color="000000" w:fill="FFFFFF"/>
            <w:vAlign w:val="center"/>
          </w:tcPr>
          <w:p w14:paraId="5652C80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80CB0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181FD031">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66DEE4C">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6876ACA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14:paraId="4F28C58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45B45C4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6BF6709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147" w:type="dxa"/>
            <w:shd w:val="clear" w:color="000000" w:fill="FFFFFF"/>
            <w:vAlign w:val="center"/>
          </w:tcPr>
          <w:p w14:paraId="18BF658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0</w:t>
            </w:r>
          </w:p>
        </w:tc>
      </w:tr>
      <w:tr w14:paraId="28421E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7EE9B29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35F145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568428F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5565D7A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05EB321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4B581B8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147" w:type="dxa"/>
            <w:shd w:val="clear" w:color="000000" w:fill="FFFFFF"/>
            <w:vAlign w:val="center"/>
          </w:tcPr>
          <w:p w14:paraId="6E1CAA7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8.85</w:t>
            </w:r>
          </w:p>
        </w:tc>
      </w:tr>
      <w:tr w14:paraId="6753F5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434E37E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7234385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77CD613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06F72735">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615E903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24A2FAA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147" w:type="dxa"/>
            <w:shd w:val="clear" w:color="auto" w:fill="FFFFFF"/>
            <w:vAlign w:val="center"/>
          </w:tcPr>
          <w:p w14:paraId="3A8DF35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79C4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7AB2B9C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6A1153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E40547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32F84AD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2243AD6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78CE38B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147" w:type="dxa"/>
            <w:shd w:val="clear" w:color="000000" w:fill="FFFFFF"/>
            <w:vAlign w:val="center"/>
          </w:tcPr>
          <w:p w14:paraId="0C41C2E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A002F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4941CC89">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397E618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147" w:type="dxa"/>
            <w:shd w:val="clear" w:color="000000" w:fill="FFFFFF"/>
            <w:vAlign w:val="center"/>
          </w:tcPr>
          <w:p w14:paraId="57743C9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88.33</w:t>
            </w:r>
          </w:p>
        </w:tc>
      </w:tr>
    </w:tbl>
    <w:p w14:paraId="19184C79">
      <w:pPr>
        <w:rPr>
          <w:highlight w:val="none"/>
        </w:rPr>
      </w:pPr>
    </w:p>
    <w:p w14:paraId="481064CA">
      <w:pPr>
        <w:rPr>
          <w:highlight w:val="none"/>
        </w:rPr>
      </w:pPr>
    </w:p>
    <w:p w14:paraId="0FBD2AB0">
      <w:pPr>
        <w:rPr>
          <w:highlight w:val="none"/>
        </w:rPr>
      </w:pPr>
    </w:p>
    <w:p w14:paraId="7455C3A2">
      <w:pPr>
        <w:rPr>
          <w:highlight w:val="none"/>
        </w:rPr>
      </w:pPr>
    </w:p>
    <w:p w14:paraId="05900F9C">
      <w:pPr>
        <w:rPr>
          <w:highlight w:val="none"/>
        </w:rPr>
      </w:pPr>
    </w:p>
    <w:p w14:paraId="2C636641">
      <w:pPr>
        <w:rPr>
          <w:highlight w:val="none"/>
        </w:rPr>
      </w:pPr>
    </w:p>
    <w:p w14:paraId="3B811E6C">
      <w:pPr>
        <w:rPr>
          <w:highlight w:val="none"/>
        </w:rPr>
      </w:pPr>
    </w:p>
    <w:p w14:paraId="1119BA80">
      <w:pPr>
        <w:rPr>
          <w:highlight w:val="none"/>
        </w:rPr>
      </w:pPr>
    </w:p>
    <w:p w14:paraId="5C736F22">
      <w:pPr>
        <w:rPr>
          <w:highlight w:val="none"/>
        </w:rPr>
      </w:pPr>
    </w:p>
    <w:p w14:paraId="03336ACB">
      <w:pPr>
        <w:rPr>
          <w:highlight w:val="none"/>
        </w:rPr>
      </w:pPr>
    </w:p>
    <w:p w14:paraId="24FFA8A2">
      <w:pPr>
        <w:rPr>
          <w:highlight w:val="none"/>
        </w:rPr>
      </w:pPr>
    </w:p>
    <w:p w14:paraId="68A8F29F">
      <w:pPr>
        <w:rPr>
          <w:highlight w:val="none"/>
        </w:rPr>
      </w:pPr>
    </w:p>
    <w:p w14:paraId="156382D8">
      <w:pPr>
        <w:rPr>
          <w:highlight w:val="none"/>
        </w:rPr>
      </w:pPr>
    </w:p>
    <w:p w14:paraId="67D2834B">
      <w:pPr>
        <w:rPr>
          <w:highlight w:val="none"/>
        </w:rPr>
      </w:pPr>
    </w:p>
    <w:p w14:paraId="0036618A">
      <w:pPr>
        <w:rPr>
          <w:highlight w:val="none"/>
        </w:rPr>
      </w:pPr>
    </w:p>
    <w:p w14:paraId="201E49BB">
      <w:pPr>
        <w:rPr>
          <w:highlight w:val="none"/>
        </w:rPr>
      </w:pPr>
    </w:p>
    <w:p w14:paraId="42BA757E">
      <w:pPr>
        <w:rPr>
          <w:highlight w:val="none"/>
        </w:rPr>
      </w:pPr>
    </w:p>
    <w:p w14:paraId="6266FD84">
      <w:pPr>
        <w:rPr>
          <w:highlight w:val="none"/>
        </w:rPr>
      </w:pPr>
    </w:p>
    <w:tbl>
      <w:tblPr>
        <w:tblStyle w:val="11"/>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3"/>
        <w:gridCol w:w="1044"/>
        <w:gridCol w:w="1052"/>
        <w:gridCol w:w="1220"/>
        <w:gridCol w:w="1135"/>
        <w:gridCol w:w="676"/>
        <w:gridCol w:w="1452"/>
        <w:gridCol w:w="1318"/>
        <w:gridCol w:w="831"/>
        <w:gridCol w:w="757"/>
        <w:gridCol w:w="848"/>
        <w:gridCol w:w="610"/>
        <w:gridCol w:w="684"/>
        <w:gridCol w:w="1055"/>
      </w:tblGrid>
      <w:tr w14:paraId="5A25F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14:paraId="4AA11D3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290DE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14:paraId="16211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600A1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E82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63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EAC7B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昌州财建﹝2024﹞17号  关于下达2024年昌吉州冬季清洁取暖项目补助资金的通知</w:t>
            </w:r>
          </w:p>
        </w:tc>
      </w:tr>
      <w:tr w14:paraId="737B4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DECD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5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4124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奇台县住房和城乡建设局</w:t>
            </w: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43DA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9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17B7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奇台县住房和城乡建设局</w:t>
            </w:r>
          </w:p>
        </w:tc>
      </w:tr>
      <w:tr w14:paraId="24BD0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0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5ACB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2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E6B42E">
            <w:pPr>
              <w:jc w:val="center"/>
              <w:rPr>
                <w:rFonts w:hint="eastAsia" w:ascii="宋体" w:hAnsi="宋体" w:eastAsia="宋体" w:cs="宋体"/>
                <w:i w:val="0"/>
                <w:iCs w:val="0"/>
                <w:color w:val="000000"/>
                <w:sz w:val="20"/>
                <w:szCs w:val="20"/>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856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3031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7EE2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13E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2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EA83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3BF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7AE82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0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BACB8">
            <w:pPr>
              <w:jc w:val="center"/>
              <w:rPr>
                <w:rFonts w:hint="eastAsia" w:ascii="宋体" w:hAnsi="宋体" w:eastAsia="宋体" w:cs="宋体"/>
                <w:i w:val="0"/>
                <w:iCs w:val="0"/>
                <w:color w:val="000000"/>
                <w:sz w:val="20"/>
                <w:szCs w:val="20"/>
                <w:u w:val="none"/>
              </w:rPr>
            </w:pPr>
          </w:p>
        </w:tc>
        <w:tc>
          <w:tcPr>
            <w:tcW w:w="22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A32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B8A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7773.00</w:t>
            </w:r>
          </w:p>
        </w:tc>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DCE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7773.00</w:t>
            </w: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B7BE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6756.35</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795F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A8EF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86.92%</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C40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8.69分</w:t>
            </w:r>
          </w:p>
        </w:tc>
      </w:tr>
      <w:tr w14:paraId="3934B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0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4B54B">
            <w:pPr>
              <w:jc w:val="center"/>
              <w:rPr>
                <w:rFonts w:hint="eastAsia" w:ascii="宋体" w:hAnsi="宋体" w:eastAsia="宋体" w:cs="宋体"/>
                <w:i w:val="0"/>
                <w:iCs w:val="0"/>
                <w:color w:val="000000"/>
                <w:sz w:val="20"/>
                <w:szCs w:val="20"/>
                <w:u w:val="none"/>
              </w:rPr>
            </w:pPr>
          </w:p>
        </w:tc>
        <w:tc>
          <w:tcPr>
            <w:tcW w:w="22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665F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8BA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7773</w:t>
            </w:r>
          </w:p>
        </w:tc>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A07D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7773</w:t>
            </w: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E8C8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6756.35</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3ACD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D30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AFE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8028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0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0C256">
            <w:pPr>
              <w:jc w:val="center"/>
              <w:rPr>
                <w:rFonts w:hint="eastAsia" w:ascii="宋体" w:hAnsi="宋体" w:eastAsia="宋体" w:cs="宋体"/>
                <w:i w:val="0"/>
                <w:iCs w:val="0"/>
                <w:color w:val="000000"/>
                <w:sz w:val="20"/>
                <w:szCs w:val="20"/>
                <w:u w:val="none"/>
              </w:rPr>
            </w:pPr>
          </w:p>
        </w:tc>
        <w:tc>
          <w:tcPr>
            <w:tcW w:w="22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658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87271">
            <w:pPr>
              <w:jc w:val="center"/>
              <w:rPr>
                <w:rFonts w:hint="eastAsia" w:ascii="宋体" w:hAnsi="宋体" w:eastAsia="宋体" w:cs="宋体"/>
                <w:i w:val="0"/>
                <w:iCs w:val="0"/>
                <w:color w:val="000000"/>
                <w:sz w:val="20"/>
                <w:szCs w:val="20"/>
                <w:u w:val="none"/>
              </w:rPr>
            </w:pPr>
          </w:p>
        </w:tc>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04B633">
            <w:pPr>
              <w:jc w:val="center"/>
              <w:rPr>
                <w:rFonts w:hint="eastAsia" w:ascii="宋体" w:hAnsi="宋体" w:eastAsia="宋体" w:cs="宋体"/>
                <w:i w:val="0"/>
                <w:iCs w:val="0"/>
                <w:color w:val="000000"/>
                <w:sz w:val="20"/>
                <w:szCs w:val="20"/>
                <w:u w:val="none"/>
              </w:rPr>
            </w:pP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743F60">
            <w:pPr>
              <w:jc w:val="center"/>
              <w:rPr>
                <w:rFonts w:hint="eastAsia" w:ascii="宋体" w:hAnsi="宋体" w:eastAsia="宋体" w:cs="宋体"/>
                <w:i w:val="0"/>
                <w:iCs w:val="0"/>
                <w:color w:val="000000"/>
                <w:sz w:val="20"/>
                <w:szCs w:val="20"/>
                <w:u w:val="none"/>
              </w:rPr>
            </w:pP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C6F4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4425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216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2FF9E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0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9E4F1">
            <w:pPr>
              <w:jc w:val="center"/>
              <w:rPr>
                <w:rFonts w:hint="eastAsia" w:ascii="宋体" w:hAnsi="宋体" w:eastAsia="宋体" w:cs="宋体"/>
                <w:i w:val="0"/>
                <w:iCs w:val="0"/>
                <w:color w:val="000000"/>
                <w:sz w:val="20"/>
                <w:szCs w:val="20"/>
                <w:u w:val="none"/>
              </w:rPr>
            </w:pPr>
          </w:p>
        </w:tc>
        <w:tc>
          <w:tcPr>
            <w:tcW w:w="22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DF55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4CEA">
            <w:pPr>
              <w:jc w:val="center"/>
              <w:rPr>
                <w:rFonts w:hint="eastAsia" w:ascii="宋体" w:hAnsi="宋体" w:eastAsia="宋体" w:cs="宋体"/>
                <w:i w:val="0"/>
                <w:iCs w:val="0"/>
                <w:color w:val="000000"/>
                <w:sz w:val="20"/>
                <w:szCs w:val="20"/>
                <w:u w:val="none"/>
              </w:rPr>
            </w:pPr>
          </w:p>
        </w:tc>
        <w:tc>
          <w:tcPr>
            <w:tcW w:w="21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321145">
            <w:pPr>
              <w:jc w:val="center"/>
              <w:rPr>
                <w:rFonts w:hint="eastAsia" w:ascii="宋体" w:hAnsi="宋体" w:eastAsia="宋体" w:cs="宋体"/>
                <w:i w:val="0"/>
                <w:iCs w:val="0"/>
                <w:color w:val="000000"/>
                <w:sz w:val="20"/>
                <w:szCs w:val="20"/>
                <w:u w:val="none"/>
              </w:rPr>
            </w:pP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78B5BA">
            <w:pPr>
              <w:jc w:val="center"/>
              <w:rPr>
                <w:rFonts w:hint="eastAsia" w:ascii="宋体" w:hAnsi="宋体" w:eastAsia="宋体" w:cs="宋体"/>
                <w:i w:val="0"/>
                <w:iCs w:val="0"/>
                <w:color w:val="000000"/>
                <w:sz w:val="20"/>
                <w:szCs w:val="20"/>
                <w:u w:val="none"/>
              </w:rPr>
            </w:pP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54FA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12E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302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27829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9082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5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0D62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610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76AA4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3E920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62380">
            <w:pPr>
              <w:jc w:val="center"/>
              <w:rPr>
                <w:rFonts w:hint="eastAsia" w:ascii="宋体" w:hAnsi="宋体" w:eastAsia="宋体" w:cs="宋体"/>
                <w:i w:val="0"/>
                <w:iCs w:val="0"/>
                <w:color w:val="000000"/>
                <w:sz w:val="20"/>
                <w:szCs w:val="20"/>
                <w:u w:val="none"/>
              </w:rPr>
            </w:pPr>
          </w:p>
        </w:tc>
        <w:tc>
          <w:tcPr>
            <w:tcW w:w="6579"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3D972E45">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以热源清洁化为目标，保障群众温暖过冬，替代燃煤取暖，完成2022年-2023年改造任务进行补助，并对已完成的清洁取暖项目支付进度款。</w:t>
            </w:r>
          </w:p>
        </w:tc>
        <w:tc>
          <w:tcPr>
            <w:tcW w:w="6103"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0252C30B">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完成2022年-2023年6100户清洁取暖补助资金发放完成4668.55万元，完成项目资金支付2087.8万元，目前该项目还未完工，处于项目实施阶段，该项目还未进行项目全部的竣工验收。</w:t>
            </w:r>
          </w:p>
        </w:tc>
      </w:tr>
      <w:tr w14:paraId="0C62A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67F3DA">
            <w:pPr>
              <w:jc w:val="center"/>
              <w:rPr>
                <w:rFonts w:hint="eastAsia" w:ascii="宋体" w:hAnsi="宋体" w:eastAsia="宋体" w:cs="宋体"/>
                <w:i w:val="0"/>
                <w:iCs w:val="0"/>
                <w:color w:val="000000"/>
                <w:sz w:val="20"/>
                <w:szCs w:val="20"/>
                <w:u w:val="none"/>
              </w:rPr>
            </w:pP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86DD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B309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303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3512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B2E7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764D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5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52C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4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882E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AE5B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0739F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F2E92">
            <w:pPr>
              <w:jc w:val="center"/>
              <w:rPr>
                <w:rFonts w:hint="eastAsia" w:ascii="宋体" w:hAnsi="宋体" w:eastAsia="宋体" w:cs="宋体"/>
                <w:i w:val="0"/>
                <w:iCs w:val="0"/>
                <w:color w:val="000000"/>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58A4E">
            <w:pPr>
              <w:jc w:val="center"/>
              <w:rPr>
                <w:rFonts w:hint="eastAsia" w:ascii="宋体" w:hAnsi="宋体" w:eastAsia="宋体" w:cs="宋体"/>
                <w:i w:val="0"/>
                <w:iCs w:val="0"/>
                <w:color w:val="000000"/>
                <w:sz w:val="20"/>
                <w:szCs w:val="20"/>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82A2F">
            <w:pPr>
              <w:jc w:val="center"/>
              <w:rPr>
                <w:rFonts w:hint="eastAsia" w:ascii="宋体" w:hAnsi="宋体" w:eastAsia="宋体" w:cs="宋体"/>
                <w:i w:val="0"/>
                <w:iCs w:val="0"/>
                <w:color w:val="000000"/>
                <w:sz w:val="20"/>
                <w:szCs w:val="20"/>
                <w:u w:val="none"/>
              </w:rPr>
            </w:pPr>
          </w:p>
        </w:tc>
        <w:tc>
          <w:tcPr>
            <w:tcW w:w="303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1C863">
            <w:pPr>
              <w:jc w:val="center"/>
              <w:rPr>
                <w:rFonts w:hint="eastAsia" w:ascii="宋体" w:hAnsi="宋体" w:eastAsia="宋体" w:cs="宋体"/>
                <w:i w:val="0"/>
                <w:iCs w:val="0"/>
                <w:color w:val="000000"/>
                <w:sz w:val="20"/>
                <w:szCs w:val="20"/>
                <w:u w:val="none"/>
              </w:rPr>
            </w:pPr>
          </w:p>
        </w:tc>
        <w:tc>
          <w:tcPr>
            <w:tcW w:w="1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00795">
            <w:pPr>
              <w:jc w:val="center"/>
              <w:rPr>
                <w:rFonts w:hint="eastAsia" w:ascii="宋体" w:hAnsi="宋体" w:eastAsia="宋体" w:cs="宋体"/>
                <w:i w:val="0"/>
                <w:iCs w:val="0"/>
                <w:color w:val="000000"/>
                <w:sz w:val="20"/>
                <w:szCs w:val="20"/>
                <w:u w:val="none"/>
              </w:rPr>
            </w:pPr>
          </w:p>
        </w:tc>
        <w:tc>
          <w:tcPr>
            <w:tcW w:w="1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463C7">
            <w:pPr>
              <w:jc w:val="center"/>
              <w:rPr>
                <w:rFonts w:hint="eastAsia" w:ascii="宋体" w:hAnsi="宋体" w:eastAsia="宋体" w:cs="宋体"/>
                <w:i w:val="0"/>
                <w:iCs w:val="0"/>
                <w:color w:val="000000"/>
                <w:sz w:val="20"/>
                <w:szCs w:val="20"/>
                <w:u w:val="none"/>
              </w:rPr>
            </w:pPr>
          </w:p>
        </w:tc>
        <w:tc>
          <w:tcPr>
            <w:tcW w:w="15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A96BD">
            <w:pPr>
              <w:jc w:val="center"/>
              <w:rPr>
                <w:rFonts w:hint="eastAsia" w:ascii="宋体" w:hAnsi="宋体" w:eastAsia="宋体" w:cs="宋体"/>
                <w:i w:val="0"/>
                <w:iCs w:val="0"/>
                <w:color w:val="000000"/>
                <w:sz w:val="20"/>
                <w:szCs w:val="20"/>
                <w:u w:val="none"/>
              </w:rPr>
            </w:pPr>
          </w:p>
        </w:tc>
        <w:tc>
          <w:tcPr>
            <w:tcW w:w="14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76603">
            <w:pPr>
              <w:jc w:val="center"/>
              <w:rPr>
                <w:rFonts w:hint="eastAsia" w:ascii="宋体" w:hAnsi="宋体" w:eastAsia="宋体" w:cs="宋体"/>
                <w:i w:val="0"/>
                <w:iCs w:val="0"/>
                <w:color w:val="000000"/>
                <w:sz w:val="20"/>
                <w:szCs w:val="20"/>
                <w:u w:val="none"/>
              </w:rPr>
            </w:pPr>
          </w:p>
        </w:tc>
        <w:tc>
          <w:tcPr>
            <w:tcW w:w="17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1A571">
            <w:pPr>
              <w:jc w:val="center"/>
              <w:rPr>
                <w:rFonts w:hint="eastAsia" w:ascii="宋体" w:hAnsi="宋体" w:eastAsia="宋体" w:cs="宋体"/>
                <w:i w:val="0"/>
                <w:iCs w:val="0"/>
                <w:color w:val="000000"/>
                <w:sz w:val="20"/>
                <w:szCs w:val="20"/>
                <w:u w:val="none"/>
              </w:rPr>
            </w:pPr>
          </w:p>
        </w:tc>
      </w:tr>
      <w:tr w14:paraId="5AD32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A39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5F31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B12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30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DC3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已完成改造未发放补助户数</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A5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=6100户</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E00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=6100户</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15EF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9ED7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D00C72">
            <w:pPr>
              <w:jc w:val="center"/>
              <w:rPr>
                <w:rFonts w:hint="eastAsia" w:ascii="宋体" w:hAnsi="宋体" w:eastAsia="宋体" w:cs="宋体"/>
                <w:i w:val="0"/>
                <w:iCs w:val="0"/>
                <w:color w:val="000000"/>
                <w:sz w:val="20"/>
                <w:szCs w:val="20"/>
                <w:u w:val="none"/>
              </w:rPr>
            </w:pPr>
          </w:p>
        </w:tc>
      </w:tr>
      <w:tr w14:paraId="00304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B7021">
            <w:pPr>
              <w:jc w:val="center"/>
              <w:rPr>
                <w:rFonts w:hint="eastAsia" w:ascii="宋体" w:hAnsi="宋体" w:eastAsia="宋体" w:cs="宋体"/>
                <w:i w:val="0"/>
                <w:iCs w:val="0"/>
                <w:color w:val="000000"/>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7E447">
            <w:pPr>
              <w:jc w:val="center"/>
              <w:rPr>
                <w:rFonts w:hint="eastAsia" w:ascii="宋体" w:hAnsi="宋体" w:eastAsia="宋体" w:cs="宋体"/>
                <w:i w:val="0"/>
                <w:iCs w:val="0"/>
                <w:color w:val="000000"/>
                <w:sz w:val="20"/>
                <w:szCs w:val="20"/>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726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30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3A9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2024年清洁取暖项目实施个数</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80F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=4个</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3DB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=4个</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A05D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DB6D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9451B6">
            <w:pPr>
              <w:jc w:val="center"/>
              <w:rPr>
                <w:rFonts w:hint="eastAsia" w:ascii="宋体" w:hAnsi="宋体" w:eastAsia="宋体" w:cs="宋体"/>
                <w:i w:val="0"/>
                <w:iCs w:val="0"/>
                <w:color w:val="000000"/>
                <w:sz w:val="20"/>
                <w:szCs w:val="20"/>
                <w:u w:val="none"/>
              </w:rPr>
            </w:pPr>
          </w:p>
        </w:tc>
      </w:tr>
      <w:tr w14:paraId="51B87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6614C">
            <w:pPr>
              <w:jc w:val="center"/>
              <w:rPr>
                <w:rFonts w:hint="eastAsia" w:ascii="宋体" w:hAnsi="宋体" w:eastAsia="宋体" w:cs="宋体"/>
                <w:i w:val="0"/>
                <w:iCs w:val="0"/>
                <w:color w:val="000000"/>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459DD">
            <w:pPr>
              <w:jc w:val="center"/>
              <w:rPr>
                <w:rFonts w:hint="eastAsia" w:ascii="宋体" w:hAnsi="宋体" w:eastAsia="宋体" w:cs="宋体"/>
                <w:i w:val="0"/>
                <w:iCs w:val="0"/>
                <w:color w:val="000000"/>
                <w:sz w:val="20"/>
                <w:szCs w:val="20"/>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229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30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419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项目验收一次性通过率（%）</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A79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3BE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8B37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E71C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79B44">
            <w:pPr>
              <w:jc w:val="center"/>
              <w:rPr>
                <w:rFonts w:hint="eastAsia" w:ascii="宋体" w:hAnsi="宋体" w:eastAsia="宋体" w:cs="宋体"/>
                <w:i w:val="0"/>
                <w:iCs w:val="0"/>
                <w:color w:val="000000"/>
                <w:sz w:val="20"/>
                <w:szCs w:val="20"/>
                <w:u w:val="none"/>
              </w:rPr>
            </w:pPr>
          </w:p>
        </w:tc>
      </w:tr>
      <w:tr w14:paraId="7D250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1843E">
            <w:pPr>
              <w:jc w:val="center"/>
              <w:rPr>
                <w:rFonts w:hint="eastAsia" w:ascii="宋体" w:hAnsi="宋体" w:eastAsia="宋体" w:cs="宋体"/>
                <w:i w:val="0"/>
                <w:iCs w:val="0"/>
                <w:color w:val="000000"/>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AB8E6">
            <w:pPr>
              <w:jc w:val="center"/>
              <w:rPr>
                <w:rFonts w:hint="eastAsia" w:ascii="宋体" w:hAnsi="宋体" w:eastAsia="宋体" w:cs="宋体"/>
                <w:i w:val="0"/>
                <w:iCs w:val="0"/>
                <w:color w:val="000000"/>
                <w:sz w:val="20"/>
                <w:szCs w:val="20"/>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F8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30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018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项目完成及时率（%）</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BA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2025年5月</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21C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=0年1月</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D51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8BAC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5FE5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偏差原因：该项目为跨年项目，目前项目处于实施阶段，未完工；改进措施：合理安排时间，争取在规定的时间内完成项目。</w:t>
            </w:r>
          </w:p>
        </w:tc>
      </w:tr>
      <w:tr w14:paraId="6EC9C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C700E">
            <w:pPr>
              <w:jc w:val="center"/>
              <w:rPr>
                <w:rFonts w:hint="eastAsia" w:ascii="宋体" w:hAnsi="宋体" w:eastAsia="宋体" w:cs="宋体"/>
                <w:i w:val="0"/>
                <w:iCs w:val="0"/>
                <w:color w:val="000000"/>
                <w:sz w:val="20"/>
                <w:szCs w:val="20"/>
                <w:u w:val="none"/>
              </w:rPr>
            </w:pP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E891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74D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30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59D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清洁取暖补助支付资金</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09E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&lt;=5501万元</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A7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=4688.55万元</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0614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D200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8CA3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偏差原因：该项目为跨年项目，目前项目处于实施阶段，未完工；改进措施：根据项目实施进度支付要求，按时支付资金。</w:t>
            </w:r>
          </w:p>
        </w:tc>
      </w:tr>
      <w:tr w14:paraId="350E1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D6E50">
            <w:pPr>
              <w:jc w:val="center"/>
              <w:rPr>
                <w:rFonts w:hint="eastAsia" w:ascii="宋体" w:hAnsi="宋体" w:eastAsia="宋体" w:cs="宋体"/>
                <w:i w:val="0"/>
                <w:iCs w:val="0"/>
                <w:color w:val="000000"/>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D8F6A">
            <w:pPr>
              <w:jc w:val="center"/>
              <w:rPr>
                <w:rFonts w:hint="eastAsia" w:ascii="宋体" w:hAnsi="宋体" w:eastAsia="宋体" w:cs="宋体"/>
                <w:i w:val="0"/>
                <w:iCs w:val="0"/>
                <w:color w:val="000000"/>
                <w:sz w:val="20"/>
                <w:szCs w:val="20"/>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8E1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30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235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清洁取暖项目支付经费</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676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&lt;=2272万元</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D9C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=2087.8万元</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EF5F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D54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7.95</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5CD7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偏差原因：该项目为跨年项目，目前项目处于实施阶段，未完工；改进措施：根据项目实施进度支付要求，按时支付资金。</w:t>
            </w:r>
          </w:p>
        </w:tc>
      </w:tr>
      <w:tr w14:paraId="6848A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78E19">
            <w:pPr>
              <w:jc w:val="center"/>
              <w:rPr>
                <w:rFonts w:hint="eastAsia" w:ascii="宋体" w:hAnsi="宋体" w:eastAsia="宋体" w:cs="宋体"/>
                <w:i w:val="0"/>
                <w:iCs w:val="0"/>
                <w:color w:val="000000"/>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B3451">
            <w:pPr>
              <w:jc w:val="center"/>
              <w:rPr>
                <w:rFonts w:hint="eastAsia" w:ascii="宋体" w:hAnsi="宋体" w:eastAsia="宋体" w:cs="宋体"/>
                <w:i w:val="0"/>
                <w:iCs w:val="0"/>
                <w:color w:val="000000"/>
                <w:sz w:val="20"/>
                <w:szCs w:val="20"/>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C5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30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54EDA">
            <w:pPr>
              <w:jc w:val="left"/>
              <w:rPr>
                <w:rFonts w:hint="eastAsia" w:ascii="宋体" w:hAnsi="宋体" w:eastAsia="宋体" w:cs="宋体"/>
                <w:i w:val="0"/>
                <w:iCs w:val="0"/>
                <w:color w:val="000000"/>
                <w:sz w:val="20"/>
                <w:szCs w:val="20"/>
                <w:u w:val="none"/>
              </w:rPr>
            </w:pP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6A729">
            <w:pPr>
              <w:jc w:val="center"/>
              <w:rPr>
                <w:rFonts w:hint="eastAsia" w:ascii="宋体" w:hAnsi="宋体" w:eastAsia="宋体" w:cs="宋体"/>
                <w:i w:val="0"/>
                <w:iCs w:val="0"/>
                <w:color w:val="000000"/>
                <w:sz w:val="20"/>
                <w:szCs w:val="20"/>
                <w:u w:val="none"/>
              </w:rPr>
            </w:pP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255BA">
            <w:pPr>
              <w:jc w:val="center"/>
              <w:rPr>
                <w:rFonts w:hint="eastAsia" w:ascii="宋体" w:hAnsi="宋体" w:eastAsia="宋体" w:cs="宋体"/>
                <w:i w:val="0"/>
                <w:iCs w:val="0"/>
                <w:color w:val="000000"/>
                <w:sz w:val="20"/>
                <w:szCs w:val="20"/>
                <w:u w:val="none"/>
              </w:rPr>
            </w:pP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D0A2A6">
            <w:pPr>
              <w:jc w:val="center"/>
              <w:rPr>
                <w:rFonts w:hint="eastAsia" w:ascii="宋体" w:hAnsi="宋体" w:eastAsia="宋体" w:cs="宋体"/>
                <w:i w:val="0"/>
                <w:iCs w:val="0"/>
                <w:color w:val="000000"/>
                <w:sz w:val="20"/>
                <w:szCs w:val="20"/>
                <w:u w:val="none"/>
              </w:rPr>
            </w:pP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F19CD1">
            <w:pPr>
              <w:jc w:val="center"/>
              <w:rPr>
                <w:rFonts w:hint="eastAsia" w:ascii="宋体" w:hAnsi="宋体" w:eastAsia="宋体" w:cs="宋体"/>
                <w:i w:val="0"/>
                <w:iCs w:val="0"/>
                <w:color w:val="000000"/>
                <w:sz w:val="20"/>
                <w:szCs w:val="20"/>
                <w:u w:val="none"/>
              </w:rPr>
            </w:pP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76FDA5">
            <w:pPr>
              <w:jc w:val="center"/>
              <w:rPr>
                <w:rFonts w:hint="eastAsia" w:ascii="宋体" w:hAnsi="宋体" w:eastAsia="宋体" w:cs="宋体"/>
                <w:i w:val="0"/>
                <w:iCs w:val="0"/>
                <w:color w:val="000000"/>
                <w:sz w:val="20"/>
                <w:szCs w:val="20"/>
                <w:u w:val="none"/>
              </w:rPr>
            </w:pPr>
          </w:p>
        </w:tc>
      </w:tr>
      <w:tr w14:paraId="5CC6A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1278F">
            <w:pPr>
              <w:jc w:val="center"/>
              <w:rPr>
                <w:rFonts w:hint="eastAsia" w:ascii="宋体" w:hAnsi="宋体" w:eastAsia="宋体" w:cs="宋体"/>
                <w:i w:val="0"/>
                <w:iCs w:val="0"/>
                <w:color w:val="000000"/>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2B948">
            <w:pPr>
              <w:jc w:val="center"/>
              <w:rPr>
                <w:rFonts w:hint="eastAsia" w:ascii="宋体" w:hAnsi="宋体" w:eastAsia="宋体" w:cs="宋体"/>
                <w:i w:val="0"/>
                <w:iCs w:val="0"/>
                <w:color w:val="000000"/>
                <w:sz w:val="20"/>
                <w:szCs w:val="20"/>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4E8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30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CBD76">
            <w:pPr>
              <w:jc w:val="left"/>
              <w:rPr>
                <w:rFonts w:hint="eastAsia" w:ascii="宋体" w:hAnsi="宋体" w:eastAsia="宋体" w:cs="宋体"/>
                <w:i w:val="0"/>
                <w:iCs w:val="0"/>
                <w:color w:val="000000"/>
                <w:sz w:val="20"/>
                <w:szCs w:val="20"/>
                <w:u w:val="none"/>
              </w:rPr>
            </w:pP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2E7FF">
            <w:pPr>
              <w:jc w:val="center"/>
              <w:rPr>
                <w:rFonts w:hint="eastAsia" w:ascii="宋体" w:hAnsi="宋体" w:eastAsia="宋体" w:cs="宋体"/>
                <w:i w:val="0"/>
                <w:iCs w:val="0"/>
                <w:color w:val="000000"/>
                <w:sz w:val="20"/>
                <w:szCs w:val="20"/>
                <w:u w:val="none"/>
              </w:rPr>
            </w:pP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88163">
            <w:pPr>
              <w:jc w:val="center"/>
              <w:rPr>
                <w:rFonts w:hint="eastAsia" w:ascii="宋体" w:hAnsi="宋体" w:eastAsia="宋体" w:cs="宋体"/>
                <w:i w:val="0"/>
                <w:iCs w:val="0"/>
                <w:color w:val="000000"/>
                <w:sz w:val="20"/>
                <w:szCs w:val="20"/>
                <w:u w:val="none"/>
              </w:rPr>
            </w:pP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B7856E">
            <w:pPr>
              <w:jc w:val="center"/>
              <w:rPr>
                <w:rFonts w:hint="eastAsia" w:ascii="宋体" w:hAnsi="宋体" w:eastAsia="宋体" w:cs="宋体"/>
                <w:i w:val="0"/>
                <w:iCs w:val="0"/>
                <w:color w:val="000000"/>
                <w:sz w:val="20"/>
                <w:szCs w:val="20"/>
                <w:u w:val="none"/>
              </w:rPr>
            </w:pP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A6E0DA">
            <w:pPr>
              <w:jc w:val="center"/>
              <w:rPr>
                <w:rFonts w:hint="eastAsia" w:ascii="宋体" w:hAnsi="宋体" w:eastAsia="宋体" w:cs="宋体"/>
                <w:i w:val="0"/>
                <w:iCs w:val="0"/>
                <w:color w:val="000000"/>
                <w:sz w:val="20"/>
                <w:szCs w:val="20"/>
                <w:u w:val="none"/>
              </w:rPr>
            </w:pP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FDE3A2">
            <w:pPr>
              <w:jc w:val="center"/>
              <w:rPr>
                <w:rFonts w:hint="eastAsia" w:ascii="宋体" w:hAnsi="宋体" w:eastAsia="宋体" w:cs="宋体"/>
                <w:i w:val="0"/>
                <w:iCs w:val="0"/>
                <w:color w:val="000000"/>
                <w:sz w:val="20"/>
                <w:szCs w:val="20"/>
                <w:u w:val="none"/>
              </w:rPr>
            </w:pPr>
          </w:p>
        </w:tc>
      </w:tr>
      <w:tr w14:paraId="4D7E5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08E12">
            <w:pPr>
              <w:jc w:val="center"/>
              <w:rPr>
                <w:rFonts w:hint="eastAsia" w:ascii="宋体" w:hAnsi="宋体" w:eastAsia="宋体" w:cs="宋体"/>
                <w:i w:val="0"/>
                <w:iCs w:val="0"/>
                <w:color w:val="000000"/>
                <w:sz w:val="20"/>
                <w:szCs w:val="20"/>
                <w:u w:val="none"/>
              </w:rPr>
            </w:pPr>
          </w:p>
        </w:tc>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74BA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8A9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30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28DFA">
            <w:pPr>
              <w:jc w:val="left"/>
              <w:rPr>
                <w:rFonts w:hint="eastAsia" w:ascii="宋体" w:hAnsi="宋体" w:eastAsia="宋体" w:cs="宋体"/>
                <w:i w:val="0"/>
                <w:iCs w:val="0"/>
                <w:color w:val="000000"/>
                <w:sz w:val="20"/>
                <w:szCs w:val="20"/>
                <w:u w:val="none"/>
              </w:rPr>
            </w:pP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B17D4">
            <w:pPr>
              <w:jc w:val="center"/>
              <w:rPr>
                <w:rFonts w:hint="eastAsia" w:ascii="宋体" w:hAnsi="宋体" w:eastAsia="宋体" w:cs="宋体"/>
                <w:i w:val="0"/>
                <w:iCs w:val="0"/>
                <w:color w:val="000000"/>
                <w:sz w:val="20"/>
                <w:szCs w:val="20"/>
                <w:u w:val="none"/>
              </w:rPr>
            </w:pP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F05CD">
            <w:pPr>
              <w:jc w:val="center"/>
              <w:rPr>
                <w:rFonts w:hint="eastAsia" w:ascii="宋体" w:hAnsi="宋体" w:eastAsia="宋体" w:cs="宋体"/>
                <w:i w:val="0"/>
                <w:iCs w:val="0"/>
                <w:color w:val="000000"/>
                <w:sz w:val="20"/>
                <w:szCs w:val="20"/>
                <w:u w:val="none"/>
              </w:rPr>
            </w:pP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17B393">
            <w:pPr>
              <w:jc w:val="center"/>
              <w:rPr>
                <w:rFonts w:hint="eastAsia" w:ascii="宋体" w:hAnsi="宋体" w:eastAsia="宋体" w:cs="宋体"/>
                <w:i w:val="0"/>
                <w:iCs w:val="0"/>
                <w:color w:val="000000"/>
                <w:sz w:val="20"/>
                <w:szCs w:val="20"/>
                <w:u w:val="none"/>
              </w:rPr>
            </w:pP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5F9D27">
            <w:pPr>
              <w:jc w:val="center"/>
              <w:rPr>
                <w:rFonts w:hint="eastAsia" w:ascii="宋体" w:hAnsi="宋体" w:eastAsia="宋体" w:cs="宋体"/>
                <w:i w:val="0"/>
                <w:iCs w:val="0"/>
                <w:color w:val="000000"/>
                <w:sz w:val="20"/>
                <w:szCs w:val="20"/>
                <w:u w:val="none"/>
              </w:rPr>
            </w:pP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01E63">
            <w:pPr>
              <w:jc w:val="center"/>
              <w:rPr>
                <w:rFonts w:hint="eastAsia" w:ascii="宋体" w:hAnsi="宋体" w:eastAsia="宋体" w:cs="宋体"/>
                <w:i w:val="0"/>
                <w:iCs w:val="0"/>
                <w:color w:val="000000"/>
                <w:sz w:val="20"/>
                <w:szCs w:val="20"/>
                <w:u w:val="none"/>
              </w:rPr>
            </w:pPr>
          </w:p>
        </w:tc>
      </w:tr>
      <w:tr w14:paraId="7B390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18F17">
            <w:pPr>
              <w:jc w:val="center"/>
              <w:rPr>
                <w:rFonts w:hint="eastAsia" w:ascii="宋体" w:hAnsi="宋体" w:eastAsia="宋体" w:cs="宋体"/>
                <w:i w:val="0"/>
                <w:iCs w:val="0"/>
                <w:color w:val="000000"/>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28AD9">
            <w:pPr>
              <w:jc w:val="center"/>
              <w:rPr>
                <w:rFonts w:hint="eastAsia" w:ascii="宋体" w:hAnsi="宋体" w:eastAsia="宋体" w:cs="宋体"/>
                <w:i w:val="0"/>
                <w:iCs w:val="0"/>
                <w:color w:val="000000"/>
                <w:sz w:val="20"/>
                <w:szCs w:val="20"/>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98F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30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C93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降低大气污染节能减排改善民生</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264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有效降低污染，有效改善民生</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14D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有效降低大气污染</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A9E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A81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B0BCA">
            <w:pPr>
              <w:jc w:val="center"/>
              <w:rPr>
                <w:rFonts w:hint="eastAsia" w:ascii="宋体" w:hAnsi="宋体" w:eastAsia="宋体" w:cs="宋体"/>
                <w:i w:val="0"/>
                <w:iCs w:val="0"/>
                <w:color w:val="000000"/>
                <w:sz w:val="20"/>
                <w:szCs w:val="20"/>
                <w:u w:val="none"/>
              </w:rPr>
            </w:pPr>
          </w:p>
        </w:tc>
      </w:tr>
      <w:tr w14:paraId="33DDC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F2823">
            <w:pPr>
              <w:jc w:val="center"/>
              <w:rPr>
                <w:rFonts w:hint="eastAsia" w:ascii="宋体" w:hAnsi="宋体" w:eastAsia="宋体" w:cs="宋体"/>
                <w:i w:val="0"/>
                <w:iCs w:val="0"/>
                <w:color w:val="000000"/>
                <w:sz w:val="20"/>
                <w:szCs w:val="20"/>
                <w:u w:val="none"/>
              </w:rPr>
            </w:pPr>
          </w:p>
        </w:tc>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249FA">
            <w:pPr>
              <w:jc w:val="center"/>
              <w:rPr>
                <w:rFonts w:hint="eastAsia" w:ascii="宋体" w:hAnsi="宋体" w:eastAsia="宋体" w:cs="宋体"/>
                <w:i w:val="0"/>
                <w:iCs w:val="0"/>
                <w:color w:val="000000"/>
                <w:sz w:val="20"/>
                <w:szCs w:val="20"/>
                <w:u w:val="none"/>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340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30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06100">
            <w:pPr>
              <w:jc w:val="left"/>
              <w:rPr>
                <w:rFonts w:hint="eastAsia" w:ascii="宋体" w:hAnsi="宋体" w:eastAsia="宋体" w:cs="宋体"/>
                <w:i w:val="0"/>
                <w:iCs w:val="0"/>
                <w:color w:val="000000"/>
                <w:sz w:val="20"/>
                <w:szCs w:val="20"/>
                <w:u w:val="none"/>
              </w:rPr>
            </w:pP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B73D4">
            <w:pPr>
              <w:jc w:val="center"/>
              <w:rPr>
                <w:rFonts w:hint="eastAsia" w:ascii="宋体" w:hAnsi="宋体" w:eastAsia="宋体" w:cs="宋体"/>
                <w:i w:val="0"/>
                <w:iCs w:val="0"/>
                <w:color w:val="000000"/>
                <w:sz w:val="20"/>
                <w:szCs w:val="20"/>
                <w:u w:val="none"/>
              </w:rPr>
            </w:pP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71850">
            <w:pPr>
              <w:jc w:val="center"/>
              <w:rPr>
                <w:rFonts w:hint="eastAsia" w:ascii="宋体" w:hAnsi="宋体" w:eastAsia="宋体" w:cs="宋体"/>
                <w:i w:val="0"/>
                <w:iCs w:val="0"/>
                <w:color w:val="000000"/>
                <w:sz w:val="20"/>
                <w:szCs w:val="20"/>
                <w:u w:val="none"/>
              </w:rPr>
            </w:pP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A02C37">
            <w:pPr>
              <w:jc w:val="center"/>
              <w:rPr>
                <w:rFonts w:hint="eastAsia" w:ascii="宋体" w:hAnsi="宋体" w:eastAsia="宋体" w:cs="宋体"/>
                <w:i w:val="0"/>
                <w:iCs w:val="0"/>
                <w:color w:val="000000"/>
                <w:sz w:val="20"/>
                <w:szCs w:val="20"/>
                <w:u w:val="none"/>
              </w:rPr>
            </w:pP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1C5461">
            <w:pPr>
              <w:jc w:val="center"/>
              <w:rPr>
                <w:rFonts w:hint="eastAsia" w:ascii="宋体" w:hAnsi="宋体" w:eastAsia="宋体" w:cs="宋体"/>
                <w:i w:val="0"/>
                <w:iCs w:val="0"/>
                <w:color w:val="000000"/>
                <w:sz w:val="20"/>
                <w:szCs w:val="20"/>
                <w:u w:val="none"/>
              </w:rPr>
            </w:pP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4EA50E">
            <w:pPr>
              <w:jc w:val="center"/>
              <w:rPr>
                <w:rFonts w:hint="eastAsia" w:ascii="宋体" w:hAnsi="宋体" w:eastAsia="宋体" w:cs="宋体"/>
                <w:i w:val="0"/>
                <w:iCs w:val="0"/>
                <w:color w:val="000000"/>
                <w:sz w:val="20"/>
                <w:szCs w:val="20"/>
                <w:u w:val="none"/>
              </w:rPr>
            </w:pPr>
          </w:p>
        </w:tc>
      </w:tr>
      <w:tr w14:paraId="1B752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D4AE0">
            <w:pPr>
              <w:jc w:val="center"/>
              <w:rPr>
                <w:rFonts w:hint="eastAsia" w:ascii="宋体" w:hAnsi="宋体" w:eastAsia="宋体" w:cs="宋体"/>
                <w:i w:val="0"/>
                <w:iCs w:val="0"/>
                <w:color w:val="000000"/>
                <w:sz w:val="20"/>
                <w:szCs w:val="20"/>
                <w:u w:val="none"/>
              </w:rPr>
            </w:pP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8EE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B33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303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500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受益群众满意度</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A4C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6D1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37B2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20D8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122CEC">
            <w:pPr>
              <w:jc w:val="center"/>
              <w:rPr>
                <w:rFonts w:hint="eastAsia" w:ascii="宋体" w:hAnsi="宋体" w:eastAsia="宋体" w:cs="宋体"/>
                <w:i w:val="0"/>
                <w:iCs w:val="0"/>
                <w:color w:val="000000"/>
                <w:sz w:val="20"/>
                <w:szCs w:val="20"/>
                <w:u w:val="none"/>
              </w:rPr>
            </w:pPr>
          </w:p>
        </w:tc>
      </w:tr>
      <w:tr w14:paraId="50D5A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9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01829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108A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4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5D3D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82.94分</w:t>
            </w:r>
          </w:p>
        </w:tc>
        <w:tc>
          <w:tcPr>
            <w:tcW w:w="1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448BE5">
            <w:pPr>
              <w:jc w:val="center"/>
              <w:rPr>
                <w:rFonts w:hint="eastAsia" w:ascii="宋体" w:hAnsi="宋体" w:eastAsia="宋体" w:cs="宋体"/>
                <w:i w:val="0"/>
                <w:iCs w:val="0"/>
                <w:color w:val="000000"/>
                <w:sz w:val="20"/>
                <w:szCs w:val="20"/>
                <w:u w:val="none"/>
              </w:rPr>
            </w:pPr>
          </w:p>
        </w:tc>
      </w:tr>
    </w:tbl>
    <w:p w14:paraId="4A78BE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rPr>
      </w:pPr>
    </w:p>
    <w:p w14:paraId="23234217"/>
    <w:p w14:paraId="7A7966A3">
      <w:pPr>
        <w:rPr>
          <w:highlight w:val="none"/>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14012E"/>
    <w:multiLevelType w:val="singleLevel"/>
    <w:tmpl w:val="D914012E"/>
    <w:lvl w:ilvl="0" w:tentative="0">
      <w:start w:val="1"/>
      <w:numFmt w:val="chineseCounting"/>
      <w:suff w:val="nothing"/>
      <w:lvlText w:val="%1、"/>
      <w:lvlJc w:val="left"/>
      <w:rPr>
        <w:rFonts w:hint="eastAsia"/>
      </w:r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2E1C246"/>
    <w:multiLevelType w:val="singleLevel"/>
    <w:tmpl w:val="22E1C246"/>
    <w:lvl w:ilvl="0" w:tentative="0">
      <w:start w:val="2"/>
      <w:numFmt w:val="decimal"/>
      <w:suff w:val="nothing"/>
      <w:lvlText w:val="（%1）"/>
      <w:lvlJc w:val="left"/>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55BE0E91"/>
    <w:multiLevelType w:val="singleLevel"/>
    <w:tmpl w:val="55BE0E91"/>
    <w:lvl w:ilvl="0" w:tentative="0">
      <w:start w:val="5"/>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D31341"/>
    <w:rsid w:val="007A5018"/>
    <w:rsid w:val="0136732D"/>
    <w:rsid w:val="02663C42"/>
    <w:rsid w:val="02BE5CB3"/>
    <w:rsid w:val="031A4F5C"/>
    <w:rsid w:val="03F37758"/>
    <w:rsid w:val="049B0ACE"/>
    <w:rsid w:val="04AF2A2C"/>
    <w:rsid w:val="05AD6BC7"/>
    <w:rsid w:val="05D95918"/>
    <w:rsid w:val="062F58A7"/>
    <w:rsid w:val="063663D5"/>
    <w:rsid w:val="06B9793D"/>
    <w:rsid w:val="06C278B5"/>
    <w:rsid w:val="08907C6B"/>
    <w:rsid w:val="08FC0BC0"/>
    <w:rsid w:val="0931751B"/>
    <w:rsid w:val="09B96D4E"/>
    <w:rsid w:val="09DB4F16"/>
    <w:rsid w:val="09F63AFE"/>
    <w:rsid w:val="0B0E131B"/>
    <w:rsid w:val="0B6F02EB"/>
    <w:rsid w:val="0CE265BB"/>
    <w:rsid w:val="0D1C6FD2"/>
    <w:rsid w:val="0DDC5A6E"/>
    <w:rsid w:val="0E1F4D48"/>
    <w:rsid w:val="10FF3345"/>
    <w:rsid w:val="12705F50"/>
    <w:rsid w:val="146273C9"/>
    <w:rsid w:val="151237B6"/>
    <w:rsid w:val="158741A4"/>
    <w:rsid w:val="15946892"/>
    <w:rsid w:val="17224B33"/>
    <w:rsid w:val="17B80644"/>
    <w:rsid w:val="17C16E38"/>
    <w:rsid w:val="180C3847"/>
    <w:rsid w:val="18A60DE5"/>
    <w:rsid w:val="1A2E1092"/>
    <w:rsid w:val="1CE54D09"/>
    <w:rsid w:val="1EB74510"/>
    <w:rsid w:val="1F5A6B69"/>
    <w:rsid w:val="1F703EFB"/>
    <w:rsid w:val="1FA63766"/>
    <w:rsid w:val="20620D45"/>
    <w:rsid w:val="212C0833"/>
    <w:rsid w:val="21731A80"/>
    <w:rsid w:val="22221A50"/>
    <w:rsid w:val="22B20CEA"/>
    <w:rsid w:val="231F5273"/>
    <w:rsid w:val="237F295E"/>
    <w:rsid w:val="25551BC9"/>
    <w:rsid w:val="25E80F02"/>
    <w:rsid w:val="25F018F1"/>
    <w:rsid w:val="26FB22FC"/>
    <w:rsid w:val="292F0982"/>
    <w:rsid w:val="2A824AC9"/>
    <w:rsid w:val="2B7A4B5A"/>
    <w:rsid w:val="2D6248B9"/>
    <w:rsid w:val="2DD36848"/>
    <w:rsid w:val="2DDC3A06"/>
    <w:rsid w:val="2DEC6E42"/>
    <w:rsid w:val="2E354125"/>
    <w:rsid w:val="2E3F51C4"/>
    <w:rsid w:val="2E6E5AA9"/>
    <w:rsid w:val="2ECA267C"/>
    <w:rsid w:val="2FF33167"/>
    <w:rsid w:val="3014224E"/>
    <w:rsid w:val="308570DA"/>
    <w:rsid w:val="308C2F4D"/>
    <w:rsid w:val="30B75796"/>
    <w:rsid w:val="31B8236B"/>
    <w:rsid w:val="324C3E11"/>
    <w:rsid w:val="32D72ED6"/>
    <w:rsid w:val="338A6F37"/>
    <w:rsid w:val="33A63904"/>
    <w:rsid w:val="33E52369"/>
    <w:rsid w:val="34232E92"/>
    <w:rsid w:val="346E2CA2"/>
    <w:rsid w:val="34BD542E"/>
    <w:rsid w:val="38FD63A7"/>
    <w:rsid w:val="39BD140E"/>
    <w:rsid w:val="3A00614F"/>
    <w:rsid w:val="3A0A3805"/>
    <w:rsid w:val="3B0371E4"/>
    <w:rsid w:val="3B7A3CDF"/>
    <w:rsid w:val="3BDC6748"/>
    <w:rsid w:val="3DE23DBE"/>
    <w:rsid w:val="3E4573F0"/>
    <w:rsid w:val="3EFF43E0"/>
    <w:rsid w:val="407451A1"/>
    <w:rsid w:val="40AA71FA"/>
    <w:rsid w:val="4189630B"/>
    <w:rsid w:val="42C068F7"/>
    <w:rsid w:val="430E573B"/>
    <w:rsid w:val="4315434D"/>
    <w:rsid w:val="43464D2B"/>
    <w:rsid w:val="43812B14"/>
    <w:rsid w:val="43BB16CD"/>
    <w:rsid w:val="43C27FD1"/>
    <w:rsid w:val="4497348F"/>
    <w:rsid w:val="45AA6F6F"/>
    <w:rsid w:val="467C4DAF"/>
    <w:rsid w:val="46E47BC3"/>
    <w:rsid w:val="477C5BB9"/>
    <w:rsid w:val="48142DC6"/>
    <w:rsid w:val="4902013C"/>
    <w:rsid w:val="49D96075"/>
    <w:rsid w:val="4A147B5D"/>
    <w:rsid w:val="4AB77738"/>
    <w:rsid w:val="4BED75A1"/>
    <w:rsid w:val="4BFB3B98"/>
    <w:rsid w:val="4C4F61A5"/>
    <w:rsid w:val="4C8A18A8"/>
    <w:rsid w:val="4E276627"/>
    <w:rsid w:val="4E4A7541"/>
    <w:rsid w:val="4F9312DC"/>
    <w:rsid w:val="50241A99"/>
    <w:rsid w:val="50424664"/>
    <w:rsid w:val="511730A2"/>
    <w:rsid w:val="52707792"/>
    <w:rsid w:val="551C08B3"/>
    <w:rsid w:val="573B036F"/>
    <w:rsid w:val="58BF06FB"/>
    <w:rsid w:val="5A4B631A"/>
    <w:rsid w:val="5A525667"/>
    <w:rsid w:val="5A661E4F"/>
    <w:rsid w:val="5B7812E7"/>
    <w:rsid w:val="5BA30291"/>
    <w:rsid w:val="5BD104A7"/>
    <w:rsid w:val="5BDF79BF"/>
    <w:rsid w:val="5CC574A9"/>
    <w:rsid w:val="5E745F14"/>
    <w:rsid w:val="5E800D5D"/>
    <w:rsid w:val="62622551"/>
    <w:rsid w:val="62872FB3"/>
    <w:rsid w:val="63685625"/>
    <w:rsid w:val="63D31341"/>
    <w:rsid w:val="63E575AD"/>
    <w:rsid w:val="640330B7"/>
    <w:rsid w:val="641E4283"/>
    <w:rsid w:val="64FD63E0"/>
    <w:rsid w:val="6562210C"/>
    <w:rsid w:val="669D48F2"/>
    <w:rsid w:val="68A8024C"/>
    <w:rsid w:val="68AB2E7A"/>
    <w:rsid w:val="6ABE50E7"/>
    <w:rsid w:val="6B824366"/>
    <w:rsid w:val="6EEB289A"/>
    <w:rsid w:val="6F64407C"/>
    <w:rsid w:val="6FEB570E"/>
    <w:rsid w:val="70AA2DD6"/>
    <w:rsid w:val="71112F38"/>
    <w:rsid w:val="72276701"/>
    <w:rsid w:val="72A42E14"/>
    <w:rsid w:val="72A9042B"/>
    <w:rsid w:val="77C61FA0"/>
    <w:rsid w:val="78450BF6"/>
    <w:rsid w:val="78DA7590"/>
    <w:rsid w:val="790E548B"/>
    <w:rsid w:val="792D6A75"/>
    <w:rsid w:val="79340096"/>
    <w:rsid w:val="7A476ED2"/>
    <w:rsid w:val="7A5D191E"/>
    <w:rsid w:val="7AC027B5"/>
    <w:rsid w:val="7BAB5214"/>
    <w:rsid w:val="7C860391"/>
    <w:rsid w:val="7CC539E4"/>
    <w:rsid w:val="7CEF2EDE"/>
    <w:rsid w:val="7ECF746B"/>
    <w:rsid w:val="7EF16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ody Text Indent 2"/>
    <w:basedOn w:val="1"/>
    <w:qFormat/>
    <w:uiPriority w:val="0"/>
    <w:pPr>
      <w:spacing w:after="120" w:line="480" w:lineRule="auto"/>
      <w:ind w:left="420" w:leftChars="200"/>
    </w:p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9">
    <w:name w:val="Body Text First Indent"/>
    <w:basedOn w:val="4"/>
    <w:qFormat/>
    <w:uiPriority w:val="0"/>
    <w:pPr>
      <w:spacing w:after="0"/>
      <w:ind w:firstLine="200" w:firstLineChars="200"/>
    </w:pPr>
  </w:style>
  <w:style w:type="paragraph" w:styleId="10">
    <w:name w:val="Body Text First Indent 2"/>
    <w:basedOn w:val="5"/>
    <w:qFormat/>
    <w:uiPriority w:val="0"/>
    <w:pPr>
      <w:ind w:firstLine="420" w:firstLineChars="200"/>
    </w:pPr>
  </w:style>
  <w:style w:type="character" w:styleId="13">
    <w:name w:val="Strong"/>
    <w:basedOn w:val="12"/>
    <w:qFormat/>
    <w:uiPriority w:val="0"/>
    <w:rPr>
      <w:b/>
      <w:bCs/>
    </w:rPr>
  </w:style>
  <w:style w:type="paragraph" w:customStyle="1" w:styleId="14">
    <w:name w:val="闻政-正文段落文字"/>
    <w:basedOn w:val="1"/>
    <w:qFormat/>
    <w:uiPriority w:val="3"/>
    <w:pPr>
      <w:spacing w:line="500" w:lineRule="exact"/>
      <w:ind w:firstLine="200"/>
    </w:pPr>
    <w:rPr>
      <w:kern w:val="0"/>
      <w:szCs w:val="28"/>
    </w:rPr>
  </w:style>
  <w:style w:type="character" w:customStyle="1" w:styleId="15">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973</Words>
  <Characters>1081</Characters>
  <Lines>0</Lines>
  <Paragraphs>0</Paragraphs>
  <TotalTime>0</TotalTime>
  <ScaleCrop>false</ScaleCrop>
  <LinksUpToDate>false</LinksUpToDate>
  <CharactersWithSpaces>1085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2025-04-27T07:37:00Z</dcterms:created>
  <dc:creator>大漠胡杨</dc:creator>
  <cp:lastModifiedBy></cp:lastModifiedBy>
  <dcterms:modified xsi:type="dcterms:W3CDTF">2025-05-14T10:01:17Z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AF200F73CED84343A51555C5AA89009D_13</vt:lpwstr>
  </property>
  <property fmtid="{D5CDD505-2E9C-101B-9397-08002B2CF9AE}" pid="4" name="KSOTemplateDocerSaveRecord">
    <vt:lpwstr>eyJoZGlkIjoiZGU2OWVkNjVhNTc2NTNjNjZhOGJlZWQ2NTc3Njc5NGQiLCJ1c2VySWQiOiIzODQzMzMyOTcifQ==</vt:lpwstr>
  </property>
</Properties>
</file>