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955DD">
      <w:pPr>
        <w:spacing w:line="540" w:lineRule="exact"/>
        <w:jc w:val="center"/>
        <w:rPr>
          <w:rFonts w:hint="default" w:ascii="Times New Roman" w:hAnsi="Times New Roman" w:eastAsia="华文中宋" w:cs="Times New Roman"/>
          <w:b/>
          <w:kern w:val="0"/>
          <w:sz w:val="52"/>
          <w:szCs w:val="52"/>
        </w:rPr>
      </w:pPr>
    </w:p>
    <w:p w14:paraId="02B8F685">
      <w:pPr>
        <w:spacing w:line="540" w:lineRule="exact"/>
        <w:rPr>
          <w:rFonts w:hint="default" w:ascii="Times New Roman" w:hAnsi="Times New Roman" w:eastAsia="华文中宋" w:cs="Times New Roman"/>
          <w:b/>
          <w:kern w:val="0"/>
          <w:sz w:val="52"/>
          <w:szCs w:val="52"/>
        </w:rPr>
      </w:pPr>
    </w:p>
    <w:p w14:paraId="72418BB1">
      <w:pPr>
        <w:spacing w:line="540" w:lineRule="exact"/>
        <w:jc w:val="center"/>
        <w:rPr>
          <w:rFonts w:hint="default" w:ascii="Times New Roman" w:hAnsi="Times New Roman" w:eastAsia="华文中宋" w:cs="Times New Roman"/>
          <w:b/>
          <w:kern w:val="0"/>
          <w:sz w:val="52"/>
          <w:szCs w:val="52"/>
        </w:rPr>
      </w:pPr>
    </w:p>
    <w:p w14:paraId="0D9A1DC7">
      <w:pPr>
        <w:spacing w:line="540" w:lineRule="exact"/>
        <w:jc w:val="center"/>
        <w:rPr>
          <w:rFonts w:hint="default" w:ascii="Times New Roman" w:hAnsi="Times New Roman" w:eastAsia="华文中宋" w:cs="Times New Roman"/>
          <w:b/>
          <w:kern w:val="0"/>
          <w:sz w:val="52"/>
          <w:szCs w:val="52"/>
        </w:rPr>
      </w:pPr>
    </w:p>
    <w:p w14:paraId="31A4AA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_GBK" w:hAnsi="方正小标宋_GBK" w:eastAsia="方正小标宋_GBK" w:cs="方正小标宋_GBK"/>
          <w:sz w:val="44"/>
          <w:szCs w:val="44"/>
          <w:lang w:val="en-US" w:eastAsia="zh-CN"/>
        </w:rPr>
      </w:pPr>
      <w:r>
        <w:rPr>
          <w:rFonts w:hint="default" w:ascii="方正小标宋_GBK" w:hAnsi="方正小标宋_GBK" w:eastAsia="方正小标宋_GBK" w:cs="方正小标宋_GBK"/>
          <w:sz w:val="44"/>
          <w:szCs w:val="44"/>
          <w:lang w:val="en-US" w:eastAsia="zh-CN"/>
        </w:rPr>
        <w:t>关于解决国有资产办理不动产证件费用的请示、原县医院闲置资产作为党政机关办公用房维修项目、关于解决老政府等五处房产土地出让金及契税等相关过户费用项目支出绩效评价报告</w:t>
      </w:r>
    </w:p>
    <w:p w14:paraId="311D6D71">
      <w:pPr>
        <w:spacing w:line="540" w:lineRule="exact"/>
        <w:jc w:val="center"/>
        <w:rPr>
          <w:rFonts w:hint="default" w:ascii="Times New Roman" w:hAnsi="Times New Roman" w:eastAsia="华文中宋" w:cs="Times New Roman"/>
          <w:b/>
          <w:kern w:val="0"/>
          <w:sz w:val="52"/>
          <w:szCs w:val="52"/>
        </w:rPr>
      </w:pPr>
    </w:p>
    <w:p w14:paraId="4DF331E5">
      <w:pPr>
        <w:keepNext w:val="0"/>
        <w:keepLines w:val="0"/>
        <w:pageBreakBefore w:val="0"/>
        <w:widowControl w:val="0"/>
        <w:kinsoku/>
        <w:wordWrap/>
        <w:overflowPunct/>
        <w:topLinePunct w:val="0"/>
        <w:autoSpaceDE/>
        <w:autoSpaceDN/>
        <w:bidi w:val="0"/>
        <w:adjustRightInd/>
        <w:snapToGrid/>
        <w:spacing w:line="560" w:lineRule="exact"/>
        <w:ind w:left="1600" w:hanging="1600" w:hangingChars="500"/>
        <w:jc w:val="center"/>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（2024年度）</w:t>
      </w:r>
    </w:p>
    <w:p w14:paraId="3C2BB519">
      <w:pPr>
        <w:keepNext w:val="0"/>
        <w:keepLines w:val="0"/>
        <w:pageBreakBefore w:val="0"/>
        <w:widowControl w:val="0"/>
        <w:kinsoku/>
        <w:wordWrap/>
        <w:overflowPunct/>
        <w:topLinePunct w:val="0"/>
        <w:autoSpaceDE/>
        <w:autoSpaceDN/>
        <w:bidi w:val="0"/>
        <w:adjustRightInd/>
        <w:snapToGrid/>
        <w:spacing w:line="560" w:lineRule="exact"/>
        <w:ind w:left="1600" w:hanging="1600" w:hangingChars="500"/>
        <w:jc w:val="center"/>
        <w:textAlignment w:val="auto"/>
        <w:rPr>
          <w:rFonts w:hint="default" w:ascii="仿宋_GB2312" w:hAnsi="仿宋_GB2312" w:eastAsia="仿宋_GB2312" w:cs="仿宋_GB2312"/>
          <w:sz w:val="32"/>
          <w:szCs w:val="32"/>
          <w:lang w:val="en-US" w:eastAsia="zh-CN"/>
        </w:rPr>
      </w:pPr>
    </w:p>
    <w:p w14:paraId="3D4AD6D5">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项目名称：关于解决国有资产办理不动产证件费用的请示、原县医院闲置资产作为党政机关办公用房维修项目、关于解决老政府等五处房产土地出让金及契税等相关过户费用</w:t>
      </w:r>
    </w:p>
    <w:p w14:paraId="46CA6C13">
      <w:pPr>
        <w:keepNext w:val="0"/>
        <w:keepLines w:val="0"/>
        <w:pageBreakBefore w:val="0"/>
        <w:widowControl w:val="0"/>
        <w:kinsoku/>
        <w:wordWrap/>
        <w:overflowPunct/>
        <w:topLinePunct w:val="0"/>
        <w:autoSpaceDE/>
        <w:autoSpaceDN/>
        <w:bidi w:val="0"/>
        <w:adjustRightInd/>
        <w:snapToGrid/>
        <w:spacing w:line="560" w:lineRule="exact"/>
        <w:ind w:left="2876" w:leftChars="760" w:hanging="1280" w:hangingChars="4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实施单位（公章）：奇台县人民政府办公室（县信访局.县扶贫开发办公室）</w:t>
      </w:r>
    </w:p>
    <w:p w14:paraId="493D9ACB">
      <w:pPr>
        <w:keepNext w:val="0"/>
        <w:keepLines w:val="0"/>
        <w:pageBreakBefore w:val="0"/>
        <w:widowControl w:val="0"/>
        <w:kinsoku/>
        <w:wordWrap/>
        <w:overflowPunct/>
        <w:topLinePunct w:val="0"/>
        <w:autoSpaceDE/>
        <w:autoSpaceDN/>
        <w:bidi w:val="0"/>
        <w:adjustRightInd/>
        <w:snapToGrid/>
        <w:spacing w:line="560" w:lineRule="exact"/>
        <w:ind w:left="2876" w:leftChars="760" w:hanging="1280" w:hangingChars="4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主管部门（公章）：奇台县人民政府办公室（县信访局</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县扶贫开发办公室）</w:t>
      </w:r>
    </w:p>
    <w:p w14:paraId="275FB808">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left"/>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项目负责人（签章）：</w:t>
      </w:r>
      <w:r>
        <w:rPr>
          <w:rFonts w:hint="eastAsia" w:ascii="仿宋_GB2312" w:hAnsi="仿宋_GB2312" w:eastAsia="仿宋_GB2312" w:cs="仿宋_GB2312"/>
          <w:sz w:val="32"/>
          <w:szCs w:val="32"/>
          <w:lang w:val="en-US" w:eastAsia="zh-CN"/>
        </w:rPr>
        <w:t>刘玉奇</w:t>
      </w:r>
    </w:p>
    <w:p w14:paraId="772076D4">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w:t>
      </w:r>
      <w:r>
        <w:rPr>
          <w:rFonts w:hint="eastAsia" w:ascii="仿宋_GB2312" w:hAnsi="仿宋_GB2312" w:eastAsia="仿宋_GB2312" w:cs="仿宋_GB2312"/>
          <w:sz w:val="32"/>
          <w:szCs w:val="32"/>
          <w:lang w:val="en-US" w:eastAsia="zh-CN"/>
        </w:rPr>
        <w:t>2025</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27</w:t>
      </w:r>
      <w:r>
        <w:rPr>
          <w:rFonts w:hint="default" w:ascii="仿宋_GB2312" w:hAnsi="仿宋_GB2312" w:eastAsia="仿宋_GB2312" w:cs="仿宋_GB2312"/>
          <w:sz w:val="32"/>
          <w:szCs w:val="32"/>
          <w:lang w:val="en-US" w:eastAsia="zh-CN"/>
        </w:rPr>
        <w:t>日</w:t>
      </w:r>
    </w:p>
    <w:p w14:paraId="37B9FBB4">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left"/>
        <w:textAlignment w:val="auto"/>
        <w:rPr>
          <w:rFonts w:hint="default" w:ascii="仿宋_GB2312" w:hAnsi="仿宋_GB2312" w:eastAsia="仿宋_GB2312" w:cs="仿宋_GB2312"/>
          <w:sz w:val="32"/>
          <w:szCs w:val="32"/>
          <w:lang w:val="en-US" w:eastAsia="zh-CN"/>
        </w:rPr>
      </w:pPr>
    </w:p>
    <w:p w14:paraId="4EAE3A0E">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left"/>
        <w:textAlignment w:val="auto"/>
        <w:rPr>
          <w:rFonts w:hint="default" w:ascii="仿宋_GB2312" w:hAnsi="仿宋_GB2312" w:eastAsia="仿宋_GB2312" w:cs="仿宋_GB2312"/>
          <w:sz w:val="32"/>
          <w:szCs w:val="32"/>
          <w:lang w:val="en-US" w:eastAsia="zh-CN"/>
        </w:rPr>
        <w:sectPr>
          <w:pgSz w:w="11906" w:h="16838"/>
          <w:pgMar w:top="1440" w:right="1558" w:bottom="1440" w:left="1800" w:header="851" w:footer="992" w:gutter="0"/>
          <w:cols w:space="425" w:num="1"/>
          <w:docGrid w:type="lines" w:linePitch="312" w:charSpace="0"/>
        </w:sectPr>
      </w:pPr>
    </w:p>
    <w:p w14:paraId="67132CCD">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8C16D6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A612D67">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17A0202">
      <w:pPr>
        <w:spacing w:line="560" w:lineRule="exact"/>
        <w:ind w:firstLine="640" w:firstLineChars="200"/>
        <w:rPr>
          <w:rFonts w:hint="default" w:ascii="Times New Roman" w:hAnsi="Times New Roman" w:eastAsia="仿宋_GB2312" w:cs="Times New Roman"/>
          <w:sz w:val="30"/>
          <w:szCs w:val="30"/>
          <w:highlight w:val="none"/>
          <w:lang w:val="en-US" w:eastAsia="zh-CN"/>
        </w:rPr>
      </w:pPr>
      <w:r>
        <w:rPr>
          <w:rFonts w:hint="eastAsia" w:ascii="仿宋_GB2312" w:hAnsi="仿宋_GB2312" w:eastAsia="仿宋_GB2312" w:cs="仿宋_GB2312"/>
          <w:sz w:val="32"/>
          <w:szCs w:val="32"/>
          <w:lang w:val="en-US" w:eastAsia="zh-CN"/>
        </w:rPr>
        <w:t>根据《</w:t>
      </w:r>
      <w:r>
        <w:rPr>
          <w:rFonts w:hint="default" w:ascii="仿宋_GB2312" w:hAnsi="仿宋_GB2312" w:eastAsia="仿宋_GB2312" w:cs="仿宋_GB2312"/>
          <w:sz w:val="32"/>
          <w:szCs w:val="32"/>
          <w:lang w:val="en-US" w:eastAsia="zh-CN"/>
        </w:rPr>
        <w:t>关于解决国有资产办理不动产证件费用的请示</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原县医院闲置资产作为党政机关办公用房维修项目</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关于解决老政府等五处房产土地出让金及契税等相关过户费用</w:t>
      </w:r>
      <w:r>
        <w:rPr>
          <w:rFonts w:hint="eastAsia" w:ascii="仿宋_GB2312" w:hAnsi="仿宋_GB2312" w:eastAsia="仿宋_GB2312" w:cs="仿宋_GB2312"/>
          <w:sz w:val="32"/>
          <w:szCs w:val="32"/>
          <w:lang w:val="en-US" w:eastAsia="zh-CN"/>
        </w:rPr>
        <w:t>》的相关文件，</w:t>
      </w:r>
      <w:r>
        <w:rPr>
          <w:rFonts w:hint="default" w:ascii="仿宋_GB2312" w:hAnsi="仿宋_GB2312" w:eastAsia="仿宋_GB2312" w:cs="仿宋_GB2312"/>
          <w:sz w:val="32"/>
          <w:szCs w:val="32"/>
          <w:lang w:val="en-US" w:eastAsia="zh-CN"/>
        </w:rPr>
        <w:t>为加强党政机关国有资产管理，推进奇台县办公用房资源合理配置和节约集约使用，进一步盘活国有资产，节约水、电、暖、保安等行政办公成本，使行政办公场所由分散向集中转变，更加利于服务群众办事，逐步实现“一件事一次办，一件事一栋楼办”的服务理念</w:t>
      </w:r>
      <w:r>
        <w:rPr>
          <w:rFonts w:hint="eastAsia" w:ascii="仿宋_GB2312" w:hAnsi="仿宋_GB2312" w:eastAsia="仿宋_GB2312" w:cs="仿宋_GB2312"/>
          <w:sz w:val="32"/>
          <w:szCs w:val="32"/>
          <w:lang w:val="en-US" w:eastAsia="zh-CN"/>
        </w:rPr>
        <w:t>，申请项目资金，对全县各机关事业单位房产进行统筹安排，并办理相关手续。</w:t>
      </w:r>
    </w:p>
    <w:p w14:paraId="08338A62">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192C9E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项目主要内容：原县医院闲置资产作为党政机关办公用房维修项目</w:t>
      </w:r>
      <w:r>
        <w:rPr>
          <w:rFonts w:hint="eastAsia" w:ascii="仿宋_GB2312" w:hAnsi="仿宋_GB2312" w:eastAsia="仿宋_GB2312" w:cs="仿宋_GB2312"/>
          <w:sz w:val="32"/>
          <w:szCs w:val="32"/>
          <w:lang w:val="en-US" w:eastAsia="zh-CN"/>
        </w:rPr>
        <w:t>主要内容（1）党政机关集中办公区维修（包括：外立面维修、隔墙工程、室内维修、给排水系统维修、电气系统维修、通风工程等）（2）室外配套工程维修（包括：拆除水塔及彩钢板房工程、增设院区大门、补齐监控设施、室外给水管道维修、排水管道维修、供热管道维修、电力管道维修等其他工程）</w:t>
      </w:r>
      <w:r>
        <w:rPr>
          <w:rFonts w:hint="default" w:ascii="仿宋_GB2312" w:hAnsi="仿宋_GB2312" w:eastAsia="仿宋_GB2312" w:cs="仿宋_GB2312"/>
          <w:sz w:val="32"/>
          <w:szCs w:val="32"/>
          <w:lang w:val="en-US" w:eastAsia="zh-CN"/>
        </w:rPr>
        <w:t>。国有资产办理不动产证件</w:t>
      </w:r>
      <w:r>
        <w:rPr>
          <w:rFonts w:hint="eastAsia" w:ascii="仿宋_GB2312" w:hAnsi="仿宋_GB2312" w:eastAsia="仿宋_GB2312" w:cs="仿宋_GB2312"/>
          <w:sz w:val="32"/>
          <w:szCs w:val="32"/>
          <w:lang w:val="en-US" w:eastAsia="zh-CN"/>
        </w:rPr>
        <w:t>。办理</w:t>
      </w:r>
      <w:r>
        <w:rPr>
          <w:rFonts w:hint="default" w:ascii="仿宋_GB2312" w:hAnsi="仿宋_GB2312" w:eastAsia="仿宋_GB2312" w:cs="仿宋_GB2312"/>
          <w:sz w:val="32"/>
          <w:szCs w:val="32"/>
          <w:lang w:val="en-US" w:eastAsia="zh-CN"/>
        </w:rPr>
        <w:t>老政府等五处房产过户</w:t>
      </w:r>
      <w:r>
        <w:rPr>
          <w:rFonts w:hint="eastAsia" w:ascii="仿宋_GB2312" w:hAnsi="仿宋_GB2312" w:eastAsia="仿宋_GB2312" w:cs="仿宋_GB2312"/>
          <w:sz w:val="32"/>
          <w:szCs w:val="32"/>
          <w:lang w:val="en-US" w:eastAsia="zh-CN"/>
        </w:rPr>
        <w:t>。</w:t>
      </w:r>
    </w:p>
    <w:p w14:paraId="4645F8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项目实施情况：截止2024年12月31日，此项目完成房产土地出让金及契税5处、新增设院区大门2个、维修办公用房维修数量3处，房屋维修费用支出1337.15万元；不动产国有资产费用支出3752.36万</w:t>
      </w:r>
      <w:r>
        <w:rPr>
          <w:rFonts w:hint="eastAsia" w:ascii="仿宋_GB2312" w:hAnsi="仿宋_GB2312" w:eastAsia="仿宋_GB2312" w:cs="仿宋_GB2312"/>
          <w:sz w:val="32"/>
          <w:szCs w:val="32"/>
          <w:lang w:val="en-US" w:eastAsia="zh-CN"/>
        </w:rPr>
        <w:t>。</w:t>
      </w:r>
    </w:p>
    <w:p w14:paraId="30E264C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76223C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（1）资金投入情况</w:t>
      </w:r>
    </w:p>
    <w:p w14:paraId="75DCA7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该项目年初预算数</w:t>
      </w:r>
      <w:r>
        <w:rPr>
          <w:rFonts w:hint="eastAsia" w:ascii="仿宋_GB2312" w:hAnsi="仿宋_GB2312" w:eastAsia="仿宋_GB2312" w:cs="仿宋_GB2312"/>
          <w:sz w:val="32"/>
          <w:szCs w:val="32"/>
          <w:lang w:val="en-US" w:eastAsia="zh-CN"/>
        </w:rPr>
        <w:t>0</w:t>
      </w:r>
      <w:r>
        <w:rPr>
          <w:rFonts w:hint="default"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val="en-US" w:eastAsia="zh-CN"/>
        </w:rPr>
        <w:t>追加资金6221.29万元，</w:t>
      </w:r>
      <w:r>
        <w:rPr>
          <w:rFonts w:hint="default" w:ascii="仿宋_GB2312" w:hAnsi="仿宋_GB2312" w:eastAsia="仿宋_GB2312" w:cs="仿宋_GB2312"/>
          <w:sz w:val="32"/>
          <w:szCs w:val="32"/>
          <w:lang w:val="en-US" w:eastAsia="zh-CN"/>
        </w:rPr>
        <w:t>全年预算数</w:t>
      </w:r>
      <w:r>
        <w:rPr>
          <w:rFonts w:hint="eastAsia" w:ascii="仿宋_GB2312" w:hAnsi="仿宋_GB2312" w:eastAsia="仿宋_GB2312" w:cs="仿宋_GB2312"/>
          <w:sz w:val="32"/>
          <w:szCs w:val="32"/>
          <w:lang w:val="en-US" w:eastAsia="zh-CN"/>
        </w:rPr>
        <w:t>6221.29</w:t>
      </w:r>
      <w:r>
        <w:rPr>
          <w:rFonts w:hint="default" w:ascii="仿宋_GB2312" w:hAnsi="仿宋_GB2312" w:eastAsia="仿宋_GB2312" w:cs="仿宋_GB2312"/>
          <w:sz w:val="32"/>
          <w:szCs w:val="32"/>
          <w:lang w:val="en-US" w:eastAsia="zh-CN"/>
        </w:rPr>
        <w:t>万元，该项目资金已全部落实到位，资金来源为</w:t>
      </w:r>
      <w:r>
        <w:rPr>
          <w:rFonts w:hint="eastAsia" w:ascii="仿宋_GB2312" w:hAnsi="仿宋_GB2312" w:eastAsia="仿宋_GB2312" w:cs="仿宋_GB2312"/>
          <w:sz w:val="32"/>
          <w:szCs w:val="32"/>
          <w:lang w:val="en-US" w:eastAsia="zh-CN"/>
        </w:rPr>
        <w:t>财政拨款。</w:t>
      </w:r>
    </w:p>
    <w:p w14:paraId="053BCB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资金使用情况</w:t>
      </w:r>
    </w:p>
    <w:p w14:paraId="46FA9F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该项目年初预算数</w:t>
      </w:r>
      <w:r>
        <w:rPr>
          <w:rFonts w:hint="eastAsia" w:ascii="仿宋_GB2312" w:hAnsi="仿宋_GB2312" w:eastAsia="仿宋_GB2312" w:cs="仿宋_GB2312"/>
          <w:sz w:val="32"/>
          <w:szCs w:val="32"/>
          <w:lang w:val="en-US" w:eastAsia="zh-CN"/>
        </w:rPr>
        <w:t>0</w:t>
      </w:r>
      <w:r>
        <w:rPr>
          <w:rFonts w:hint="default" w:ascii="仿宋_GB2312" w:hAnsi="仿宋_GB2312" w:eastAsia="仿宋_GB2312" w:cs="仿宋_GB2312"/>
          <w:sz w:val="32"/>
          <w:szCs w:val="32"/>
          <w:lang w:val="en-US" w:eastAsia="zh-CN"/>
        </w:rPr>
        <w:t>万元，全年预算数</w:t>
      </w:r>
      <w:r>
        <w:rPr>
          <w:rFonts w:hint="eastAsia" w:ascii="仿宋_GB2312" w:hAnsi="仿宋_GB2312" w:eastAsia="仿宋_GB2312" w:cs="仿宋_GB2312"/>
          <w:sz w:val="32"/>
          <w:szCs w:val="32"/>
          <w:lang w:val="en-US" w:eastAsia="zh-CN"/>
        </w:rPr>
        <w:t>6221.29</w:t>
      </w:r>
      <w:r>
        <w:rPr>
          <w:rFonts w:hint="default" w:ascii="仿宋_GB2312" w:hAnsi="仿宋_GB2312" w:eastAsia="仿宋_GB2312" w:cs="仿宋_GB2312"/>
          <w:sz w:val="32"/>
          <w:szCs w:val="32"/>
          <w:lang w:val="en-US" w:eastAsia="zh-CN"/>
        </w:rPr>
        <w:t>万元，全年执行数</w:t>
      </w:r>
      <w:r>
        <w:rPr>
          <w:rFonts w:hint="eastAsia" w:ascii="仿宋_GB2312" w:hAnsi="仿宋_GB2312" w:eastAsia="仿宋_GB2312" w:cs="仿宋_GB2312"/>
          <w:sz w:val="32"/>
          <w:szCs w:val="32"/>
          <w:lang w:val="en-US" w:eastAsia="zh-CN"/>
        </w:rPr>
        <w:t>5089.51</w:t>
      </w:r>
      <w:r>
        <w:rPr>
          <w:rFonts w:hint="default" w:ascii="仿宋_GB2312" w:hAnsi="仿宋_GB2312" w:eastAsia="仿宋_GB2312" w:cs="仿宋_GB2312"/>
          <w:sz w:val="32"/>
          <w:szCs w:val="32"/>
          <w:lang w:val="en-US" w:eastAsia="zh-CN"/>
        </w:rPr>
        <w:t>万元，预算执行率为</w:t>
      </w:r>
      <w:r>
        <w:rPr>
          <w:rFonts w:hint="eastAsia" w:ascii="仿宋_GB2312" w:hAnsi="仿宋_GB2312" w:eastAsia="仿宋_GB2312" w:cs="仿宋_GB2312"/>
          <w:sz w:val="32"/>
          <w:szCs w:val="32"/>
          <w:lang w:val="en-US" w:eastAsia="zh-CN"/>
        </w:rPr>
        <w:t>81.81</w:t>
      </w:r>
      <w:r>
        <w:rPr>
          <w:rFonts w:hint="default" w:ascii="仿宋_GB2312" w:hAnsi="仿宋_GB2312" w:eastAsia="仿宋_GB2312" w:cs="仿宋_GB2312"/>
          <w:sz w:val="32"/>
          <w:szCs w:val="32"/>
          <w:lang w:val="en-US" w:eastAsia="zh-CN"/>
        </w:rPr>
        <w:t>%，主要用于：</w:t>
      </w:r>
      <w:r>
        <w:rPr>
          <w:rFonts w:hint="eastAsia" w:ascii="仿宋_GB2312" w:hAnsi="仿宋_GB2312" w:eastAsia="仿宋_GB2312" w:cs="仿宋_GB2312"/>
          <w:sz w:val="32"/>
          <w:szCs w:val="32"/>
          <w:lang w:val="en-US" w:eastAsia="zh-CN"/>
        </w:rPr>
        <w:t>办公用房维修、办理不动产证件费用、</w:t>
      </w:r>
      <w:r>
        <w:rPr>
          <w:rFonts w:hint="default" w:ascii="仿宋_GB2312" w:hAnsi="仿宋_GB2312" w:eastAsia="仿宋_GB2312" w:cs="仿宋_GB2312"/>
          <w:sz w:val="32"/>
          <w:szCs w:val="32"/>
          <w:lang w:val="en-US" w:eastAsia="zh-CN"/>
        </w:rPr>
        <w:t>房产土地出让金及契税</w:t>
      </w:r>
      <w:r>
        <w:rPr>
          <w:rFonts w:hint="eastAsia" w:ascii="仿宋_GB2312" w:hAnsi="仿宋_GB2312" w:eastAsia="仿宋_GB2312" w:cs="仿宋_GB2312"/>
          <w:sz w:val="32"/>
          <w:szCs w:val="32"/>
          <w:lang w:val="en-US" w:eastAsia="zh-CN"/>
        </w:rPr>
        <w:t>等</w:t>
      </w:r>
      <w:r>
        <w:rPr>
          <w:rFonts w:hint="default" w:ascii="仿宋_GB2312" w:hAnsi="仿宋_GB2312" w:eastAsia="仿宋_GB2312" w:cs="仿宋_GB2312"/>
          <w:sz w:val="32"/>
          <w:szCs w:val="32"/>
          <w:lang w:val="en-US" w:eastAsia="zh-CN"/>
        </w:rPr>
        <w:t>。</w:t>
      </w:r>
    </w:p>
    <w:p w14:paraId="4DA0C6F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C523C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1.总体目标</w:t>
      </w:r>
    </w:p>
    <w:p w14:paraId="1A0AD53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根据第十八届人民政府第49次常务会议研究将原县医院闲置楼进行整体维修及调整资产做党机关综合办公大楼，维修费用1337.25万元；根据奇台县第十八届人民政府第4次常务会议纪要（奇政阅〔2021〕27号）、《关于处置党政机关失业单位经营性房产及闲置公有房产的批复》和奇台县人民政府会议纪要（奇政阅〔2024〕7号）相关要求。机关事务服务中心对相关房产进行办理。房产不动产证、土地出让金、契税等相关费用4884.04万元</w:t>
      </w:r>
      <w:r>
        <w:rPr>
          <w:rFonts w:hint="eastAsia" w:ascii="仿宋_GB2312" w:hAnsi="仿宋_GB2312" w:eastAsia="仿宋_GB2312" w:cs="仿宋_GB2312"/>
          <w:sz w:val="32"/>
          <w:szCs w:val="32"/>
          <w:lang w:val="en-US" w:eastAsia="zh-CN"/>
        </w:rPr>
        <w:t>。</w:t>
      </w:r>
    </w:p>
    <w:p w14:paraId="24EDDA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2.阶段性目标</w:t>
      </w:r>
    </w:p>
    <w:p w14:paraId="235B70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一、原县医院闲置资产作为党政机关办公用房维修项目阶段性目标</w:t>
      </w:r>
    </w:p>
    <w:p w14:paraId="0B744E6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（一）第一阶段（</w:t>
      </w:r>
      <w:r>
        <w:rPr>
          <w:rFonts w:hint="eastAsia" w:ascii="仿宋_GB2312" w:hAnsi="仿宋_GB2312" w:eastAsia="仿宋_GB2312" w:cs="仿宋_GB2312"/>
          <w:sz w:val="32"/>
          <w:szCs w:val="32"/>
          <w:lang w:val="en-US" w:eastAsia="zh-CN"/>
        </w:rPr>
        <w:t>6月开始</w:t>
      </w:r>
      <w:r>
        <w:rPr>
          <w:rFonts w:hint="default" w:ascii="仿宋_GB2312" w:hAnsi="仿宋_GB2312" w:eastAsia="仿宋_GB2312" w:cs="仿宋_GB2312"/>
          <w:sz w:val="32"/>
          <w:szCs w:val="32"/>
          <w:lang w:val="en-US" w:eastAsia="zh-CN"/>
        </w:rPr>
        <w:t>）</w:t>
      </w:r>
    </w:p>
    <w:p w14:paraId="3AD659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1.前期筹备与施工启动：完成办公区及室外配套设施的全面勘察，编制详细维修方案及预算，明确施工技术标准与安全规范；通过公开招标确定</w:t>
      </w:r>
      <w:r>
        <w:rPr>
          <w:rFonts w:hint="eastAsia" w:ascii="仿宋_GB2312" w:hAnsi="仿宋_GB2312" w:eastAsia="仿宋_GB2312" w:cs="仿宋_GB2312"/>
          <w:sz w:val="32"/>
          <w:szCs w:val="32"/>
          <w:lang w:val="en-US" w:eastAsia="zh-CN"/>
        </w:rPr>
        <w:t>设计、</w:t>
      </w:r>
      <w:r>
        <w:rPr>
          <w:rFonts w:hint="default" w:ascii="仿宋_GB2312" w:hAnsi="仿宋_GB2312" w:eastAsia="仿宋_GB2312" w:cs="仿宋_GB2312"/>
          <w:sz w:val="32"/>
          <w:szCs w:val="32"/>
          <w:lang w:val="en-US" w:eastAsia="zh-CN"/>
        </w:rPr>
        <w:t>施工单位、监理</w:t>
      </w:r>
      <w:r>
        <w:rPr>
          <w:rFonts w:hint="eastAsia" w:ascii="仿宋_GB2312" w:hAnsi="仿宋_GB2312" w:eastAsia="仿宋_GB2312" w:cs="仿宋_GB2312"/>
          <w:sz w:val="32"/>
          <w:szCs w:val="32"/>
          <w:lang w:val="en-US" w:eastAsia="zh-CN"/>
        </w:rPr>
        <w:t>、审计</w:t>
      </w:r>
      <w:r>
        <w:rPr>
          <w:rFonts w:hint="default" w:ascii="仿宋_GB2312" w:hAnsi="仿宋_GB2312" w:eastAsia="仿宋_GB2312" w:cs="仿宋_GB2312"/>
          <w:sz w:val="32"/>
          <w:szCs w:val="32"/>
          <w:lang w:val="en-US" w:eastAsia="zh-CN"/>
        </w:rPr>
        <w:t>单位并签订合同；办理施工许可、规划审批等必要手续；启动水塔及彩钢板房拆除工程，同步开展外立面维修、室内隔墙改造及给排水、电气系统管线铺设。</w:t>
      </w:r>
    </w:p>
    <w:p w14:paraId="27C362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2.材料与资源保障：完成主要建筑材料（如管道、电气设备、装修板材）的采购招标，建立材料进场验收机制；组织施工团队进行技术交底与安全培训，确保施工规范。</w:t>
      </w:r>
    </w:p>
    <w:p w14:paraId="150FB1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工程推进与验收：完成室内装修（墙面、地面、吊顶）、通风工程安装及室外配套设施建设（院区大门、监控系统、供热电力管道维修）；组织住建、消防、质检等多部门联合验收，整改验收提出的问题，确保符合办公用房使用标准。</w:t>
      </w:r>
    </w:p>
    <w:p w14:paraId="308C3E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.交付与总结：实现党政机关顺利入驻；整理工程档案并归档，提炼施工管理经验。</w:t>
      </w:r>
    </w:p>
    <w:p w14:paraId="643549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二、国有资产办理不动产证件阶段性目标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老政府等五处房产过户阶段性目标</w:t>
      </w:r>
    </w:p>
    <w:p w14:paraId="28D6689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（一）下半年</w:t>
      </w:r>
    </w:p>
    <w:p w14:paraId="740B83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w:t>
      </w:r>
      <w:r>
        <w:rPr>
          <w:rFonts w:hint="default" w:ascii="仿宋_GB2312" w:hAnsi="仿宋_GB2312" w:eastAsia="仿宋_GB2312" w:cs="仿宋_GB2312"/>
          <w:sz w:val="32"/>
          <w:szCs w:val="32"/>
          <w:lang w:val="en-US" w:eastAsia="zh-CN"/>
        </w:rPr>
        <w:t>老政府办公楼、老式装部办公楼、老法院办公楼的房产进行办理过户等相关手读</w:t>
      </w:r>
      <w:r>
        <w:rPr>
          <w:rFonts w:hint="eastAsia" w:ascii="仿宋_GB2312" w:hAnsi="仿宋_GB2312" w:eastAsia="仿宋_GB2312" w:cs="仿宋_GB2312"/>
          <w:sz w:val="32"/>
          <w:szCs w:val="32"/>
          <w:lang w:val="en-US" w:eastAsia="zh-CN"/>
        </w:rPr>
        <w:t>及土</w:t>
      </w:r>
      <w:r>
        <w:rPr>
          <w:rFonts w:hint="default" w:ascii="仿宋_GB2312" w:hAnsi="仿宋_GB2312" w:eastAsia="仿宋_GB2312" w:cs="仿宋_GB2312"/>
          <w:sz w:val="32"/>
          <w:szCs w:val="32"/>
          <w:lang w:val="en-US" w:eastAsia="zh-CN"/>
        </w:rPr>
        <w:t>地出让金</w:t>
      </w:r>
      <w:r>
        <w:rPr>
          <w:rFonts w:hint="eastAsia" w:ascii="仿宋_GB2312" w:hAnsi="仿宋_GB2312" w:eastAsia="仿宋_GB2312" w:cs="仿宋_GB2312"/>
          <w:sz w:val="32"/>
          <w:szCs w:val="32"/>
          <w:lang w:val="en-US" w:eastAsia="zh-CN"/>
        </w:rPr>
        <w:t>和税费</w:t>
      </w:r>
      <w:r>
        <w:rPr>
          <w:rFonts w:hint="default" w:ascii="仿宋_GB2312" w:hAnsi="仿宋_GB2312" w:eastAsia="仿宋_GB2312" w:cs="仿宋_GB2312"/>
          <w:sz w:val="32"/>
          <w:szCs w:val="32"/>
          <w:lang w:val="en-US" w:eastAsia="zh-CN"/>
        </w:rPr>
        <w:t>：二是</w:t>
      </w:r>
      <w:r>
        <w:rPr>
          <w:rFonts w:hint="eastAsia" w:ascii="仿宋_GB2312" w:hAnsi="仿宋_GB2312" w:eastAsia="仿宋_GB2312" w:cs="仿宋_GB2312"/>
          <w:sz w:val="32"/>
          <w:szCs w:val="32"/>
          <w:lang w:val="en-US" w:eastAsia="zh-CN"/>
        </w:rPr>
        <w:t>办理新疆</w:t>
      </w:r>
      <w:r>
        <w:rPr>
          <w:rFonts w:hint="default" w:ascii="仿宋_GB2312" w:hAnsi="仿宋_GB2312" w:eastAsia="仿宋_GB2312" w:cs="仿宋_GB2312"/>
          <w:sz w:val="32"/>
          <w:szCs w:val="32"/>
          <w:lang w:val="en-US" w:eastAsia="zh-CN"/>
        </w:rPr>
        <w:t>天山东部物流园B区3号综合楼</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位于天山东部现代农产品物流园B区3号</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综合楼，该房产需办理过户手续：三是教</w:t>
      </w:r>
      <w:r>
        <w:rPr>
          <w:rFonts w:hint="eastAsia" w:ascii="仿宋_GB2312" w:hAnsi="仿宋_GB2312" w:eastAsia="仿宋_GB2312" w:cs="仿宋_GB2312"/>
          <w:sz w:val="32"/>
          <w:szCs w:val="32"/>
          <w:lang w:val="en-US" w:eastAsia="zh-CN"/>
        </w:rPr>
        <w:t>育</w:t>
      </w:r>
      <w:r>
        <w:rPr>
          <w:rFonts w:hint="default"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lang w:val="en-US" w:eastAsia="zh-CN"/>
        </w:rPr>
        <w:t>门</w:t>
      </w:r>
      <w:r>
        <w:rPr>
          <w:rFonts w:hint="default" w:ascii="仿宋_GB2312" w:hAnsi="仿宋_GB2312" w:eastAsia="仿宋_GB2312" w:cs="仿宋_GB2312"/>
          <w:sz w:val="32"/>
          <w:szCs w:val="32"/>
          <w:lang w:val="en-US" w:eastAsia="zh-CN"/>
        </w:rPr>
        <w:t>面，土地出让金未拨付，需补交相关</w:t>
      </w:r>
      <w:r>
        <w:rPr>
          <w:rFonts w:hint="eastAsia" w:ascii="仿宋_GB2312" w:hAnsi="仿宋_GB2312" w:eastAsia="仿宋_GB2312" w:cs="仿宋_GB2312"/>
          <w:sz w:val="32"/>
          <w:szCs w:val="32"/>
          <w:lang w:val="en-US" w:eastAsia="zh-CN"/>
        </w:rPr>
        <w:t>费</w:t>
      </w:r>
      <w:r>
        <w:rPr>
          <w:rFonts w:hint="default" w:ascii="仿宋_GB2312" w:hAnsi="仿宋_GB2312" w:eastAsia="仿宋_GB2312" w:cs="仿宋_GB2312"/>
          <w:sz w:val="32"/>
          <w:szCs w:val="32"/>
          <w:lang w:val="en-US" w:eastAsia="zh-CN"/>
        </w:rPr>
        <w:t>用。</w:t>
      </w:r>
    </w:p>
    <w:p w14:paraId="23B7FB16">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5AC023DC">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3F6E903C">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1.绩效评价完整性</w:t>
      </w:r>
    </w:p>
    <w:p w14:paraId="6089770D">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（1）国有资产</w:t>
      </w:r>
      <w:r>
        <w:rPr>
          <w:rFonts w:hint="default" w:ascii="仿宋_GB2312" w:hAnsi="仿宋_GB2312" w:eastAsia="仿宋_GB2312" w:cs="仿宋_GB2312"/>
          <w:b w:val="0"/>
          <w:bCs w:val="0"/>
          <w:kern w:val="2"/>
          <w:sz w:val="32"/>
          <w:szCs w:val="32"/>
          <w:lang w:val="en-US" w:eastAsia="zh-CN" w:bidi="ar-SA"/>
        </w:rPr>
        <w:t>不动产证件费用解决项目</w:t>
      </w:r>
    </w:p>
    <w:p w14:paraId="66A4D597">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权属管理全流程：涵盖资产权属问题识别、费用申请审批、证件办理（登记、测绘、税费缴纳）、权属档案归档等全环节。核查是否解决历史遗留问题（如土地权属争议、产权证明缺失）。</w:t>
      </w:r>
    </w:p>
    <w:p w14:paraId="5965A1C6">
      <w:pPr>
        <w:spacing w:line="560" w:lineRule="exact"/>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关键指标：证件办理完成率、单位资产办证成本、权属清晰化后资产利用率提升幅度。</w:t>
      </w:r>
    </w:p>
    <w:p w14:paraId="14A193D5">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w:t>
      </w:r>
      <w:r>
        <w:rPr>
          <w:rFonts w:hint="default" w:ascii="仿宋_GB2312" w:hAnsi="仿宋_GB2312" w:eastAsia="仿宋_GB2312" w:cs="仿宋_GB2312"/>
          <w:b w:val="0"/>
          <w:bCs w:val="0"/>
          <w:kern w:val="2"/>
          <w:sz w:val="32"/>
          <w:szCs w:val="32"/>
          <w:lang w:val="en-US" w:eastAsia="zh-CN" w:bidi="ar-SA"/>
        </w:rPr>
        <w:t>原县医院闲置资产改造项目</w:t>
      </w:r>
    </w:p>
    <w:p w14:paraId="30BD097E">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项目全生命周期：前期：改造必要性论证、成本效益分析（如是否优于新建）。中期：施工质量（如验收合格率）、工期控制（是否按期交付）。后期：办公环境满意度、运维成本。</w:t>
      </w:r>
    </w:p>
    <w:p w14:paraId="52F14C1C">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（3）解决</w:t>
      </w:r>
      <w:r>
        <w:rPr>
          <w:rFonts w:hint="default" w:ascii="仿宋_GB2312" w:hAnsi="仿宋_GB2312" w:eastAsia="仿宋_GB2312" w:cs="仿宋_GB2312"/>
          <w:b w:val="0"/>
          <w:bCs w:val="0"/>
          <w:kern w:val="2"/>
          <w:sz w:val="32"/>
          <w:szCs w:val="32"/>
          <w:lang w:val="en-US" w:eastAsia="zh-CN" w:bidi="ar-SA"/>
        </w:rPr>
        <w:t>老政府等五处房产土地出让金及契税等相关过户费用</w:t>
      </w:r>
      <w:r>
        <w:rPr>
          <w:rFonts w:hint="eastAsia" w:ascii="仿宋_GB2312" w:hAnsi="仿宋_GB2312" w:eastAsia="仿宋_GB2312" w:cs="仿宋_GB2312"/>
          <w:b w:val="0"/>
          <w:bCs w:val="0"/>
          <w:kern w:val="2"/>
          <w:sz w:val="32"/>
          <w:szCs w:val="32"/>
          <w:lang w:val="en-US" w:eastAsia="zh-CN" w:bidi="ar-SA"/>
        </w:rPr>
        <w:t>项目。</w:t>
      </w:r>
      <w:r>
        <w:rPr>
          <w:rFonts w:hint="default" w:ascii="仿宋_GB2312" w:hAnsi="仿宋_GB2312" w:eastAsia="仿宋_GB2312" w:cs="仿宋_GB2312"/>
          <w:b w:val="0"/>
          <w:bCs w:val="0"/>
          <w:kern w:val="2"/>
          <w:sz w:val="32"/>
          <w:szCs w:val="32"/>
          <w:lang w:val="en-US" w:eastAsia="zh-CN" w:bidi="ar-SA"/>
        </w:rPr>
        <w:t>过户与后续管理链条：覆盖土地出让金计算依据、税费缴纳合规性、资产过户程序合法性、过户后用途（如出租、划拨或市场化运营）。评估资产过户是否实现预期收益（如租金收入、公共服务能力提升）。</w:t>
      </w:r>
    </w:p>
    <w:p w14:paraId="67FF79BE">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2.绩效评价的目的</w:t>
      </w:r>
    </w:p>
    <w:p w14:paraId="5EA3EB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（1）评估项目实施效果</w:t>
      </w:r>
    </w:p>
    <w:p w14:paraId="46FEB235">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完成</w:t>
      </w:r>
      <w:r>
        <w:rPr>
          <w:rFonts w:hint="eastAsia" w:ascii="仿宋_GB2312" w:hAnsi="仿宋_GB2312" w:eastAsia="仿宋_GB2312" w:cs="仿宋_GB2312"/>
          <w:b w:val="0"/>
          <w:bCs w:val="0"/>
          <w:kern w:val="2"/>
          <w:sz w:val="32"/>
          <w:szCs w:val="32"/>
          <w:lang w:val="en-US" w:eastAsia="zh-CN" w:bidi="ar-SA"/>
        </w:rPr>
        <w:t>国有资产</w:t>
      </w:r>
      <w:r>
        <w:rPr>
          <w:rFonts w:hint="default" w:ascii="仿宋_GB2312" w:hAnsi="仿宋_GB2312" w:eastAsia="仿宋_GB2312" w:cs="仿宋_GB2312"/>
          <w:b w:val="0"/>
          <w:bCs w:val="0"/>
          <w:kern w:val="2"/>
          <w:sz w:val="32"/>
          <w:szCs w:val="32"/>
          <w:lang w:val="en-US" w:eastAsia="zh-CN" w:bidi="ar-SA"/>
        </w:rPr>
        <w:t>不动产证件办理，解决历史遗留权属争议，资产权属清晰率从60%提升至95%，降低法律纠纷风险。原县医院闲置资产改造项目</w:t>
      </w:r>
      <w:r>
        <w:rPr>
          <w:rFonts w:hint="eastAsia" w:ascii="仿宋_GB2312" w:hAnsi="仿宋_GB2312" w:eastAsia="仿宋_GB2312" w:cs="仿宋_GB2312"/>
          <w:b w:val="0"/>
          <w:bCs w:val="0"/>
          <w:kern w:val="2"/>
          <w:sz w:val="32"/>
          <w:szCs w:val="32"/>
          <w:lang w:val="en-US" w:eastAsia="zh-CN" w:bidi="ar-SA"/>
        </w:rPr>
        <w:t>节约了新建成本、方便群众办事、节约能源消耗等。解决</w:t>
      </w:r>
      <w:r>
        <w:rPr>
          <w:rFonts w:hint="default" w:ascii="仿宋_GB2312" w:hAnsi="仿宋_GB2312" w:eastAsia="仿宋_GB2312" w:cs="仿宋_GB2312"/>
          <w:b w:val="0"/>
          <w:bCs w:val="0"/>
          <w:kern w:val="2"/>
          <w:sz w:val="32"/>
          <w:szCs w:val="32"/>
          <w:lang w:val="en-US" w:eastAsia="zh-CN" w:bidi="ar-SA"/>
        </w:rPr>
        <w:t>老政府等五处房产土地出让金及契税等相关过户费用</w:t>
      </w:r>
      <w:r>
        <w:rPr>
          <w:rFonts w:hint="eastAsia" w:ascii="仿宋_GB2312" w:hAnsi="仿宋_GB2312" w:eastAsia="仿宋_GB2312" w:cs="仿宋_GB2312"/>
          <w:b w:val="0"/>
          <w:bCs w:val="0"/>
          <w:kern w:val="2"/>
          <w:sz w:val="32"/>
          <w:szCs w:val="32"/>
          <w:lang w:val="en-US" w:eastAsia="zh-CN" w:bidi="ar-SA"/>
        </w:rPr>
        <w:t>项目明确权属问题。</w:t>
      </w:r>
    </w:p>
    <w:p w14:paraId="487D53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（2）提升资源利用效率</w:t>
      </w:r>
    </w:p>
    <w:p w14:paraId="441C86A4">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部分国有资产因不动产证件缺失，无法明确产权归属，导致在资产交易、抵押融资、规划利用等方面受限，造成资源闲置浪费</w:t>
      </w:r>
      <w:r>
        <w:rPr>
          <w:rFonts w:hint="eastAsia" w:ascii="仿宋_GB2312" w:hAnsi="仿宋_GB2312" w:eastAsia="仿宋_GB2312" w:cs="仿宋_GB2312"/>
          <w:b w:val="0"/>
          <w:bCs w:val="0"/>
          <w:kern w:val="2"/>
          <w:sz w:val="32"/>
          <w:szCs w:val="32"/>
          <w:lang w:val="en-US" w:eastAsia="zh-CN" w:bidi="ar-SA"/>
        </w:rPr>
        <w:t>，项目实施后避免了国有资产利用率不高的现象</w:t>
      </w:r>
      <w:r>
        <w:rPr>
          <w:rFonts w:hint="default"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原县医院闲置资产长期搁置，不仅占用土地资源，还需投入一定维护成本，造成资源浪费，改造后提升了资产利用效率。老政府等五处房产土地因过户费用问题，交易停滞，资产无法实现优化配置，土地和房产资源未能得到充分利用，该项目实施对盘活国有资产有显著效果。</w:t>
      </w:r>
    </w:p>
    <w:p w14:paraId="7EDFC8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（3）强化项目管理责任</w:t>
      </w:r>
    </w:p>
    <w:p w14:paraId="6CB4A6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在解决国有资产办理不动产证件费用项目上，明确自然资源部门负责产权调查与测绘，住建部门提供房屋建设相关资料，财政部门保障费用落实，各部门协同推进，确保办证流程顺畅。针对原县医院闲置资产维修项目，安排住建部门监督工程质量与进度，卫生健康部门协助清理遗留医疗设施，使用部门参与设计办公布局，保证改造符合办公需求。在老政府等五处房产土地过户费用项目里，税务部门严格核算税费，不动产登记部门规范过户流程，国资管理部门审核资产处置合规性，办公室做好整体协调与沟通。</w:t>
      </w:r>
    </w:p>
    <w:p w14:paraId="17E4A6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（4）为决策提供支持</w:t>
      </w:r>
    </w:p>
    <w:p w14:paraId="19E00B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针对解决国有资产办理不动产证件费用项目，</w:t>
      </w:r>
      <w:r>
        <w:rPr>
          <w:rFonts w:hint="eastAsia" w:ascii="仿宋_GB2312" w:hAnsi="仿宋_GB2312" w:eastAsia="仿宋_GB2312" w:cs="仿宋_GB2312"/>
          <w:b w:val="0"/>
          <w:bCs w:val="0"/>
          <w:kern w:val="2"/>
          <w:sz w:val="32"/>
          <w:szCs w:val="32"/>
          <w:lang w:val="en-US" w:eastAsia="zh-CN" w:bidi="ar-SA"/>
        </w:rPr>
        <w:t>单位</w:t>
      </w:r>
      <w:r>
        <w:rPr>
          <w:rFonts w:hint="default" w:ascii="仿宋_GB2312" w:hAnsi="仿宋_GB2312" w:eastAsia="仿宋_GB2312" w:cs="仿宋_GB2312"/>
          <w:b w:val="0"/>
          <w:bCs w:val="0"/>
          <w:kern w:val="2"/>
          <w:sz w:val="32"/>
          <w:szCs w:val="32"/>
          <w:lang w:val="en-US" w:eastAsia="zh-CN" w:bidi="ar-SA"/>
        </w:rPr>
        <w:t>组织人员深入各资产所属单位，调研资产现状、证件缺失原因及办理难点。收集如资产分布、历史遗留问题等详细数据，梳理出因资料不全、政策变动导致办证受阻的资产占比等关键信息，为决策者制定费用解决方案提供事实依据。在原县医院闲置资产维修项目里，</w:t>
      </w:r>
      <w:r>
        <w:rPr>
          <w:rFonts w:hint="eastAsia" w:ascii="仿宋_GB2312" w:hAnsi="仿宋_GB2312" w:eastAsia="仿宋_GB2312" w:cs="仿宋_GB2312"/>
          <w:b w:val="0"/>
          <w:bCs w:val="0"/>
          <w:kern w:val="2"/>
          <w:sz w:val="32"/>
          <w:szCs w:val="32"/>
          <w:lang w:val="en-US" w:eastAsia="zh-CN" w:bidi="ar-SA"/>
        </w:rPr>
        <w:t>单位</w:t>
      </w:r>
      <w:r>
        <w:rPr>
          <w:rFonts w:hint="default" w:ascii="仿宋_GB2312" w:hAnsi="仿宋_GB2312" w:eastAsia="仿宋_GB2312" w:cs="仿宋_GB2312"/>
          <w:b w:val="0"/>
          <w:bCs w:val="0"/>
          <w:kern w:val="2"/>
          <w:sz w:val="32"/>
          <w:szCs w:val="32"/>
          <w:lang w:val="en-US" w:eastAsia="zh-CN" w:bidi="ar-SA"/>
        </w:rPr>
        <w:t>调研医院建筑结构、设施老化程度、周边配套情况，同时收集其他地区类似改造项目的成功经验与成本数据，从功能布局、预算编制等方面为决策提供参考。老政府等五处房产土地过户费用项目中，</w:t>
      </w:r>
      <w:r>
        <w:rPr>
          <w:rFonts w:hint="eastAsia" w:ascii="仿宋_GB2312" w:hAnsi="仿宋_GB2312" w:eastAsia="仿宋_GB2312" w:cs="仿宋_GB2312"/>
          <w:b w:val="0"/>
          <w:bCs w:val="0"/>
          <w:kern w:val="2"/>
          <w:sz w:val="32"/>
          <w:szCs w:val="32"/>
          <w:lang w:val="en-US" w:eastAsia="zh-CN" w:bidi="ar-SA"/>
        </w:rPr>
        <w:t>单位</w:t>
      </w:r>
      <w:r>
        <w:rPr>
          <w:rFonts w:hint="default" w:ascii="仿宋_GB2312" w:hAnsi="仿宋_GB2312" w:eastAsia="仿宋_GB2312" w:cs="仿宋_GB2312"/>
          <w:b w:val="0"/>
          <w:bCs w:val="0"/>
          <w:kern w:val="2"/>
          <w:sz w:val="32"/>
          <w:szCs w:val="32"/>
          <w:lang w:val="en-US" w:eastAsia="zh-CN" w:bidi="ar-SA"/>
        </w:rPr>
        <w:t>分析直接过户、资产整合后过户等不同方式的利弊，综合考虑经济成本和时间成本，助力决策者选择最适宜的过户策略。</w:t>
      </w:r>
    </w:p>
    <w:p w14:paraId="352EC8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（5）促进项目持续改进</w:t>
      </w:r>
    </w:p>
    <w:p w14:paraId="36E559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在解决国有资产办理不动产证件费用项目中，</w:t>
      </w:r>
      <w:r>
        <w:rPr>
          <w:rFonts w:hint="eastAsia" w:ascii="仿宋_GB2312" w:hAnsi="仿宋_GB2312" w:eastAsia="仿宋_GB2312" w:cs="仿宋_GB2312"/>
          <w:b w:val="0"/>
          <w:bCs w:val="0"/>
          <w:kern w:val="2"/>
          <w:sz w:val="32"/>
          <w:szCs w:val="32"/>
          <w:lang w:val="en-US" w:eastAsia="zh-CN" w:bidi="ar-SA"/>
        </w:rPr>
        <w:t>单位</w:t>
      </w:r>
      <w:r>
        <w:rPr>
          <w:rFonts w:hint="default" w:ascii="仿宋_GB2312" w:hAnsi="仿宋_GB2312" w:eastAsia="仿宋_GB2312" w:cs="仿宋_GB2312"/>
          <w:b w:val="0"/>
          <w:bCs w:val="0"/>
          <w:kern w:val="2"/>
          <w:sz w:val="32"/>
          <w:szCs w:val="32"/>
          <w:lang w:val="en-US" w:eastAsia="zh-CN" w:bidi="ar-SA"/>
        </w:rPr>
        <w:t>室搭建线下反馈渠道。线下在相关部门和资产集中区域设置意见收集点。定期梳理反馈信息，如发现部分资产因历史资料缺失导致办证进度慢的问题。针对原县医院闲置资产维修项目，向施工方、使用部门及周边居民发放问卷，收集关于工程质量、进度、噪音影响等方面的反馈，像收到施工噪音扰民、部分区域设计不合理等意见。老政府等五处房产土地过户费用项目里，与资产交易双方、税务及不动产登记部门沟通，收集过户流程繁琐、税费计算复杂等反馈，为后续改进提供方向。综合来看，通过开展有效的财政支出绩效评价管理，</w:t>
      </w:r>
      <w:r>
        <w:rPr>
          <w:rFonts w:hint="eastAsia" w:ascii="仿宋_GB2312" w:hAnsi="仿宋_GB2312" w:eastAsia="仿宋_GB2312" w:cs="仿宋_GB2312"/>
          <w:b w:val="0"/>
          <w:bCs w:val="0"/>
          <w:kern w:val="2"/>
          <w:sz w:val="32"/>
          <w:szCs w:val="32"/>
          <w:lang w:val="en-US" w:eastAsia="zh-CN" w:bidi="ar-SA"/>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03D37F88">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3.绩效评价的对象</w:t>
      </w:r>
    </w:p>
    <w:p w14:paraId="7CA4AF7F">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本项目预算绩效评价报告的评价对象是关于解决国有资产办理不动产证件费用的请示、原县医院闲置资产作为党政机关办公用房维修项目、关于解决老政府等五处房产土地出让金及契税等相关过户费用</w:t>
      </w:r>
      <w:r>
        <w:rPr>
          <w:rFonts w:hint="eastAsia" w:ascii="仿宋_GB2312" w:hAnsi="仿宋_GB2312" w:eastAsia="仿宋_GB2312" w:cs="仿宋_GB2312"/>
          <w:b w:val="0"/>
          <w:bCs w:val="0"/>
          <w:kern w:val="2"/>
          <w:sz w:val="32"/>
          <w:szCs w:val="32"/>
          <w:lang w:val="en-US" w:eastAsia="zh-CN" w:bidi="ar-SA"/>
        </w:rPr>
        <w:t>项目</w:t>
      </w:r>
      <w:r>
        <w:rPr>
          <w:rFonts w:hint="default" w:ascii="仿宋_GB2312" w:hAnsi="仿宋_GB2312" w:eastAsia="仿宋_GB2312" w:cs="仿宋_GB2312"/>
          <w:b w:val="0"/>
          <w:bCs w:val="0"/>
          <w:kern w:val="2"/>
          <w:sz w:val="32"/>
          <w:szCs w:val="32"/>
          <w:lang w:val="en-US" w:eastAsia="zh-CN" w:bidi="ar-SA"/>
        </w:rPr>
        <w:t>及其预算执行情况。该项目由奇台县人民政府办公室负责实施，旨在盘活国有资产，避免资源浪费</w:t>
      </w:r>
      <w:r>
        <w:rPr>
          <w:rFonts w:hint="eastAsia" w:ascii="仿宋_GB2312" w:hAnsi="仿宋_GB2312" w:eastAsia="仿宋_GB2312" w:cs="仿宋_GB2312"/>
          <w:b w:val="0"/>
          <w:bCs w:val="0"/>
          <w:kern w:val="2"/>
          <w:sz w:val="32"/>
          <w:szCs w:val="32"/>
          <w:lang w:val="en-US" w:eastAsia="zh-CN" w:bidi="ar-SA"/>
        </w:rPr>
        <w:t>和优化党政机关办公条件</w:t>
      </w:r>
      <w:r>
        <w:rPr>
          <w:rFonts w:hint="default" w:ascii="仿宋_GB2312" w:hAnsi="仿宋_GB2312" w:eastAsia="仿宋_GB2312" w:cs="仿宋_GB2312"/>
          <w:b w:val="0"/>
          <w:bCs w:val="0"/>
          <w:kern w:val="2"/>
          <w:sz w:val="32"/>
          <w:szCs w:val="32"/>
          <w:lang w:val="en-US" w:eastAsia="zh-CN" w:bidi="ar-SA"/>
        </w:rPr>
        <w:t>。项目预算涵盖从</w:t>
      </w:r>
      <w:r>
        <w:rPr>
          <w:rFonts w:hint="eastAsia" w:ascii="仿宋_GB2312" w:hAnsi="仿宋_GB2312" w:eastAsia="仿宋_GB2312" w:cs="仿宋_GB2312"/>
          <w:b w:val="0"/>
          <w:bCs w:val="0"/>
          <w:kern w:val="2"/>
          <w:sz w:val="32"/>
          <w:szCs w:val="32"/>
          <w:lang w:val="en-US" w:eastAsia="zh-CN" w:bidi="ar-SA"/>
        </w:rPr>
        <w:t>2024年1月1日</w:t>
      </w:r>
      <w:r>
        <w:rPr>
          <w:rFonts w:hint="default" w:ascii="仿宋_GB2312" w:hAnsi="仿宋_GB2312" w:eastAsia="仿宋_GB2312" w:cs="仿宋_GB2312"/>
          <w:b w:val="0"/>
          <w:bCs w:val="0"/>
          <w:kern w:val="2"/>
          <w:sz w:val="32"/>
          <w:szCs w:val="32"/>
          <w:lang w:val="en-US" w:eastAsia="zh-CN" w:bidi="ar-SA"/>
        </w:rPr>
        <w:t>至</w:t>
      </w:r>
      <w:r>
        <w:rPr>
          <w:rFonts w:hint="eastAsia" w:ascii="仿宋_GB2312" w:hAnsi="仿宋_GB2312" w:eastAsia="仿宋_GB2312" w:cs="仿宋_GB2312"/>
          <w:b w:val="0"/>
          <w:bCs w:val="0"/>
          <w:kern w:val="2"/>
          <w:sz w:val="32"/>
          <w:szCs w:val="32"/>
          <w:lang w:val="en-US" w:eastAsia="zh-CN" w:bidi="ar-SA"/>
        </w:rPr>
        <w:t>2024年12月31日</w:t>
      </w:r>
      <w:r>
        <w:rPr>
          <w:rFonts w:hint="default" w:ascii="仿宋_GB2312" w:hAnsi="仿宋_GB2312" w:eastAsia="仿宋_GB2312" w:cs="仿宋_GB2312"/>
          <w:b w:val="0"/>
          <w:bCs w:val="0"/>
          <w:kern w:val="2"/>
          <w:sz w:val="32"/>
          <w:szCs w:val="32"/>
          <w:lang w:val="en-US" w:eastAsia="zh-CN" w:bidi="ar-SA"/>
        </w:rPr>
        <w:t>的全部资金投入与支出，涉及资金总额为</w:t>
      </w:r>
      <w:r>
        <w:rPr>
          <w:rFonts w:hint="eastAsia" w:ascii="仿宋_GB2312" w:hAnsi="仿宋_GB2312" w:eastAsia="仿宋_GB2312" w:cs="仿宋_GB2312"/>
          <w:b w:val="0"/>
          <w:bCs w:val="0"/>
          <w:kern w:val="2"/>
          <w:sz w:val="32"/>
          <w:szCs w:val="32"/>
          <w:lang w:val="en-US" w:eastAsia="zh-CN" w:bidi="ar-SA"/>
        </w:rPr>
        <w:t>6221.29</w:t>
      </w:r>
      <w:r>
        <w:rPr>
          <w:rFonts w:hint="default" w:ascii="仿宋_GB2312" w:hAnsi="仿宋_GB2312" w:eastAsia="仿宋_GB2312" w:cs="仿宋_GB2312"/>
          <w:b w:val="0"/>
          <w:bCs w:val="0"/>
          <w:kern w:val="2"/>
          <w:sz w:val="32"/>
          <w:szCs w:val="32"/>
          <w:lang w:val="en-US" w:eastAsia="zh-CN" w:bidi="ar-SA"/>
        </w:rPr>
        <w:t>万元。</w:t>
      </w:r>
    </w:p>
    <w:p w14:paraId="69B6388D">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4.绩效评价的范围</w:t>
      </w:r>
    </w:p>
    <w:p w14:paraId="548EBAD5">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本项目预算绩效评价报告的评价范围广泛而全面，涵盖了从项目立项至评价时点期间的所有关键预算活动和财务流程。具体而言，评价范围包括但不限于以下几个方面：</w:t>
      </w:r>
    </w:p>
    <w:p w14:paraId="228EF2E7">
      <w:pPr>
        <w:pStyle w:val="10"/>
        <w:widowControl w:val="0"/>
        <w:numPr>
          <w:ilvl w:val="0"/>
          <w:numId w:val="1"/>
        </w:numPr>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项目预算编制与执行评价：针对解决国有资产办理不动产证件费用项目，评价预算编制是否依据资产数量、办证难度等精准预估费用，有无充分考虑政策变动带来的成本增加。检查预算执行过程中，资金是否按计划用于办证事务，有无挪用、闲置现象，如查看资金支付给测绘、评估等服务机构的记录。原县医院闲置资产维修项目，审查预算编制是否涵盖工程设计、施工、设备采购等所有环节，是否参考同类项目造价标准。在执行评价中，对比实际支出与预算，分析超支或结余原因，像是否因设计变更导致费用增加。老政府等五处房产土地过户费用项目，评估预算编制对土地出让金、契税及其他杂费的计算是否准确，是否预留应对税费政策调整的资金。监督预算执行，确保资金用于合法合规的过户流程，避免资金浪费。</w:t>
      </w:r>
    </w:p>
    <w:p w14:paraId="0F3D600C">
      <w:pPr>
        <w:pStyle w:val="10"/>
        <w:widowControl w:val="0"/>
        <w:numPr>
          <w:ilvl w:val="0"/>
          <w:numId w:val="1"/>
        </w:numPr>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资金管理：深入分析项目资金的分配、使用和监管情况，确保资金使用的合规性、高效性和透明度。</w:t>
      </w:r>
    </w:p>
    <w:p w14:paraId="0B4F6709">
      <w:pPr>
        <w:pStyle w:val="10"/>
        <w:widowControl w:val="0"/>
        <w:numPr>
          <w:ilvl w:val="0"/>
          <w:numId w:val="1"/>
        </w:numPr>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项目实施进度与产出：解决国有资产办理不动产证件项目，评价办理流程是否高效，各部门间信息传递是否及时，如能否在规定时间内完成产权调查、资料审核等工作。考核产出方面，统计成功办理证件的资产数量及占比，评估证件办理的准确性和完整性。原县医院闲置资产维修项目，考察施工过程中质量监管是否到位，施工安全措施是否落实。从产出看，评估改造后的办公用房是否符合设计标准，空间布局是否满足办公需求，能否按时交付使用。老政府等五处房产土地过户项目，审查过户手续办理过程是否规范，是否存在违规操作。评价产出时，关注房产土地过户完成的数量和速度，以及过户后资产是否能及时投入新的使用。</w:t>
      </w:r>
    </w:p>
    <w:p w14:paraId="5A905689">
      <w:pPr>
        <w:pStyle w:val="10"/>
        <w:widowControl w:val="0"/>
        <w:numPr>
          <w:ilvl w:val="0"/>
          <w:numId w:val="1"/>
        </w:numPr>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项目效益与影响评价：解决国有资产办理不动产证件费用项目，评估其经济效益，如资产办证后是否有利于后续的资产交易、抵押融资，带来多少潜在经济价值。社会效益上，考量是否为产权纠纷解决提供依据，维护社会稳定。原县医院闲置资产维修项目，经济效益方面，</w:t>
      </w:r>
      <w:r>
        <w:rPr>
          <w:rFonts w:hint="eastAsia" w:ascii="仿宋_GB2312" w:hAnsi="仿宋_GB2312" w:eastAsia="仿宋_GB2312" w:cs="仿宋_GB2312"/>
          <w:b w:val="0"/>
          <w:bCs w:val="0"/>
          <w:kern w:val="2"/>
          <w:sz w:val="32"/>
          <w:szCs w:val="32"/>
          <w:lang w:val="en-US" w:eastAsia="zh-CN" w:bidi="ar-SA"/>
        </w:rPr>
        <w:t>评价</w:t>
      </w:r>
      <w:r>
        <w:rPr>
          <w:rFonts w:hint="default" w:ascii="仿宋_GB2312" w:hAnsi="仿宋_GB2312" w:eastAsia="仿宋_GB2312" w:cs="仿宋_GB2312"/>
          <w:b w:val="0"/>
          <w:bCs w:val="0"/>
          <w:kern w:val="2"/>
          <w:sz w:val="32"/>
          <w:szCs w:val="32"/>
          <w:lang w:val="en-US" w:eastAsia="zh-CN" w:bidi="ar-SA"/>
        </w:rPr>
        <w:t>改造后的办公用房是否降低了政府租赁办公场地的成本。社会效益上，查看是否提升了政府办公效率，改善了公共服务形象。老政府等五处房产土地过户费用项目，经济效益上，分析过户后资产能否通过合理利用增加财政收入。社会效益方面，</w:t>
      </w:r>
      <w:r>
        <w:rPr>
          <w:rFonts w:hint="eastAsia" w:ascii="仿宋_GB2312" w:hAnsi="仿宋_GB2312" w:eastAsia="仿宋_GB2312" w:cs="仿宋_GB2312"/>
          <w:b w:val="0"/>
          <w:bCs w:val="0"/>
          <w:kern w:val="2"/>
          <w:sz w:val="32"/>
          <w:szCs w:val="32"/>
          <w:lang w:val="en-US" w:eastAsia="zh-CN" w:bidi="ar-SA"/>
        </w:rPr>
        <w:t>评价</w:t>
      </w:r>
      <w:r>
        <w:rPr>
          <w:rFonts w:hint="default" w:ascii="仿宋_GB2312" w:hAnsi="仿宋_GB2312" w:eastAsia="仿宋_GB2312" w:cs="仿宋_GB2312"/>
          <w:b w:val="0"/>
          <w:bCs w:val="0"/>
          <w:kern w:val="2"/>
          <w:sz w:val="32"/>
          <w:szCs w:val="32"/>
          <w:lang w:val="en-US" w:eastAsia="zh-CN" w:bidi="ar-SA"/>
        </w:rPr>
        <w:t>是否促进了区域经济发展。</w:t>
      </w:r>
    </w:p>
    <w:p w14:paraId="3672EDD3">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6AB97972">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1.绩效评价原则</w:t>
      </w:r>
    </w:p>
    <w:p w14:paraId="32B75D2A">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本次项目绩效评价遵循以下基本原则：</w:t>
      </w:r>
    </w:p>
    <w:p w14:paraId="056936DA">
      <w:pPr>
        <w:pStyle w:val="1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（1）科学公正。绩效评价应当运用科学合理的方法，按照规范的程序，对项目绩效进行客观、公正的反映。</w:t>
      </w:r>
    </w:p>
    <w:p w14:paraId="43FB9DBA">
      <w:pPr>
        <w:pStyle w:val="1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（2）统筹兼顾。单位自评、部门评价和财政评价应职责明确，各有侧重，相互衔接。单位自评应由项目单位自主实施，即“谁支出、谁自评”。部门评价和财政评价应在单位自评的基础上开展。</w:t>
      </w:r>
    </w:p>
    <w:p w14:paraId="2F9ADC23">
      <w:pPr>
        <w:pStyle w:val="1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（3）激励约束。绩效评价结果应与预算安排、政策调整、改进管理实质性挂钩，体现奖优罚劣和激励相容导向，有效要安排、低效要压减、无效要问责。</w:t>
      </w:r>
    </w:p>
    <w:p w14:paraId="2E8C189F">
      <w:pPr>
        <w:pStyle w:val="1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（4）公开透明。绩效评价结果应依法依规公开，并自觉接受社会监督。</w:t>
      </w:r>
    </w:p>
    <w:p w14:paraId="26207D92">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2.评价指标体系</w:t>
      </w:r>
    </w:p>
    <w:p w14:paraId="00D76672">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绩效评价框架是开展绩效评价的核心。绩效评价框架包括评价准则、关键评价问题、评价指标、数据来源、数据收集方法等。指标体系建立过程如下：</w:t>
      </w:r>
    </w:p>
    <w:p w14:paraId="1F0D2DA7">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（1）确定评价指标</w:t>
      </w:r>
    </w:p>
    <w:p w14:paraId="752D3D1B">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42C670AE">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（2）确定权重</w:t>
      </w:r>
    </w:p>
    <w:p w14:paraId="0CDD592D">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确定各个指标相对于项目总体绩效的权重分值。在绩效评价指标体系中，项目决策权重为20分，项目过程权重为20分，项目产出权重为40分，项目效益权重为20分。</w:t>
      </w:r>
    </w:p>
    <w:p w14:paraId="5869D511">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（3）确定指标标准值</w:t>
      </w:r>
    </w:p>
    <w:p w14:paraId="7C2AB8AD">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指标标准值是绩效评价指标的尺度，既要反映同类项目的先进水平，又要符合项目的实际绩效水平。具体采用计划标准等确定此次绩效评价指标标准值。</w:t>
      </w:r>
    </w:p>
    <w:p w14:paraId="68E6EC34">
      <w:pPr>
        <w:pStyle w:val="10"/>
        <w:spacing w:before="0" w:after="0" w:line="560" w:lineRule="exact"/>
        <w:ind w:firstLine="640" w:firstLineChars="200"/>
        <w:jc w:val="both"/>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绩效评价总分值100分，根据综合评分结果，90（含）-100分为优、80（含）-90分为良、60（含）-80分为中、60分以下为差。</w:t>
      </w:r>
    </w:p>
    <w:p w14:paraId="6C3F94F1">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具体评价指标体系详情见附件1</w:t>
      </w:r>
    </w:p>
    <w:p w14:paraId="6713E8E4">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3.绩效评价方法</w:t>
      </w:r>
    </w:p>
    <w:p w14:paraId="16735B1B">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绩效评价从项目决策、项目过程、项目产出、项目效益四个维度进行评价。评价对象为项目目标实施情况，评价核心为资金的支出完成情况和项目的产出效益。</w:t>
      </w:r>
    </w:p>
    <w:p w14:paraId="57A5EEE0">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本次评价指标中，既有定性指标又有定量指标，各类指标因考核内容不同和客观标准不同存在较大差异，因此核定具体指标时采用了不同方法，具体评价方法如下：</w:t>
      </w:r>
    </w:p>
    <w:p w14:paraId="6032902E">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（一）因素分析法。是指综合分析影响绩效目标实现、实施效果的内外部因素的方法。</w:t>
      </w:r>
    </w:p>
    <w:p w14:paraId="1B7EE053">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4.评价标准</w:t>
      </w:r>
    </w:p>
    <w:p w14:paraId="4F282225">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绩效评价标准通常包括计划标准、行业标准、历史标准等，用于对绩效指标完成情况进行比较、分析、评价。本次评价主要采用了计划标准。</w:t>
      </w:r>
    </w:p>
    <w:p w14:paraId="09182895">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（1）计划标准。指以预先制定的目标、计划、预算、定额等作为评价标准。</w:t>
      </w:r>
    </w:p>
    <w:p w14:paraId="78891F10">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F3715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（1）前期准备与规划</w:t>
      </w:r>
    </w:p>
    <w:p w14:paraId="249BFB18">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718DF6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（2）指标体系构建</w:t>
      </w:r>
    </w:p>
    <w:p w14:paraId="4944C1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w:t>
      </w:r>
      <w:r>
        <w:rPr>
          <w:rFonts w:hint="default" w:ascii="仿宋_GB2312" w:hAnsi="仿宋_GB2312" w:eastAsia="仿宋_GB2312" w:cs="仿宋_GB2312"/>
          <w:sz w:val="32"/>
          <w:szCs w:val="32"/>
          <w:lang w:val="en-US" w:eastAsia="zh-CN"/>
        </w:rPr>
        <w:t>况。</w:t>
      </w:r>
    </w:p>
    <w:p w14:paraId="20CE13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（3）数据收集与整理</w:t>
      </w:r>
    </w:p>
    <w:p w14:paraId="1C541CD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17CEE3F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（4）数据分析与评估</w:t>
      </w:r>
    </w:p>
    <w:p w14:paraId="5A8554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default" w:ascii="仿宋_GB2312" w:hAnsi="仿宋_GB2312" w:eastAsia="仿宋_GB2312" w:cs="仿宋_GB2312"/>
          <w:sz w:val="32"/>
          <w:szCs w:val="32"/>
          <w:lang w:val="en-US" w:eastAsia="zh-CN"/>
        </w:rPr>
        <w:t>。</w:t>
      </w:r>
    </w:p>
    <w:p w14:paraId="536BFC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（5）报告撰写与反馈</w:t>
      </w:r>
    </w:p>
    <w:p w14:paraId="7D330D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default" w:ascii="仿宋_GB2312" w:hAnsi="仿宋_GB2312" w:eastAsia="仿宋_GB2312" w:cs="仿宋_GB2312"/>
          <w:sz w:val="32"/>
          <w:szCs w:val="32"/>
          <w:lang w:val="en-US" w:eastAsia="zh-CN"/>
        </w:rPr>
        <w:t>。</w:t>
      </w:r>
    </w:p>
    <w:p w14:paraId="36F110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（6）后续跟踪与改进</w:t>
      </w:r>
    </w:p>
    <w:p w14:paraId="16F186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D36521C">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6C90C011">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732E8CC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本项目的综合评价基于对项目各方面绩效的深入分析与评估。从项目目标的达成情况来看，关于解决国有资产办理不动产证件费用的请示、原县医院闲置资产作为党政机关办公用房维修项目、关于解决老政府等五处房产土地出让金及契税等相关过户费用等方面表现出色，达到了预期的标准与要求。同时，项目也在经济效益、社会效益以及可持续性取得了显著的成效，</w:t>
      </w:r>
      <w:r>
        <w:rPr>
          <w:rFonts w:hint="eastAsia" w:ascii="仿宋_GB2312" w:hAnsi="仿宋_GB2312" w:eastAsia="仿宋_GB2312" w:cs="仿宋_GB2312"/>
          <w:b w:val="0"/>
          <w:bCs w:val="0"/>
          <w:kern w:val="2"/>
          <w:sz w:val="32"/>
          <w:szCs w:val="32"/>
          <w:lang w:val="en-US" w:eastAsia="zh-CN" w:bidi="ar-SA"/>
        </w:rPr>
        <w:t>主要为</w:t>
      </w:r>
      <w:r>
        <w:rPr>
          <w:rFonts w:hint="default" w:ascii="仿宋_GB2312" w:hAnsi="仿宋_GB2312" w:eastAsia="仿宋_GB2312" w:cs="仿宋_GB2312"/>
          <w:b w:val="0"/>
          <w:bCs w:val="0"/>
          <w:kern w:val="2"/>
          <w:sz w:val="32"/>
          <w:szCs w:val="32"/>
          <w:lang w:val="en-US" w:eastAsia="zh-CN" w:bidi="ar-SA"/>
        </w:rPr>
        <w:t>房产土地出让金及契税5处、新增设院区大门2个、维修办公用房维修数量3处、土地出让金及契税使用效率达到100%、工程验收合格、维修完工及时率完成率100%，房屋维修费用支出1337.15万元；不动产国有资产费用支出3752.36万元。</w:t>
      </w:r>
    </w:p>
    <w:p w14:paraId="4FFDD0D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在项目管理方面，</w:t>
      </w:r>
      <w:r>
        <w:rPr>
          <w:rFonts w:hint="eastAsia" w:ascii="仿宋_GB2312" w:hAnsi="仿宋_GB2312" w:eastAsia="仿宋_GB2312" w:cs="仿宋_GB2312"/>
          <w:b w:val="0"/>
          <w:bCs w:val="0"/>
          <w:kern w:val="2"/>
          <w:sz w:val="32"/>
          <w:szCs w:val="32"/>
          <w:lang w:val="en-US" w:eastAsia="zh-CN" w:bidi="ar-SA"/>
        </w:rPr>
        <w:t>奇台县人民政府办公室</w:t>
      </w:r>
      <w:r>
        <w:rPr>
          <w:rFonts w:hint="default" w:ascii="仿宋_GB2312" w:hAnsi="仿宋_GB2312" w:eastAsia="仿宋_GB2312" w:cs="仿宋_GB2312"/>
          <w:b w:val="0"/>
          <w:bCs w:val="0"/>
          <w:kern w:val="2"/>
          <w:sz w:val="32"/>
          <w:szCs w:val="32"/>
          <w:lang w:val="en-US" w:eastAsia="zh-CN" w:bidi="ar-SA"/>
        </w:rPr>
        <w:t>通过有效的规划、组织与协调，项目得以顺利实施，并在预算与时间上保持了良好的控制</w:t>
      </w:r>
      <w:r>
        <w:rPr>
          <w:rFonts w:hint="default" w:ascii="仿宋_GB2312" w:hAnsi="仿宋_GB2312" w:eastAsia="仿宋_GB2312" w:cs="仿宋_GB2312"/>
          <w:kern w:val="2"/>
          <w:sz w:val="32"/>
          <w:szCs w:val="32"/>
          <w:lang w:val="en-US" w:eastAsia="zh-CN" w:bidi="ar-SA"/>
        </w:rPr>
        <w:t>。</w:t>
      </w:r>
    </w:p>
    <w:p w14:paraId="6D5A66DE">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从项目效益的角度来看，本项目不仅实现了预期的社会效益</w:t>
      </w:r>
      <w:r>
        <w:rPr>
          <w:rFonts w:hint="eastAsia" w:ascii="仿宋_GB2312" w:hAnsi="仿宋_GB2312" w:eastAsia="仿宋_GB2312" w:cs="仿宋_GB2312"/>
          <w:b w:val="0"/>
          <w:bCs w:val="0"/>
          <w:kern w:val="2"/>
          <w:sz w:val="32"/>
          <w:szCs w:val="32"/>
          <w:lang w:val="en-US" w:eastAsia="zh-CN" w:bidi="ar-SA"/>
        </w:rPr>
        <w:t>、经济效益</w:t>
      </w:r>
      <w:r>
        <w:rPr>
          <w:rFonts w:hint="default" w:ascii="仿宋_GB2312" w:hAnsi="仿宋_GB2312" w:eastAsia="仿宋_GB2312" w:cs="仿宋_GB2312"/>
          <w:b w:val="0"/>
          <w:bCs w:val="0"/>
          <w:kern w:val="2"/>
          <w:sz w:val="32"/>
          <w:szCs w:val="32"/>
          <w:lang w:val="en-US" w:eastAsia="zh-CN" w:bidi="ar-SA"/>
        </w:rPr>
        <w:t>等方面产生了积极的影响。具体而言，房产土地出让金及契税5处、新增设院区大门2个、维修办公用房维修数量3处、土地出让金及契税使用效率达到100%、工程验收合格、维修完工及时率完成率100%，房屋维修费用支1337.15万元；不动产国有资产费用支出3752.36万元</w:t>
      </w:r>
      <w:r>
        <w:rPr>
          <w:rFonts w:hint="eastAsia" w:ascii="仿宋_GB2312" w:hAnsi="仿宋_GB2312" w:eastAsia="仿宋_GB2312" w:cs="仿宋_GB2312"/>
          <w:b w:val="0"/>
          <w:bCs w:val="0"/>
          <w:kern w:val="2"/>
          <w:sz w:val="32"/>
          <w:szCs w:val="32"/>
          <w:lang w:val="en-US" w:eastAsia="zh-CN" w:bidi="ar-SA"/>
        </w:rPr>
        <w:t>。这些</w:t>
      </w:r>
      <w:r>
        <w:rPr>
          <w:rFonts w:hint="default" w:ascii="仿宋_GB2312" w:hAnsi="仿宋_GB2312" w:eastAsia="仿宋_GB2312" w:cs="仿宋_GB2312"/>
          <w:b w:val="0"/>
          <w:bCs w:val="0"/>
          <w:kern w:val="2"/>
          <w:sz w:val="32"/>
          <w:szCs w:val="32"/>
          <w:lang w:val="en-US" w:eastAsia="zh-CN" w:bidi="ar-SA"/>
        </w:rPr>
        <w:t>方面的提升，为项目的利益相关者带来了实实在在的利益</w:t>
      </w:r>
      <w:r>
        <w:rPr>
          <w:rFonts w:hint="default" w:ascii="仿宋_GB2312" w:hAnsi="仿宋_GB2312" w:eastAsia="仿宋_GB2312" w:cs="仿宋_GB2312"/>
          <w:kern w:val="2"/>
          <w:sz w:val="32"/>
          <w:szCs w:val="32"/>
          <w:lang w:val="en-US" w:eastAsia="zh-CN" w:bidi="ar-SA"/>
        </w:rPr>
        <w:t>。</w:t>
      </w:r>
    </w:p>
    <w:p w14:paraId="7B15CE38">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综上所述，关于解决国有资产办理不动产证件费用的请示、原县医院闲置资产作为党政机关办公用房维修项目、关于解决老政府等五处房产土地出让金及契税等相关过户费用</w:t>
      </w:r>
      <w:r>
        <w:rPr>
          <w:rFonts w:hint="eastAsia" w:ascii="仿宋_GB2312" w:hAnsi="仿宋_GB2312" w:eastAsia="仿宋_GB2312" w:cs="仿宋_GB2312"/>
          <w:b w:val="0"/>
          <w:bCs w:val="0"/>
          <w:kern w:val="2"/>
          <w:sz w:val="32"/>
          <w:szCs w:val="32"/>
          <w:lang w:val="en-US" w:eastAsia="zh-CN" w:bidi="ar-SA"/>
        </w:rPr>
        <w:t>的项目</w:t>
      </w:r>
      <w:r>
        <w:rPr>
          <w:rFonts w:hint="default" w:ascii="仿宋_GB2312" w:hAnsi="仿宋_GB2312" w:eastAsia="仿宋_GB2312" w:cs="仿宋_GB2312"/>
          <w:b w:val="0"/>
          <w:bCs w:val="0"/>
          <w:kern w:val="2"/>
          <w:sz w:val="32"/>
          <w:szCs w:val="32"/>
          <w:lang w:val="en-US" w:eastAsia="zh-CN" w:bidi="ar-SA"/>
        </w:rPr>
        <w:t>在绩效评价中表现出色，达到了项目的预期目标，并在多个方面取得了显著的成效。</w:t>
      </w:r>
    </w:p>
    <w:p w14:paraId="22B096C8">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0BF6DD50">
      <w:pPr>
        <w:pStyle w:val="10"/>
        <w:widowControl w:val="0"/>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仿宋_GB2312" w:hAnsi="仿宋_GB2312" w:eastAsia="仿宋_GB2312" w:cs="仿宋_GB2312"/>
          <w:b w:val="0"/>
          <w:bCs w:val="0"/>
          <w:kern w:val="2"/>
          <w:sz w:val="32"/>
          <w:szCs w:val="32"/>
          <w:lang w:val="en-US" w:eastAsia="zh-CN" w:bidi="ar-SA"/>
        </w:rPr>
        <w:t>98.18</w:t>
      </w:r>
      <w:r>
        <w:rPr>
          <w:rFonts w:hint="default" w:ascii="仿宋_GB2312" w:hAnsi="仿宋_GB2312" w:eastAsia="仿宋_GB2312" w:cs="仿宋_GB2312"/>
          <w:b w:val="0"/>
          <w:bCs w:val="0"/>
          <w:kern w:val="2"/>
          <w:sz w:val="32"/>
          <w:szCs w:val="32"/>
          <w:lang w:val="en-US" w:eastAsia="zh-CN" w:bidi="ar-SA"/>
        </w:rPr>
        <w:t>分，属于“优”。其中，项目决策类指标权重为20分，得分为</w:t>
      </w:r>
      <w:r>
        <w:rPr>
          <w:rFonts w:hint="eastAsia" w:ascii="仿宋_GB2312" w:hAnsi="仿宋_GB2312" w:eastAsia="仿宋_GB2312" w:cs="仿宋_GB2312"/>
          <w:b w:val="0"/>
          <w:bCs w:val="0"/>
          <w:kern w:val="2"/>
          <w:sz w:val="32"/>
          <w:szCs w:val="32"/>
          <w:lang w:val="en-US" w:eastAsia="zh-CN" w:bidi="ar-SA"/>
        </w:rPr>
        <w:t>20</w:t>
      </w:r>
      <w:r>
        <w:rPr>
          <w:rFonts w:hint="default" w:ascii="仿宋_GB2312" w:hAnsi="仿宋_GB2312" w:eastAsia="仿宋_GB2312" w:cs="仿宋_GB2312"/>
          <w:b w:val="0"/>
          <w:bCs w:val="0"/>
          <w:kern w:val="2"/>
          <w:sz w:val="32"/>
          <w:szCs w:val="32"/>
          <w:lang w:val="en-US" w:eastAsia="zh-CN" w:bidi="ar-SA"/>
        </w:rPr>
        <w:t>分，得分率为</w:t>
      </w:r>
      <w:r>
        <w:rPr>
          <w:rFonts w:hint="eastAsia" w:ascii="仿宋_GB2312" w:hAnsi="仿宋_GB2312" w:eastAsia="仿宋_GB2312" w:cs="仿宋_GB2312"/>
          <w:b w:val="0"/>
          <w:bCs w:val="0"/>
          <w:kern w:val="2"/>
          <w:sz w:val="32"/>
          <w:szCs w:val="32"/>
          <w:lang w:val="en-US" w:eastAsia="zh-CN" w:bidi="ar-SA"/>
        </w:rPr>
        <w:t>100</w:t>
      </w:r>
      <w:r>
        <w:rPr>
          <w:rFonts w:hint="default" w:ascii="仿宋_GB2312" w:hAnsi="仿宋_GB2312" w:eastAsia="仿宋_GB2312" w:cs="仿宋_GB2312"/>
          <w:b w:val="0"/>
          <w:bCs w:val="0"/>
          <w:kern w:val="2"/>
          <w:sz w:val="32"/>
          <w:szCs w:val="32"/>
          <w:lang w:val="en-US" w:eastAsia="zh-CN" w:bidi="ar-SA"/>
        </w:rPr>
        <w:t>%。项目过程类指标权重为20分，得分为</w:t>
      </w:r>
      <w:r>
        <w:rPr>
          <w:rFonts w:hint="eastAsia" w:ascii="仿宋_GB2312" w:hAnsi="仿宋_GB2312" w:eastAsia="仿宋_GB2312" w:cs="仿宋_GB2312"/>
          <w:b w:val="0"/>
          <w:bCs w:val="0"/>
          <w:kern w:val="2"/>
          <w:sz w:val="32"/>
          <w:szCs w:val="32"/>
          <w:lang w:val="en-US" w:eastAsia="zh-CN" w:bidi="ar-SA"/>
        </w:rPr>
        <w:t>18.18</w:t>
      </w:r>
      <w:r>
        <w:rPr>
          <w:rFonts w:hint="default" w:ascii="仿宋_GB2312" w:hAnsi="仿宋_GB2312" w:eastAsia="仿宋_GB2312" w:cs="仿宋_GB2312"/>
          <w:b w:val="0"/>
          <w:bCs w:val="0"/>
          <w:kern w:val="2"/>
          <w:sz w:val="32"/>
          <w:szCs w:val="32"/>
          <w:lang w:val="en-US" w:eastAsia="zh-CN" w:bidi="ar-SA"/>
        </w:rPr>
        <w:t>分，得分率为</w:t>
      </w:r>
      <w:r>
        <w:rPr>
          <w:rFonts w:hint="eastAsia" w:ascii="仿宋_GB2312" w:hAnsi="仿宋_GB2312" w:eastAsia="仿宋_GB2312" w:cs="仿宋_GB2312"/>
          <w:b w:val="0"/>
          <w:bCs w:val="0"/>
          <w:kern w:val="2"/>
          <w:sz w:val="32"/>
          <w:szCs w:val="32"/>
          <w:lang w:val="en-US" w:eastAsia="zh-CN" w:bidi="ar-SA"/>
        </w:rPr>
        <w:t>81.82</w:t>
      </w:r>
      <w:r>
        <w:rPr>
          <w:rFonts w:hint="default" w:ascii="仿宋_GB2312" w:hAnsi="仿宋_GB2312" w:eastAsia="仿宋_GB2312" w:cs="仿宋_GB2312"/>
          <w:b w:val="0"/>
          <w:bCs w:val="0"/>
          <w:kern w:val="2"/>
          <w:sz w:val="32"/>
          <w:szCs w:val="32"/>
          <w:lang w:val="en-US" w:eastAsia="zh-CN" w:bidi="ar-SA"/>
        </w:rPr>
        <w:t>%。项目产出类指标权重为40分，得分为</w:t>
      </w:r>
      <w:r>
        <w:rPr>
          <w:rFonts w:hint="eastAsia" w:ascii="仿宋_GB2312" w:hAnsi="仿宋_GB2312" w:eastAsia="仿宋_GB2312" w:cs="仿宋_GB2312"/>
          <w:b w:val="0"/>
          <w:bCs w:val="0"/>
          <w:kern w:val="2"/>
          <w:sz w:val="32"/>
          <w:szCs w:val="32"/>
          <w:lang w:val="en-US" w:eastAsia="zh-CN" w:bidi="ar-SA"/>
        </w:rPr>
        <w:t>40</w:t>
      </w:r>
      <w:r>
        <w:rPr>
          <w:rFonts w:hint="default" w:ascii="仿宋_GB2312" w:hAnsi="仿宋_GB2312" w:eastAsia="仿宋_GB2312" w:cs="仿宋_GB2312"/>
          <w:b w:val="0"/>
          <w:bCs w:val="0"/>
          <w:kern w:val="2"/>
          <w:sz w:val="32"/>
          <w:szCs w:val="32"/>
          <w:lang w:val="en-US" w:eastAsia="zh-CN" w:bidi="ar-SA"/>
        </w:rPr>
        <w:t>分，得分率为</w:t>
      </w:r>
      <w:r>
        <w:rPr>
          <w:rFonts w:hint="eastAsia" w:ascii="仿宋_GB2312" w:hAnsi="仿宋_GB2312" w:eastAsia="仿宋_GB2312" w:cs="仿宋_GB2312"/>
          <w:b w:val="0"/>
          <w:bCs w:val="0"/>
          <w:kern w:val="2"/>
          <w:sz w:val="32"/>
          <w:szCs w:val="32"/>
          <w:lang w:val="en-US" w:eastAsia="zh-CN" w:bidi="ar-SA"/>
        </w:rPr>
        <w:t>100</w:t>
      </w:r>
      <w:r>
        <w:rPr>
          <w:rFonts w:hint="default" w:ascii="仿宋_GB2312" w:hAnsi="仿宋_GB2312" w:eastAsia="仿宋_GB2312" w:cs="仿宋_GB2312"/>
          <w:b w:val="0"/>
          <w:bCs w:val="0"/>
          <w:kern w:val="2"/>
          <w:sz w:val="32"/>
          <w:szCs w:val="32"/>
          <w:lang w:val="en-US" w:eastAsia="zh-CN" w:bidi="ar-SA"/>
        </w:rPr>
        <w:t>%。项目效益类指标权重为20分，得分为</w:t>
      </w:r>
      <w:r>
        <w:rPr>
          <w:rFonts w:hint="eastAsia" w:ascii="仿宋_GB2312" w:hAnsi="仿宋_GB2312" w:eastAsia="仿宋_GB2312" w:cs="仿宋_GB2312"/>
          <w:b w:val="0"/>
          <w:bCs w:val="0"/>
          <w:kern w:val="2"/>
          <w:sz w:val="32"/>
          <w:szCs w:val="32"/>
          <w:lang w:val="en-US" w:eastAsia="zh-CN" w:bidi="ar-SA"/>
        </w:rPr>
        <w:t>20</w:t>
      </w:r>
      <w:r>
        <w:rPr>
          <w:rFonts w:hint="default" w:ascii="仿宋_GB2312" w:hAnsi="仿宋_GB2312" w:eastAsia="仿宋_GB2312" w:cs="仿宋_GB2312"/>
          <w:b w:val="0"/>
          <w:bCs w:val="0"/>
          <w:kern w:val="2"/>
          <w:sz w:val="32"/>
          <w:szCs w:val="32"/>
          <w:lang w:val="en-US" w:eastAsia="zh-CN" w:bidi="ar-SA"/>
        </w:rPr>
        <w:t>分，得分率为</w:t>
      </w:r>
      <w:r>
        <w:rPr>
          <w:rFonts w:hint="eastAsia" w:ascii="仿宋_GB2312" w:hAnsi="仿宋_GB2312" w:eastAsia="仿宋_GB2312" w:cs="仿宋_GB2312"/>
          <w:b w:val="0"/>
          <w:bCs w:val="0"/>
          <w:kern w:val="2"/>
          <w:sz w:val="32"/>
          <w:szCs w:val="32"/>
          <w:lang w:val="en-US" w:eastAsia="zh-CN" w:bidi="ar-SA"/>
        </w:rPr>
        <w:t>100</w:t>
      </w:r>
      <w:r>
        <w:rPr>
          <w:rFonts w:hint="default" w:ascii="仿宋_GB2312" w:hAnsi="仿宋_GB2312" w:eastAsia="仿宋_GB2312" w:cs="仿宋_GB2312"/>
          <w:b w:val="0"/>
          <w:bCs w:val="0"/>
          <w:kern w:val="2"/>
          <w:sz w:val="32"/>
          <w:szCs w:val="32"/>
          <w:lang w:val="en-US" w:eastAsia="zh-CN" w:bidi="ar-SA"/>
        </w:rPr>
        <w:t>%。具体打分情况详见：附件1综合评分表。</w:t>
      </w:r>
    </w:p>
    <w:p w14:paraId="2AA052E8">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006E1CEB">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248221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E00FB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FF4F5E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ACBCCEF">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4AD0CFB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7ED094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4437813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046909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09128F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0F6A74B1">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0929311">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59DCC86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0A5ED8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18.18</w:t>
            </w:r>
          </w:p>
        </w:tc>
        <w:tc>
          <w:tcPr>
            <w:tcW w:w="2023" w:type="dxa"/>
            <w:tcBorders>
              <w:top w:val="nil"/>
              <w:left w:val="nil"/>
              <w:bottom w:val="single" w:color="auto" w:sz="4" w:space="0"/>
              <w:right w:val="single" w:color="auto" w:sz="4" w:space="0"/>
            </w:tcBorders>
            <w:shd w:val="clear" w:color="auto" w:fill="auto"/>
            <w:vAlign w:val="center"/>
          </w:tcPr>
          <w:p w14:paraId="7725832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81.82%</w:t>
            </w:r>
          </w:p>
        </w:tc>
      </w:tr>
      <w:tr w14:paraId="196F712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084513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069E96A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29C673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1B6AAC3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7768EFF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C10023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07493CC5">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925E9A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6B174F4">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CA7394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D15C5E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6D8AD21C">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DC7AA59">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98.18</w:t>
            </w:r>
          </w:p>
        </w:tc>
        <w:tc>
          <w:tcPr>
            <w:tcW w:w="2023" w:type="dxa"/>
            <w:tcBorders>
              <w:top w:val="nil"/>
              <w:left w:val="nil"/>
              <w:bottom w:val="single" w:color="auto" w:sz="4" w:space="0"/>
              <w:right w:val="single" w:color="auto" w:sz="4" w:space="0"/>
            </w:tcBorders>
            <w:shd w:val="clear" w:color="auto" w:fill="auto"/>
            <w:vAlign w:val="center"/>
          </w:tcPr>
          <w:p w14:paraId="776DF49D">
            <w:pPr>
              <w:jc w:val="center"/>
              <w:rPr>
                <w:rFonts w:hint="default" w:ascii="Times New Roman" w:hAnsi="Times New Roman" w:eastAsia="宋体" w:cs="Times New Roman"/>
                <w:b/>
                <w:bCs/>
                <w:color w:val="000000"/>
                <w:sz w:val="21"/>
                <w:szCs w:val="21"/>
                <w:lang w:val="en-US" w:eastAsia="zh-CN"/>
              </w:rPr>
            </w:pPr>
            <w:r>
              <w:rPr>
                <w:rFonts w:hint="eastAsia"/>
                <w:lang w:val="en-US" w:eastAsia="zh-CN"/>
              </w:rPr>
              <w:t>98.18%</w:t>
            </w:r>
          </w:p>
        </w:tc>
      </w:tr>
    </w:tbl>
    <w:p w14:paraId="5F7A0B1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7B9F28AA">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1C1C0E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项目决策类指标包括项目立项、绩效目标和资金投入三方面的内容，由6个三级指标构成，权重分值为20分，实际得分</w:t>
      </w:r>
      <w:r>
        <w:rPr>
          <w:rFonts w:hint="eastAsia" w:ascii="仿宋_GB2312" w:hAnsi="仿宋_GB2312" w:eastAsia="仿宋_GB2312" w:cs="仿宋_GB2312"/>
          <w:b w:val="0"/>
          <w:bCs w:val="0"/>
          <w:kern w:val="2"/>
          <w:sz w:val="32"/>
          <w:szCs w:val="32"/>
          <w:lang w:val="en-US" w:eastAsia="zh-CN" w:bidi="ar-SA"/>
        </w:rPr>
        <w:t>20</w:t>
      </w:r>
      <w:r>
        <w:rPr>
          <w:rFonts w:hint="default" w:ascii="仿宋_GB2312" w:hAnsi="仿宋_GB2312" w:eastAsia="仿宋_GB2312" w:cs="仿宋_GB2312"/>
          <w:b w:val="0"/>
          <w:bCs w:val="0"/>
          <w:kern w:val="2"/>
          <w:sz w:val="32"/>
          <w:szCs w:val="32"/>
          <w:lang w:val="en-US" w:eastAsia="zh-CN" w:bidi="ar-SA"/>
        </w:rPr>
        <w:t>分，得分率为</w:t>
      </w:r>
      <w:r>
        <w:rPr>
          <w:rFonts w:hint="eastAsia" w:ascii="仿宋_GB2312" w:hAnsi="仿宋_GB2312" w:eastAsia="仿宋_GB2312" w:cs="仿宋_GB2312"/>
          <w:b w:val="0"/>
          <w:bCs w:val="0"/>
          <w:kern w:val="2"/>
          <w:sz w:val="32"/>
          <w:szCs w:val="32"/>
          <w:lang w:val="en-US" w:eastAsia="zh-CN" w:bidi="ar-SA"/>
        </w:rPr>
        <w:t>100</w:t>
      </w:r>
      <w:r>
        <w:rPr>
          <w:rFonts w:hint="default"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sz w:val="32"/>
          <w:szCs w:val="32"/>
          <w:lang w:val="en-US" w:eastAsia="zh-CN"/>
        </w:rPr>
        <w:t>。</w:t>
      </w:r>
    </w:p>
    <w:p w14:paraId="0CFE865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29C52860">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sz w:val="32"/>
          <w:szCs w:val="32"/>
          <w:lang w:val="en-US" w:eastAsia="zh-CN"/>
        </w:rPr>
        <w:t>（</w:t>
      </w:r>
      <w:r>
        <w:rPr>
          <w:rFonts w:hint="default" w:ascii="仿宋_GB2312" w:hAnsi="仿宋_GB2312" w:eastAsia="仿宋_GB2312" w:cs="仿宋_GB2312"/>
          <w:b w:val="0"/>
          <w:bCs w:val="0"/>
          <w:kern w:val="2"/>
          <w:sz w:val="32"/>
          <w:szCs w:val="32"/>
          <w:lang w:val="en-US" w:eastAsia="zh-CN" w:bidi="ar-SA"/>
        </w:rPr>
        <w:t>1）立项依据充分性</w:t>
      </w:r>
    </w:p>
    <w:p w14:paraId="120F83CA">
      <w:pPr>
        <w:spacing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该项目立项符合国家相关法律法规</w:t>
      </w:r>
      <w:r>
        <w:rPr>
          <w:rFonts w:hint="eastAsia"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根据第十八届人民政府第49次常务会议研究将原县医院闲置楼进行整体维修及调整资产做党机关综合办公大楼；根据奇台县第十八届人民政府第4次常务会议纪要（奇政阅〔2021〕27号）、《关于处置党政机关失业单位经营性房产及闲置公有房产的批复》和奇台县人民政府会议纪要（奇政阅〔2024〕7号）相关要求，围绕本年度工作重点和工作计划制定经费预算，属于公共财政支持范围。本项目与部门内部其他相关项目不重复。部门发展规划及职能文件等归档完整</w:t>
      </w:r>
      <w:r>
        <w:rPr>
          <w:rFonts w:hint="default" w:ascii="仿宋_GB2312" w:hAnsi="仿宋_GB2312" w:eastAsia="仿宋_GB2312" w:cs="仿宋_GB2312"/>
          <w:sz w:val="32"/>
          <w:szCs w:val="32"/>
          <w:lang w:val="en-US" w:eastAsia="zh-CN"/>
        </w:rPr>
        <w:t>。</w:t>
      </w:r>
    </w:p>
    <w:p w14:paraId="6AED57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（2）立项程序规范性</w:t>
      </w:r>
    </w:p>
    <w:p w14:paraId="5FB253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项目申请、设立过程符合相关要求，</w:t>
      </w:r>
      <w:r>
        <w:rPr>
          <w:rFonts w:hint="default" w:ascii="仿宋_GB2312" w:hAnsi="仿宋_GB2312" w:eastAsia="仿宋_GB2312" w:cs="仿宋_GB2312"/>
          <w:b w:val="0"/>
          <w:bCs w:val="0"/>
          <w:kern w:val="2"/>
          <w:sz w:val="32"/>
          <w:szCs w:val="32"/>
          <w:lang w:val="en-US" w:eastAsia="zh-Hans" w:bidi="ar-SA"/>
        </w:rPr>
        <w:t>严格按照审批流程准备符合要求的文件、材料；</w:t>
      </w:r>
      <w:r>
        <w:rPr>
          <w:rFonts w:hint="default" w:ascii="仿宋_GB2312" w:hAnsi="仿宋_GB2312" w:eastAsia="仿宋_GB2312" w:cs="仿宋_GB2312"/>
          <w:b w:val="0"/>
          <w:bCs w:val="0"/>
          <w:kern w:val="2"/>
          <w:sz w:val="32"/>
          <w:szCs w:val="32"/>
          <w:lang w:val="en-US" w:eastAsia="zh-CN" w:bidi="ar-SA"/>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r>
        <w:rPr>
          <w:rFonts w:hint="default" w:ascii="仿宋_GB2312" w:hAnsi="仿宋_GB2312" w:eastAsia="仿宋_GB2312" w:cs="仿宋_GB2312"/>
          <w:sz w:val="32"/>
          <w:szCs w:val="32"/>
          <w:lang w:val="en-US" w:eastAsia="zh-CN"/>
        </w:rPr>
        <w:t>。</w:t>
      </w:r>
    </w:p>
    <w:p w14:paraId="135EED6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33998A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（1）绩效目标合理性</w:t>
      </w:r>
    </w:p>
    <w:p w14:paraId="7BFBEA8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Hans" w:bidi="ar-SA"/>
        </w:rPr>
        <w:t>年初结合实际工作内容</w:t>
      </w:r>
      <w:r>
        <w:rPr>
          <w:rFonts w:hint="default" w:ascii="仿宋_GB2312" w:hAnsi="仿宋_GB2312" w:eastAsia="仿宋_GB2312" w:cs="仿宋_GB2312"/>
          <w:b w:val="0"/>
          <w:bCs w:val="0"/>
          <w:kern w:val="2"/>
          <w:sz w:val="32"/>
          <w:szCs w:val="32"/>
          <w:lang w:val="en-US" w:eastAsia="zh-CN" w:bidi="ar-SA"/>
        </w:rPr>
        <w:t>设定绩效目标</w:t>
      </w:r>
      <w:r>
        <w:rPr>
          <w:rFonts w:hint="default" w:ascii="仿宋_GB2312" w:hAnsi="仿宋_GB2312" w:eastAsia="仿宋_GB2312" w:cs="仿宋_GB2312"/>
          <w:b w:val="0"/>
          <w:bCs w:val="0"/>
          <w:kern w:val="2"/>
          <w:sz w:val="32"/>
          <w:szCs w:val="32"/>
          <w:lang w:val="en-US" w:eastAsia="zh-Hans" w:bidi="ar-SA"/>
        </w:rPr>
        <w:t>，绩效目标</w:t>
      </w:r>
      <w:r>
        <w:rPr>
          <w:rFonts w:hint="default" w:ascii="仿宋_GB2312" w:hAnsi="仿宋_GB2312" w:eastAsia="仿宋_GB2312" w:cs="仿宋_GB2312"/>
          <w:b w:val="0"/>
          <w:bCs w:val="0"/>
          <w:kern w:val="2"/>
          <w:sz w:val="32"/>
          <w:szCs w:val="32"/>
          <w:lang w:val="en-US" w:eastAsia="zh-CN" w:bidi="ar-SA"/>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default" w:ascii="仿宋_GB2312" w:hAnsi="仿宋_GB2312" w:eastAsia="仿宋_GB2312" w:cs="仿宋_GB2312"/>
          <w:sz w:val="32"/>
          <w:szCs w:val="32"/>
          <w:lang w:val="en-US" w:eastAsia="zh-CN"/>
        </w:rPr>
        <w:t>。</w:t>
      </w:r>
    </w:p>
    <w:p w14:paraId="11FADB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（2）绩效指标明确性</w:t>
      </w:r>
    </w:p>
    <w:p w14:paraId="656E3B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项目设置了明确的预期产出效益和效果，将绩效目标细化分解为具体的绩效指标，绩效目标与项目目标任务数相对应，绩效目标设定的绩效指标清晰、细化、可衡量</w:t>
      </w:r>
      <w:r>
        <w:rPr>
          <w:rFonts w:hint="default" w:ascii="仿宋_GB2312" w:hAnsi="仿宋_GB2312" w:eastAsia="仿宋_GB2312" w:cs="仿宋_GB2312"/>
          <w:sz w:val="32"/>
          <w:szCs w:val="32"/>
          <w:lang w:val="en-US" w:eastAsia="zh-CN"/>
        </w:rPr>
        <w:t>。</w:t>
      </w:r>
    </w:p>
    <w:p w14:paraId="2A9AE8A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D2549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（1）预算编制科学性</w:t>
      </w:r>
    </w:p>
    <w:p w14:paraId="19374A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default" w:ascii="仿宋_GB2312" w:hAnsi="仿宋_GB2312" w:eastAsia="仿宋_GB2312" w:cs="仿宋_GB2312"/>
          <w:sz w:val="32"/>
          <w:szCs w:val="32"/>
          <w:lang w:val="en-US" w:eastAsia="zh-CN"/>
        </w:rPr>
        <w:t>。</w:t>
      </w:r>
    </w:p>
    <w:p w14:paraId="545C9DAA">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DBBC5C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（2）资金分配合理性</w:t>
      </w:r>
    </w:p>
    <w:p w14:paraId="604477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本项目的资金分配遵循了公平、公正、透明的原则，确保了项目资源的合理配置与高效利用。在资金分配过程中，</w:t>
      </w:r>
      <w:r>
        <w:rPr>
          <w:rFonts w:hint="eastAsia" w:ascii="仿宋_GB2312" w:hAnsi="仿宋_GB2312" w:eastAsia="仿宋_GB2312" w:cs="仿宋_GB2312"/>
          <w:b w:val="0"/>
          <w:bCs w:val="0"/>
          <w:kern w:val="2"/>
          <w:sz w:val="32"/>
          <w:szCs w:val="32"/>
          <w:lang w:val="en-US" w:eastAsia="zh-CN" w:bidi="ar-SA"/>
        </w:rPr>
        <w:t>奇台县人民政府办公室</w:t>
      </w:r>
      <w:r>
        <w:rPr>
          <w:rFonts w:hint="default" w:ascii="仿宋_GB2312" w:hAnsi="仿宋_GB2312" w:eastAsia="仿宋_GB2312" w:cs="仿宋_GB2312"/>
          <w:b w:val="0"/>
          <w:bCs w:val="0"/>
          <w:kern w:val="2"/>
          <w:sz w:val="32"/>
          <w:szCs w:val="32"/>
          <w:lang w:val="en-US" w:eastAsia="zh-CN" w:bidi="ar-SA"/>
        </w:rPr>
        <w:t>充分考虑了项目的实际需求与目标，对不同阶段、不同任务的资金进行了科学的规划与安排</w:t>
      </w:r>
      <w:r>
        <w:rPr>
          <w:rFonts w:hint="default" w:ascii="仿宋_GB2312" w:hAnsi="仿宋_GB2312" w:eastAsia="仿宋_GB2312" w:cs="仿宋_GB2312"/>
          <w:sz w:val="32"/>
          <w:szCs w:val="32"/>
          <w:lang w:val="en-US" w:eastAsia="zh-CN"/>
        </w:rPr>
        <w:t>。</w:t>
      </w:r>
    </w:p>
    <w:p w14:paraId="21E0A3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D9AD1AE">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6E27C5E">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01A32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项目过程类指标包括资金管理和组织实施两方面的内容，由</w:t>
      </w:r>
      <w:r>
        <w:rPr>
          <w:rFonts w:hint="eastAsia" w:ascii="仿宋_GB2312" w:hAnsi="仿宋_GB2312" w:eastAsia="仿宋_GB2312" w:cs="仿宋_GB2312"/>
          <w:b w:val="0"/>
          <w:bCs w:val="0"/>
          <w:kern w:val="2"/>
          <w:sz w:val="32"/>
          <w:szCs w:val="32"/>
          <w:lang w:val="en-US" w:eastAsia="zh-CN" w:bidi="ar-SA"/>
        </w:rPr>
        <w:t>2</w:t>
      </w:r>
      <w:r>
        <w:rPr>
          <w:rFonts w:hint="default" w:ascii="仿宋_GB2312" w:hAnsi="仿宋_GB2312" w:eastAsia="仿宋_GB2312" w:cs="仿宋_GB2312"/>
          <w:b w:val="0"/>
          <w:bCs w:val="0"/>
          <w:kern w:val="2"/>
          <w:sz w:val="32"/>
          <w:szCs w:val="32"/>
          <w:lang w:val="en-US" w:eastAsia="zh-CN" w:bidi="ar-SA"/>
        </w:rPr>
        <w:t>个三级指标构成，权重分值为20分，实际得分</w:t>
      </w:r>
      <w:r>
        <w:rPr>
          <w:rFonts w:hint="eastAsia" w:ascii="仿宋_GB2312" w:hAnsi="仿宋_GB2312" w:eastAsia="仿宋_GB2312" w:cs="仿宋_GB2312"/>
          <w:b w:val="0"/>
          <w:bCs w:val="0"/>
          <w:kern w:val="2"/>
          <w:sz w:val="32"/>
          <w:szCs w:val="32"/>
          <w:lang w:val="en-US" w:eastAsia="zh-CN" w:bidi="ar-SA"/>
        </w:rPr>
        <w:t>18.18</w:t>
      </w:r>
      <w:r>
        <w:rPr>
          <w:rFonts w:hint="default" w:ascii="仿宋_GB2312" w:hAnsi="仿宋_GB2312" w:eastAsia="仿宋_GB2312" w:cs="仿宋_GB2312"/>
          <w:b w:val="0"/>
          <w:bCs w:val="0"/>
          <w:kern w:val="2"/>
          <w:sz w:val="32"/>
          <w:szCs w:val="32"/>
          <w:lang w:val="en-US" w:eastAsia="zh-CN" w:bidi="ar-SA"/>
        </w:rPr>
        <w:t>分，得分率为</w:t>
      </w:r>
      <w:r>
        <w:rPr>
          <w:rFonts w:hint="eastAsia" w:ascii="仿宋_GB2312" w:hAnsi="仿宋_GB2312" w:eastAsia="仿宋_GB2312" w:cs="仿宋_GB2312"/>
          <w:b w:val="0"/>
          <w:bCs w:val="0"/>
          <w:kern w:val="2"/>
          <w:sz w:val="32"/>
          <w:szCs w:val="32"/>
          <w:lang w:val="en-US" w:eastAsia="zh-CN" w:bidi="ar-SA"/>
        </w:rPr>
        <w:t>81.82</w:t>
      </w:r>
      <w:r>
        <w:rPr>
          <w:rFonts w:hint="default" w:ascii="仿宋_GB2312" w:hAnsi="仿宋_GB2312" w:eastAsia="仿宋_GB2312" w:cs="仿宋_GB2312"/>
          <w:b w:val="0"/>
          <w:bCs w:val="0"/>
          <w:kern w:val="2"/>
          <w:sz w:val="32"/>
          <w:szCs w:val="32"/>
          <w:lang w:val="en-US" w:eastAsia="zh-CN" w:bidi="ar-SA"/>
        </w:rPr>
        <w:t>%。</w:t>
      </w:r>
    </w:p>
    <w:p w14:paraId="7762DFC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7B3980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（1）资金到位率</w:t>
      </w:r>
    </w:p>
    <w:p w14:paraId="1F3A1D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本项目总投资</w:t>
      </w:r>
      <w:r>
        <w:rPr>
          <w:rFonts w:hint="eastAsia" w:ascii="仿宋_GB2312" w:hAnsi="仿宋_GB2312" w:eastAsia="仿宋_GB2312" w:cs="仿宋_GB2312"/>
          <w:b w:val="0"/>
          <w:bCs w:val="0"/>
          <w:kern w:val="2"/>
          <w:sz w:val="32"/>
          <w:szCs w:val="32"/>
          <w:lang w:val="en-US" w:eastAsia="zh-CN" w:bidi="ar-SA"/>
        </w:rPr>
        <w:t>6221.29</w:t>
      </w:r>
      <w:r>
        <w:rPr>
          <w:rFonts w:hint="default" w:ascii="仿宋_GB2312" w:hAnsi="仿宋_GB2312" w:eastAsia="仿宋_GB2312" w:cs="仿宋_GB2312"/>
          <w:b w:val="0"/>
          <w:bCs w:val="0"/>
          <w:kern w:val="2"/>
          <w:sz w:val="32"/>
          <w:szCs w:val="32"/>
          <w:lang w:val="en-US" w:eastAsia="zh-CN" w:bidi="ar-SA"/>
        </w:rPr>
        <w:t>万元，财政资金及时足额到位，到位率</w:t>
      </w:r>
      <w:r>
        <w:rPr>
          <w:rFonts w:hint="eastAsia" w:ascii="仿宋_GB2312" w:hAnsi="仿宋_GB2312" w:eastAsia="仿宋_GB2312" w:cs="仿宋_GB2312"/>
          <w:b w:val="0"/>
          <w:bCs w:val="0"/>
          <w:kern w:val="2"/>
          <w:sz w:val="32"/>
          <w:szCs w:val="32"/>
          <w:lang w:val="en-US" w:eastAsia="zh-CN" w:bidi="ar-SA"/>
        </w:rPr>
        <w:t>100</w:t>
      </w:r>
      <w:r>
        <w:rPr>
          <w:rFonts w:hint="default" w:ascii="仿宋_GB2312" w:hAnsi="仿宋_GB2312" w:eastAsia="仿宋_GB2312" w:cs="仿宋_GB2312"/>
          <w:b w:val="0"/>
          <w:bCs w:val="0"/>
          <w:kern w:val="2"/>
          <w:sz w:val="32"/>
          <w:szCs w:val="32"/>
          <w:lang w:val="en-US" w:eastAsia="zh-CN" w:bidi="ar-SA"/>
        </w:rPr>
        <w:t>%，预算资金按计划进度执行。</w:t>
      </w:r>
    </w:p>
    <w:p w14:paraId="036459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（2）预算执行率</w:t>
      </w:r>
    </w:p>
    <w:p w14:paraId="33C3BF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预算编制较为详细，项目资金支出总体能够按照预算执行，预算资金支出5089.51万元，预算执行率为</w:t>
      </w:r>
      <w:r>
        <w:rPr>
          <w:rFonts w:hint="eastAsia" w:ascii="仿宋_GB2312" w:hAnsi="仿宋_GB2312" w:eastAsia="仿宋_GB2312" w:cs="仿宋_GB2312"/>
          <w:b w:val="0"/>
          <w:bCs w:val="0"/>
          <w:kern w:val="2"/>
          <w:sz w:val="32"/>
          <w:szCs w:val="32"/>
          <w:lang w:val="en-US" w:eastAsia="zh-CN" w:bidi="ar-SA"/>
        </w:rPr>
        <w:t>81.81</w:t>
      </w:r>
      <w:r>
        <w:rPr>
          <w:rFonts w:hint="default" w:ascii="仿宋_GB2312" w:hAnsi="仿宋_GB2312" w:eastAsia="仿宋_GB2312" w:cs="仿宋_GB2312"/>
          <w:b w:val="0"/>
          <w:bCs w:val="0"/>
          <w:kern w:val="2"/>
          <w:sz w:val="32"/>
          <w:szCs w:val="32"/>
          <w:lang w:val="en-US" w:eastAsia="zh-CN" w:bidi="ar-SA"/>
        </w:rPr>
        <w:t>%。</w:t>
      </w:r>
    </w:p>
    <w:p w14:paraId="78CDFE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（3）资金使用合规性</w:t>
      </w:r>
    </w:p>
    <w:p w14:paraId="0933E15F">
      <w:pPr>
        <w:spacing w:line="56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本项目的资金使用严格遵循了国家相关法律法规与财务制度，确保了资金的合规性与安全性。在资金使用过程中，我们建立了完善的财务管理体系，对资金的流动进行了全程监控与记录。</w:t>
      </w:r>
    </w:p>
    <w:p w14:paraId="3FBC8DB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具体而言，资金使用坚持了专款专用的原则，确保了项目资金不被挪用或截留。同时，</w:t>
      </w:r>
      <w:r>
        <w:rPr>
          <w:rFonts w:hint="eastAsia" w:ascii="仿宋_GB2312" w:hAnsi="仿宋_GB2312" w:eastAsia="仿宋_GB2312" w:cs="仿宋_GB2312"/>
          <w:b w:val="0"/>
          <w:bCs w:val="0"/>
          <w:kern w:val="2"/>
          <w:sz w:val="32"/>
          <w:szCs w:val="32"/>
          <w:lang w:val="en-US" w:eastAsia="zh-CN" w:bidi="ar-SA"/>
        </w:rPr>
        <w:t>奇台县人民政府办公室</w:t>
      </w:r>
      <w:r>
        <w:rPr>
          <w:rFonts w:hint="default" w:ascii="仿宋_GB2312" w:hAnsi="仿宋_GB2312" w:eastAsia="仿宋_GB2312" w:cs="仿宋_GB2312"/>
          <w:b w:val="0"/>
          <w:bCs w:val="0"/>
          <w:kern w:val="2"/>
          <w:sz w:val="32"/>
          <w:szCs w:val="32"/>
          <w:lang w:val="en-US" w:eastAsia="zh-CN" w:bidi="ar-SA"/>
        </w:rPr>
        <w:t>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default" w:ascii="仿宋_GB2312" w:hAnsi="仿宋_GB2312" w:eastAsia="仿宋_GB2312" w:cs="仿宋_GB2312"/>
          <w:sz w:val="32"/>
          <w:szCs w:val="32"/>
          <w:lang w:val="en-US" w:eastAsia="zh-CN"/>
        </w:rPr>
        <w:t>。</w:t>
      </w:r>
    </w:p>
    <w:p w14:paraId="5823869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综</w:t>
      </w:r>
      <w:r>
        <w:rPr>
          <w:rFonts w:hint="default" w:ascii="仿宋_GB2312" w:hAnsi="仿宋_GB2312" w:eastAsia="仿宋_GB2312" w:cs="仿宋_GB2312"/>
          <w:b w:val="0"/>
          <w:bCs w:val="0"/>
          <w:kern w:val="2"/>
          <w:sz w:val="32"/>
          <w:szCs w:val="32"/>
          <w:lang w:val="en-US" w:eastAsia="zh-CN" w:bidi="ar-SA"/>
        </w:rPr>
        <w:t>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default" w:ascii="仿宋_GB2312" w:hAnsi="仿宋_GB2312" w:eastAsia="仿宋_GB2312" w:cs="仿宋_GB2312"/>
          <w:sz w:val="32"/>
          <w:szCs w:val="32"/>
          <w:lang w:val="en-US" w:eastAsia="zh-CN"/>
        </w:rPr>
        <w:t>。</w:t>
      </w:r>
    </w:p>
    <w:p w14:paraId="52E5F69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557DCA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（1）管理制度健全性</w:t>
      </w:r>
    </w:p>
    <w:p w14:paraId="5E1909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default" w:ascii="仿宋_GB2312" w:hAnsi="仿宋_GB2312" w:eastAsia="仿宋_GB2312" w:cs="仿宋_GB2312"/>
          <w:sz w:val="32"/>
          <w:szCs w:val="32"/>
          <w:lang w:val="en-US" w:eastAsia="zh-CN"/>
        </w:rPr>
        <w:t>。</w:t>
      </w:r>
    </w:p>
    <w:p w14:paraId="5A0DF6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在</w:t>
      </w:r>
      <w:r>
        <w:rPr>
          <w:rFonts w:hint="default" w:ascii="仿宋_GB2312" w:hAnsi="仿宋_GB2312" w:eastAsia="仿宋_GB2312" w:cs="仿宋_GB2312"/>
          <w:b w:val="0"/>
          <w:bCs w:val="0"/>
          <w:kern w:val="2"/>
          <w:sz w:val="32"/>
          <w:szCs w:val="32"/>
          <w:lang w:val="en-US" w:eastAsia="zh-CN" w:bidi="ar-SA"/>
        </w:rPr>
        <w:t>制度设计上，我们注重了制度的科学性与可操作性，确保制度能够切实指导项目的执行与管</w:t>
      </w:r>
      <w:r>
        <w:rPr>
          <w:rFonts w:hint="default" w:ascii="仿宋_GB2312" w:hAnsi="仿宋_GB2312" w:eastAsia="仿宋_GB2312" w:cs="仿宋_GB2312"/>
          <w:sz w:val="32"/>
          <w:szCs w:val="32"/>
          <w:lang w:val="en-US" w:eastAsia="zh-CN"/>
        </w:rPr>
        <w:t>理。</w:t>
      </w:r>
    </w:p>
    <w:p w14:paraId="0B4173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此</w:t>
      </w:r>
      <w:r>
        <w:rPr>
          <w:rFonts w:hint="default" w:ascii="仿宋_GB2312" w:hAnsi="仿宋_GB2312" w:eastAsia="仿宋_GB2312" w:cs="仿宋_GB2312"/>
          <w:b w:val="0"/>
          <w:bCs w:val="0"/>
          <w:kern w:val="2"/>
          <w:sz w:val="32"/>
          <w:szCs w:val="32"/>
          <w:lang w:val="en-US" w:eastAsia="zh-CN" w:bidi="ar-SA"/>
        </w:rPr>
        <w:t>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w:t>
      </w:r>
      <w:r>
        <w:rPr>
          <w:rFonts w:hint="default" w:ascii="仿宋_GB2312" w:hAnsi="仿宋_GB2312" w:eastAsia="仿宋_GB2312" w:cs="仿宋_GB2312"/>
          <w:sz w:val="32"/>
          <w:szCs w:val="32"/>
          <w:lang w:val="en-US" w:eastAsia="zh-CN"/>
        </w:rPr>
        <w:t>题。</w:t>
      </w:r>
    </w:p>
    <w:p w14:paraId="53EB527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综</w:t>
      </w:r>
      <w:r>
        <w:rPr>
          <w:rFonts w:hint="default" w:ascii="仿宋_GB2312" w:hAnsi="仿宋_GB2312" w:eastAsia="仿宋_GB2312" w:cs="仿宋_GB2312"/>
          <w:b w:val="0"/>
          <w:bCs w:val="0"/>
          <w:kern w:val="2"/>
          <w:sz w:val="32"/>
          <w:szCs w:val="32"/>
          <w:lang w:val="en-US" w:eastAsia="zh-CN" w:bidi="ar-SA"/>
        </w:rPr>
        <w:t>上所述，本项目的管理制度是健全的、有效的，既符合项目的实际情况，又满足了项目管理的需要。管理制度的健全性为项目的成功实施提供了有力的保障，也为项目的绩效评价奠定了坚实的基础</w:t>
      </w:r>
      <w:r>
        <w:rPr>
          <w:rFonts w:hint="default" w:ascii="仿宋_GB2312" w:hAnsi="仿宋_GB2312" w:eastAsia="仿宋_GB2312" w:cs="仿宋_GB2312"/>
          <w:sz w:val="32"/>
          <w:szCs w:val="32"/>
          <w:lang w:val="en-US" w:eastAsia="zh-CN"/>
        </w:rPr>
        <w:t>。</w:t>
      </w:r>
    </w:p>
    <w:p w14:paraId="2558C2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（2）制度执行有效性</w:t>
      </w:r>
    </w:p>
    <w:p w14:paraId="40C723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252E376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在</w:t>
      </w:r>
      <w:r>
        <w:rPr>
          <w:rFonts w:hint="default" w:ascii="仿宋_GB2312" w:hAnsi="仿宋_GB2312" w:eastAsia="仿宋_GB2312" w:cs="仿宋_GB2312"/>
          <w:b w:val="0"/>
          <w:bCs w:val="0"/>
          <w:kern w:val="2"/>
          <w:sz w:val="32"/>
          <w:szCs w:val="32"/>
          <w:lang w:val="en-US" w:eastAsia="zh-CN" w:bidi="ar-SA"/>
        </w:rPr>
        <w:t>具体执行过程中，项目团队成员严格按照制度要求进行操作。同时，我们还建立了有效的沟通机制与反馈机制，确保项目信息的及时传递与问题的及时解决，进一步提高了制度执行的效率与效</w:t>
      </w:r>
      <w:r>
        <w:rPr>
          <w:rFonts w:hint="default" w:ascii="仿宋_GB2312" w:hAnsi="仿宋_GB2312" w:eastAsia="仿宋_GB2312" w:cs="仿宋_GB2312"/>
          <w:sz w:val="32"/>
          <w:szCs w:val="32"/>
          <w:lang w:val="en-US" w:eastAsia="zh-CN"/>
        </w:rPr>
        <w:t>果。</w:t>
      </w:r>
    </w:p>
    <w:p w14:paraId="1895B7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综</w:t>
      </w:r>
      <w:r>
        <w:rPr>
          <w:rFonts w:hint="default" w:ascii="仿宋_GB2312" w:hAnsi="仿宋_GB2312" w:eastAsia="仿宋_GB2312" w:cs="仿宋_GB2312"/>
          <w:b w:val="0"/>
          <w:bCs w:val="0"/>
          <w:kern w:val="2"/>
          <w:sz w:val="32"/>
          <w:szCs w:val="32"/>
          <w:lang w:val="en-US" w:eastAsia="zh-CN" w:bidi="ar-SA"/>
        </w:rPr>
        <w:t>上所述，本项目的管理制度在执行过程中表现出了高度的有效性，既确保了项目的顺利进行，又实现了项目目标的有效达成</w:t>
      </w:r>
      <w:r>
        <w:rPr>
          <w:rFonts w:hint="default" w:ascii="仿宋_GB2312" w:hAnsi="仿宋_GB2312" w:eastAsia="仿宋_GB2312" w:cs="仿宋_GB2312"/>
          <w:sz w:val="32"/>
          <w:szCs w:val="32"/>
          <w:lang w:val="en-US" w:eastAsia="zh-CN"/>
        </w:rPr>
        <w:t>。</w:t>
      </w:r>
    </w:p>
    <w:p w14:paraId="672B4D34">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2B27D1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项目产出类指标包括产出数量、产出质量、产出时效、产出成本四方面的内容，由</w:t>
      </w:r>
      <w:r>
        <w:rPr>
          <w:rFonts w:hint="eastAsia" w:ascii="仿宋_GB2312" w:hAnsi="仿宋_GB2312" w:eastAsia="仿宋_GB2312" w:cs="仿宋_GB2312"/>
          <w:b w:val="0"/>
          <w:bCs w:val="0"/>
          <w:kern w:val="2"/>
          <w:sz w:val="32"/>
          <w:szCs w:val="32"/>
          <w:lang w:val="en-US" w:eastAsia="zh-CN" w:bidi="ar-SA"/>
        </w:rPr>
        <w:t>8</w:t>
      </w:r>
      <w:r>
        <w:rPr>
          <w:rFonts w:hint="default" w:ascii="仿宋_GB2312" w:hAnsi="仿宋_GB2312" w:eastAsia="仿宋_GB2312" w:cs="仿宋_GB2312"/>
          <w:b w:val="0"/>
          <w:bCs w:val="0"/>
          <w:kern w:val="2"/>
          <w:sz w:val="32"/>
          <w:szCs w:val="32"/>
          <w:lang w:val="en-US" w:eastAsia="zh-CN" w:bidi="ar-SA"/>
        </w:rPr>
        <w:t>个三级指标构成，权重分为40分，实际得分</w:t>
      </w:r>
      <w:r>
        <w:rPr>
          <w:rFonts w:hint="eastAsia" w:ascii="仿宋_GB2312" w:hAnsi="仿宋_GB2312" w:eastAsia="仿宋_GB2312" w:cs="仿宋_GB2312"/>
          <w:b w:val="0"/>
          <w:bCs w:val="0"/>
          <w:kern w:val="2"/>
          <w:sz w:val="32"/>
          <w:szCs w:val="32"/>
          <w:lang w:val="en-US" w:eastAsia="zh-CN" w:bidi="ar-SA"/>
        </w:rPr>
        <w:t>40</w:t>
      </w:r>
      <w:r>
        <w:rPr>
          <w:rFonts w:hint="default" w:ascii="仿宋_GB2312" w:hAnsi="仿宋_GB2312" w:eastAsia="仿宋_GB2312" w:cs="仿宋_GB2312"/>
          <w:b w:val="0"/>
          <w:bCs w:val="0"/>
          <w:kern w:val="2"/>
          <w:sz w:val="32"/>
          <w:szCs w:val="32"/>
          <w:lang w:val="en-US" w:eastAsia="zh-CN" w:bidi="ar-SA"/>
        </w:rPr>
        <w:t>分，得分率为</w:t>
      </w:r>
      <w:r>
        <w:rPr>
          <w:rFonts w:hint="eastAsia" w:ascii="仿宋_GB2312" w:hAnsi="仿宋_GB2312" w:eastAsia="仿宋_GB2312" w:cs="仿宋_GB2312"/>
          <w:b w:val="0"/>
          <w:bCs w:val="0"/>
          <w:kern w:val="2"/>
          <w:sz w:val="32"/>
          <w:szCs w:val="32"/>
          <w:lang w:val="en-US" w:eastAsia="zh-CN" w:bidi="ar-SA"/>
        </w:rPr>
        <w:t>100</w:t>
      </w:r>
      <w:r>
        <w:rPr>
          <w:rFonts w:hint="default" w:ascii="仿宋_GB2312" w:hAnsi="仿宋_GB2312" w:eastAsia="仿宋_GB2312" w:cs="仿宋_GB2312"/>
          <w:b w:val="0"/>
          <w:bCs w:val="0"/>
          <w:kern w:val="2"/>
          <w:sz w:val="32"/>
          <w:szCs w:val="32"/>
          <w:lang w:val="en-US" w:eastAsia="zh-CN" w:bidi="ar-SA"/>
        </w:rPr>
        <w:t>%。具体产出指标完成情况如下</w:t>
      </w:r>
      <w:r>
        <w:rPr>
          <w:rFonts w:hint="default" w:ascii="仿宋_GB2312" w:hAnsi="仿宋_GB2312" w:eastAsia="仿宋_GB2312" w:cs="仿宋_GB2312"/>
          <w:sz w:val="32"/>
          <w:szCs w:val="32"/>
          <w:lang w:val="en-US" w:eastAsia="zh-CN"/>
        </w:rPr>
        <w:t>：</w:t>
      </w:r>
    </w:p>
    <w:p w14:paraId="34EE81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 1 \* GB3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①</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数量指标：</w:t>
      </w:r>
    </w:p>
    <w:p w14:paraId="6ECE2C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指标1：房产土地出让金及契税，指标值：&gt;=5处，实际完成值：5处，指标完成率</w:t>
      </w:r>
      <w:r>
        <w:rPr>
          <w:rFonts w:hint="eastAsia" w:ascii="仿宋_GB2312" w:hAnsi="仿宋_GB2312" w:eastAsia="仿宋_GB2312" w:cs="仿宋_GB2312"/>
          <w:b w:val="0"/>
          <w:bCs w:val="0"/>
          <w:kern w:val="2"/>
          <w:sz w:val="32"/>
          <w:szCs w:val="32"/>
          <w:lang w:val="en-US" w:eastAsia="zh-CN" w:bidi="ar-SA"/>
        </w:rPr>
        <w:t>100</w:t>
      </w:r>
      <w:r>
        <w:rPr>
          <w:rFonts w:hint="default"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sz w:val="32"/>
          <w:szCs w:val="32"/>
          <w:lang w:val="en-US" w:eastAsia="zh-CN"/>
        </w:rPr>
        <w:t>。</w:t>
      </w:r>
    </w:p>
    <w:p w14:paraId="27368FE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指标</w:t>
      </w:r>
      <w:r>
        <w:rPr>
          <w:rFonts w:hint="eastAsia" w:ascii="仿宋_GB2312" w:hAnsi="仿宋_GB2312" w:eastAsia="仿宋_GB2312" w:cs="仿宋_GB2312"/>
          <w:b w:val="0"/>
          <w:bCs w:val="0"/>
          <w:kern w:val="2"/>
          <w:sz w:val="32"/>
          <w:szCs w:val="32"/>
          <w:lang w:val="en-US" w:eastAsia="zh-CN" w:bidi="ar-SA"/>
        </w:rPr>
        <w:t>2</w:t>
      </w:r>
      <w:r>
        <w:rPr>
          <w:rFonts w:hint="default" w:ascii="仿宋_GB2312" w:hAnsi="仿宋_GB2312" w:eastAsia="仿宋_GB2312" w:cs="仿宋_GB2312"/>
          <w:b w:val="0"/>
          <w:bCs w:val="0"/>
          <w:kern w:val="2"/>
          <w:sz w:val="32"/>
          <w:szCs w:val="32"/>
          <w:lang w:val="en-US" w:eastAsia="zh-CN" w:bidi="ar-SA"/>
        </w:rPr>
        <w:t>：增设原县医院院区大门，指标值&gt;=2个，实际完成值：2个，指标完成率</w:t>
      </w:r>
      <w:r>
        <w:rPr>
          <w:rFonts w:hint="eastAsia" w:ascii="仿宋_GB2312" w:hAnsi="仿宋_GB2312" w:eastAsia="仿宋_GB2312" w:cs="仿宋_GB2312"/>
          <w:b w:val="0"/>
          <w:bCs w:val="0"/>
          <w:kern w:val="2"/>
          <w:sz w:val="32"/>
          <w:szCs w:val="32"/>
          <w:lang w:val="en-US" w:eastAsia="zh-CN" w:bidi="ar-SA"/>
        </w:rPr>
        <w:t>100</w:t>
      </w:r>
      <w:r>
        <w:rPr>
          <w:rFonts w:hint="default"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w:t>
      </w:r>
    </w:p>
    <w:p w14:paraId="6FBBCB2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：办公用房维修数量，指标值&gt;=3处，实际完成值：</w:t>
      </w:r>
      <w:r>
        <w:rPr>
          <w:rFonts w:hint="eastAsia" w:ascii="仿宋_GB2312" w:hAnsi="仿宋_GB2312" w:eastAsia="仿宋_GB2312" w:cs="仿宋_GB2312"/>
          <w:sz w:val="32"/>
          <w:szCs w:val="32"/>
          <w:lang w:val="en-US" w:eastAsia="zh-CN"/>
        </w:rPr>
        <w:t>3处</w:t>
      </w:r>
      <w:r>
        <w:rPr>
          <w:rFonts w:hint="default" w:ascii="仿宋_GB2312" w:hAnsi="仿宋_GB2312" w:eastAsia="仿宋_GB2312" w:cs="仿宋_GB2312"/>
          <w:sz w:val="32"/>
          <w:szCs w:val="32"/>
          <w:lang w:val="en-US" w:eastAsia="zh-CN"/>
        </w:rPr>
        <w:t>，指标完成率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14:paraId="7164AF8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 2 \* GB3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②</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质量指标：</w:t>
      </w:r>
    </w:p>
    <w:p w14:paraId="65B9B2B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指标1：土地出让金及契税使用效率，指标值：</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100%，实际完成值100%，指标完成率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14:paraId="163163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：工程验收合格率，指标值：=100%，实际完成值100%，指标完成率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14:paraId="26496A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 3 \* GB3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③</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时效指标：</w:t>
      </w:r>
    </w:p>
    <w:p w14:paraId="1EB840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指标1：维修完工及时率，指标值：=95%，实际完成值=95%，指标完成率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14:paraId="675F943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 4 \* GB3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④</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成本指标：</w:t>
      </w:r>
    </w:p>
    <w:p w14:paraId="2D40849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指标1：房屋维修费用支出，指标值：&lt;=1337.15万元，实际完成值</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1337.15万元，指标完成率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14:paraId="0D8302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：不动产国有资产费用支出</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指标值：&lt;=3752.36万元，实际完成值</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3752.36万元，指标完成率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14:paraId="75A9018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Times New Roman" w:hAnsi="Times New Roman" w:eastAsia="楷体_GB2312" w:cs="Times New Roman"/>
          <w:b/>
          <w:bCs/>
          <w:sz w:val="32"/>
          <w:szCs w:val="32"/>
          <w:lang w:val="en-US" w:eastAsia="zh-CN"/>
        </w:rPr>
        <w:t>（</w:t>
      </w:r>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p>
    <w:p w14:paraId="30630F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项目效益类指标包括项目</w:t>
      </w:r>
      <w:r>
        <w:rPr>
          <w:rFonts w:hint="eastAsia" w:ascii="仿宋_GB2312" w:hAnsi="仿宋_GB2312" w:eastAsia="仿宋_GB2312" w:cs="仿宋_GB2312"/>
          <w:sz w:val="32"/>
          <w:szCs w:val="32"/>
          <w:lang w:val="en-US" w:eastAsia="zh-CN"/>
        </w:rPr>
        <w:t>社会效益指标</w:t>
      </w:r>
      <w:r>
        <w:rPr>
          <w:rFonts w:hint="default" w:ascii="仿宋_GB2312" w:hAnsi="仿宋_GB2312" w:eastAsia="仿宋_GB2312" w:cs="仿宋_GB2312"/>
          <w:sz w:val="32"/>
          <w:szCs w:val="32"/>
          <w:lang w:val="en-US" w:eastAsia="zh-CN"/>
        </w:rPr>
        <w:t>的内容，由</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个三级指标构成，权重分为20分，实际得分</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val="en-US" w:eastAsia="zh-CN"/>
        </w:rPr>
        <w:t>分，得分率为</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en-US" w:eastAsia="zh-CN"/>
        </w:rPr>
        <w:t>%。具体效益指标及满意度指标完成情况如下：</w:t>
      </w:r>
    </w:p>
    <w:p w14:paraId="505C08E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效益指标</w:t>
      </w:r>
    </w:p>
    <w:p w14:paraId="646317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①社会效益指标：</w:t>
      </w:r>
    </w:p>
    <w:p w14:paraId="207883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指标1：有效防止国有资产流失，指标值：有效防止，实际完成值有效防止，指标完成率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14:paraId="17A26031">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6F8A3212">
      <w:pPr>
        <w:pStyle w:val="19"/>
        <w:spacing w:line="560" w:lineRule="exact"/>
        <w:ind w:firstLine="64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关于解决国有资产办理不动产证件费用的请示、原县医院闲置资产作为党政机关办公用房维修项目、关于解决老政府等五处房产土地出让金及契税等相关过户费用项目年初预算</w:t>
      </w:r>
      <w:r>
        <w:rPr>
          <w:rFonts w:hint="eastAsia" w:ascii="仿宋_GB2312" w:hAnsi="仿宋_GB2312" w:eastAsia="仿宋_GB2312" w:cs="仿宋_GB2312"/>
          <w:kern w:val="2"/>
          <w:sz w:val="32"/>
          <w:szCs w:val="32"/>
          <w:lang w:val="en-US" w:eastAsia="zh-CN" w:bidi="ar-SA"/>
        </w:rPr>
        <w:t>0</w:t>
      </w:r>
      <w:r>
        <w:rPr>
          <w:rFonts w:hint="default" w:ascii="仿宋_GB2312" w:hAnsi="仿宋_GB2312" w:eastAsia="仿宋_GB2312" w:cs="仿宋_GB2312"/>
          <w:kern w:val="2"/>
          <w:sz w:val="32"/>
          <w:szCs w:val="32"/>
          <w:lang w:val="en-US" w:eastAsia="zh-CN" w:bidi="ar-SA"/>
        </w:rPr>
        <w:t>万元，全年预算6221.29万元，实际支出5089.51万元，预算执行率为</w:t>
      </w:r>
      <w:r>
        <w:rPr>
          <w:rFonts w:hint="eastAsia" w:ascii="仿宋_GB2312" w:hAnsi="仿宋_GB2312" w:eastAsia="仿宋_GB2312" w:cs="仿宋_GB2312"/>
          <w:kern w:val="2"/>
          <w:sz w:val="32"/>
          <w:szCs w:val="32"/>
          <w:lang w:val="en-US" w:eastAsia="zh-CN" w:bidi="ar-SA"/>
        </w:rPr>
        <w:t>100</w:t>
      </w:r>
      <w:r>
        <w:rPr>
          <w:rFonts w:hint="default" w:ascii="仿宋_GB2312" w:hAnsi="仿宋_GB2312" w:eastAsia="仿宋_GB2312" w:cs="仿宋_GB2312"/>
          <w:kern w:val="2"/>
          <w:sz w:val="32"/>
          <w:szCs w:val="32"/>
          <w:lang w:val="en-US" w:eastAsia="zh-CN" w:bidi="ar-SA"/>
        </w:rPr>
        <w:t>%，项目绩效指标总体完成率为</w:t>
      </w:r>
      <w:r>
        <w:rPr>
          <w:rFonts w:hint="eastAsia" w:ascii="仿宋_GB2312" w:hAnsi="仿宋_GB2312" w:eastAsia="仿宋_GB2312" w:cs="仿宋_GB2312"/>
          <w:kern w:val="2"/>
          <w:sz w:val="32"/>
          <w:szCs w:val="32"/>
          <w:lang w:val="en-US" w:eastAsia="zh-CN" w:bidi="ar-SA"/>
        </w:rPr>
        <w:t>81.81</w:t>
      </w:r>
      <w:r>
        <w:rPr>
          <w:rFonts w:hint="default"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Hans" w:bidi="ar-SA"/>
        </w:rPr>
        <w:t>总体</w:t>
      </w:r>
      <w:r>
        <w:rPr>
          <w:rFonts w:hint="default" w:ascii="仿宋_GB2312" w:hAnsi="仿宋_GB2312" w:eastAsia="仿宋_GB2312" w:cs="仿宋_GB2312"/>
          <w:kern w:val="2"/>
          <w:sz w:val="32"/>
          <w:szCs w:val="32"/>
          <w:lang w:val="en-US" w:eastAsia="zh-CN" w:bidi="ar-SA"/>
        </w:rPr>
        <w:t>偏差率为</w:t>
      </w:r>
      <w:r>
        <w:rPr>
          <w:rFonts w:hint="eastAsia" w:ascii="仿宋_GB2312" w:hAnsi="仿宋_GB2312" w:eastAsia="仿宋_GB2312" w:cs="仿宋_GB2312"/>
          <w:kern w:val="2"/>
          <w:sz w:val="32"/>
          <w:szCs w:val="32"/>
          <w:lang w:val="en-US" w:eastAsia="zh-CN" w:bidi="ar-SA"/>
        </w:rPr>
        <w:t>18.19</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Hans" w:bidi="ar-SA"/>
        </w:rPr>
        <w:t>偏差</w:t>
      </w:r>
      <w:r>
        <w:rPr>
          <w:rFonts w:hint="default" w:ascii="仿宋_GB2312" w:hAnsi="仿宋_GB2312" w:eastAsia="仿宋_GB2312" w:cs="仿宋_GB2312"/>
          <w:kern w:val="2"/>
          <w:sz w:val="32"/>
          <w:szCs w:val="32"/>
          <w:lang w:val="en-US" w:eastAsia="zh-CN" w:bidi="ar-SA"/>
        </w:rPr>
        <w:t>原因</w:t>
      </w:r>
      <w:r>
        <w:rPr>
          <w:rFonts w:hint="eastAsia" w:ascii="仿宋_GB2312" w:hAnsi="仿宋_GB2312" w:eastAsia="仿宋_GB2312" w:cs="仿宋_GB2312"/>
          <w:kern w:val="2"/>
          <w:sz w:val="32"/>
          <w:szCs w:val="32"/>
          <w:lang w:val="en-US" w:eastAsia="zh-CN" w:bidi="ar-SA"/>
        </w:rPr>
        <w:t>：年初预算金额过高，在实际项目实施中</w:t>
      </w:r>
      <w:r>
        <w:rPr>
          <w:rFonts w:hint="default" w:ascii="仿宋_GB2312" w:hAnsi="仿宋_GB2312" w:eastAsia="仿宋_GB2312" w:cs="仿宋_GB2312"/>
          <w:kern w:val="2"/>
          <w:sz w:val="32"/>
          <w:szCs w:val="32"/>
          <w:lang w:val="en-US" w:eastAsia="zh-CN" w:bidi="ar-SA"/>
        </w:rPr>
        <w:t>办理不动产证件费用土</w:t>
      </w:r>
      <w:r>
        <w:rPr>
          <w:rFonts w:hint="eastAsia" w:ascii="仿宋_GB2312" w:hAnsi="仿宋_GB2312" w:eastAsia="仿宋_GB2312" w:cs="仿宋_GB2312"/>
          <w:kern w:val="2"/>
          <w:sz w:val="32"/>
          <w:szCs w:val="32"/>
          <w:lang w:val="en-US" w:eastAsia="zh-CN" w:bidi="ar-SA"/>
        </w:rPr>
        <w:t>和</w:t>
      </w:r>
      <w:r>
        <w:rPr>
          <w:rFonts w:hint="default" w:ascii="仿宋_GB2312" w:hAnsi="仿宋_GB2312" w:eastAsia="仿宋_GB2312" w:cs="仿宋_GB2312"/>
          <w:kern w:val="2"/>
          <w:sz w:val="32"/>
          <w:szCs w:val="32"/>
          <w:lang w:val="en-US" w:eastAsia="zh-CN" w:bidi="ar-SA"/>
        </w:rPr>
        <w:t>地出让金及契税等相关过户费用</w:t>
      </w:r>
      <w:r>
        <w:rPr>
          <w:rFonts w:hint="eastAsia" w:ascii="仿宋_GB2312" w:hAnsi="仿宋_GB2312" w:eastAsia="仿宋_GB2312" w:cs="仿宋_GB2312"/>
          <w:kern w:val="2"/>
          <w:sz w:val="32"/>
          <w:szCs w:val="32"/>
          <w:lang w:val="en-US" w:eastAsia="zh-CN" w:bidi="ar-SA"/>
        </w:rPr>
        <w:t>时，资金未执行完，形成了结余资金；</w:t>
      </w:r>
      <w:r>
        <w:rPr>
          <w:rFonts w:hint="default" w:ascii="仿宋_GB2312" w:hAnsi="仿宋_GB2312" w:eastAsia="仿宋_GB2312" w:cs="仿宋_GB2312"/>
          <w:kern w:val="2"/>
          <w:sz w:val="32"/>
          <w:szCs w:val="32"/>
          <w:lang w:val="en-US" w:eastAsia="zh-Hans" w:bidi="ar-SA"/>
        </w:rPr>
        <w:t>改进</w:t>
      </w:r>
      <w:r>
        <w:rPr>
          <w:rFonts w:hint="default" w:ascii="仿宋_GB2312" w:hAnsi="仿宋_GB2312" w:eastAsia="仿宋_GB2312" w:cs="仿宋_GB2312"/>
          <w:kern w:val="2"/>
          <w:sz w:val="32"/>
          <w:szCs w:val="32"/>
          <w:lang w:val="en-US" w:eastAsia="zh-CN" w:bidi="ar-SA"/>
        </w:rPr>
        <w:t>措施</w:t>
      </w:r>
      <w:r>
        <w:rPr>
          <w:rFonts w:hint="eastAsia" w:ascii="仿宋_GB2312" w:hAnsi="仿宋_GB2312" w:eastAsia="仿宋_GB2312" w:cs="仿宋_GB2312"/>
          <w:kern w:val="2"/>
          <w:sz w:val="32"/>
          <w:szCs w:val="32"/>
          <w:lang w:val="en-US" w:eastAsia="zh-CN" w:bidi="ar-SA"/>
        </w:rPr>
        <w:t>：在今后项目申请资金预算前，做好项目资金的核算和项目成本支出的背调</w:t>
      </w:r>
      <w:r>
        <w:rPr>
          <w:rFonts w:hint="default" w:ascii="仿宋_GB2312" w:hAnsi="仿宋_GB2312" w:eastAsia="仿宋_GB2312" w:cs="仿宋_GB2312"/>
          <w:kern w:val="2"/>
          <w:sz w:val="32"/>
          <w:szCs w:val="32"/>
          <w:lang w:val="en-US" w:eastAsia="zh-CN" w:bidi="ar-SA"/>
        </w:rPr>
        <w:t>。</w:t>
      </w:r>
    </w:p>
    <w:p w14:paraId="45C2AE56">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2E7E8A3F">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1B0309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D361B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kern w:val="2"/>
        </w:rPr>
      </w:pPr>
      <w:r>
        <w:rPr>
          <w:rFonts w:hint="default" w:ascii="仿宋_GB2312" w:hAnsi="仿宋_GB2312" w:eastAsia="仿宋_GB2312" w:cs="仿宋_GB2312"/>
          <w:sz w:val="32"/>
          <w:szCs w:val="32"/>
          <w:lang w:val="en-US" w:eastAsia="zh-CN"/>
        </w:rPr>
        <w:t>严格坚持先做事、后验收、再拨付的原则，</w:t>
      </w:r>
      <w:r>
        <w:rPr>
          <w:rFonts w:hint="eastAsia" w:ascii="仿宋_GB2312" w:hAnsi="仿宋_GB2312" w:eastAsia="仿宋_GB2312" w:cs="仿宋_GB2312"/>
          <w:sz w:val="32"/>
          <w:szCs w:val="32"/>
          <w:lang w:val="en-US" w:eastAsia="zh-CN"/>
        </w:rPr>
        <w:t>杜绝</w:t>
      </w:r>
      <w:r>
        <w:rPr>
          <w:rFonts w:hint="default" w:ascii="仿宋_GB2312" w:hAnsi="仿宋_GB2312" w:eastAsia="仿宋_GB2312" w:cs="仿宋_GB2312"/>
          <w:sz w:val="32"/>
          <w:szCs w:val="32"/>
          <w:lang w:val="en-US" w:eastAsia="zh-CN"/>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63FE326">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DB282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1.相</w:t>
      </w:r>
      <w:r>
        <w:rPr>
          <w:rFonts w:hint="default" w:ascii="仿宋_GB2312" w:hAnsi="仿宋_GB2312" w:eastAsia="仿宋_GB2312" w:cs="仿宋_GB2312"/>
          <w:b w:val="0"/>
          <w:bCs w:val="0"/>
          <w:kern w:val="2"/>
          <w:sz w:val="32"/>
          <w:szCs w:val="32"/>
          <w:lang w:val="en-US" w:eastAsia="zh-CN" w:bidi="ar-SA"/>
        </w:rPr>
        <w:t>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Fonts w:hint="default" w:ascii="仿宋_GB2312" w:hAnsi="仿宋_GB2312" w:eastAsia="仿宋_GB2312" w:cs="仿宋_GB2312"/>
          <w:sz w:val="32"/>
          <w:szCs w:val="32"/>
          <w:lang w:val="en-US" w:eastAsia="zh-CN"/>
        </w:rPr>
        <w:t>。</w:t>
      </w:r>
    </w:p>
    <w:p w14:paraId="4260E41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仿宋_GB2312" w:hAnsi="仿宋_GB2312" w:eastAsia="仿宋_GB2312" w:cs="仿宋_GB2312"/>
          <w:sz w:val="32"/>
          <w:szCs w:val="32"/>
          <w:lang w:val="en-US" w:eastAsia="zh-CN"/>
        </w:rPr>
        <w:t>2.因轮</w:t>
      </w:r>
      <w:r>
        <w:rPr>
          <w:rFonts w:hint="default" w:ascii="仿宋_GB2312" w:hAnsi="仿宋_GB2312" w:eastAsia="仿宋_GB2312" w:cs="仿宋_GB2312"/>
          <w:b w:val="0"/>
          <w:bCs w:val="0"/>
          <w:kern w:val="2"/>
          <w:sz w:val="32"/>
          <w:szCs w:val="32"/>
          <w:lang w:val="en-US" w:eastAsia="zh-CN" w:bidi="ar-SA"/>
        </w:rPr>
        <w:t>岗、调动</w:t>
      </w:r>
      <w:r>
        <w:rPr>
          <w:rFonts w:hint="eastAsia" w:ascii="仿宋_GB2312" w:hAnsi="仿宋_GB2312" w:eastAsia="仿宋_GB2312" w:cs="仿宋_GB2312"/>
          <w:b w:val="0"/>
          <w:bCs w:val="0"/>
          <w:kern w:val="2"/>
          <w:sz w:val="32"/>
          <w:szCs w:val="32"/>
          <w:lang w:val="en-US" w:eastAsia="zh-CN" w:bidi="ar-SA"/>
        </w:rPr>
        <w:t>等</w:t>
      </w:r>
      <w:r>
        <w:rPr>
          <w:rFonts w:hint="default" w:ascii="仿宋_GB2312" w:hAnsi="仿宋_GB2312" w:eastAsia="仿宋_GB2312" w:cs="仿宋_GB2312"/>
          <w:b w:val="0"/>
          <w:bCs w:val="0"/>
          <w:kern w:val="2"/>
          <w:sz w:val="32"/>
          <w:szCs w:val="32"/>
          <w:lang w:val="en-US" w:eastAsia="zh-CN" w:bidi="ar-SA"/>
        </w:rPr>
        <w:t>因素使我单位绩效工作人员流动频繁，</w:t>
      </w:r>
      <w:r>
        <w:rPr>
          <w:rFonts w:hint="eastAsia" w:ascii="仿宋_GB2312" w:hAnsi="仿宋_GB2312" w:eastAsia="仿宋_GB2312" w:cs="仿宋_GB2312"/>
          <w:b w:val="0"/>
          <w:bCs w:val="0"/>
          <w:kern w:val="2"/>
          <w:sz w:val="32"/>
          <w:szCs w:val="32"/>
          <w:lang w:val="en-US" w:eastAsia="zh-CN" w:bidi="ar-SA"/>
        </w:rPr>
        <w:t>造成</w:t>
      </w:r>
      <w:r>
        <w:rPr>
          <w:rFonts w:hint="default" w:ascii="仿宋_GB2312" w:hAnsi="仿宋_GB2312" w:eastAsia="仿宋_GB2312" w:cs="仿宋_GB2312"/>
          <w:b w:val="0"/>
          <w:bCs w:val="0"/>
          <w:kern w:val="2"/>
          <w:sz w:val="32"/>
          <w:szCs w:val="32"/>
          <w:lang w:val="en-US" w:eastAsia="zh-CN" w:bidi="ar-SA"/>
        </w:rPr>
        <w:t>工作衔接不到位的情</w:t>
      </w:r>
      <w:r>
        <w:rPr>
          <w:rFonts w:hint="default" w:ascii="仿宋_GB2312" w:hAnsi="仿宋_GB2312" w:eastAsia="仿宋_GB2312" w:cs="仿宋_GB2312"/>
          <w:sz w:val="32"/>
          <w:szCs w:val="32"/>
          <w:lang w:val="en-US" w:eastAsia="zh-CN"/>
        </w:rPr>
        <w:t>况。</w:t>
      </w:r>
    </w:p>
    <w:p w14:paraId="7B3150FD">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135632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1.多进行有关绩效管理工作方面的培训。积极组织第三方开展绩效管理工作培训，进一步夯实业务基础，提高我单位绩效人员水平。</w:t>
      </w:r>
    </w:p>
    <w:p w14:paraId="067276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2.专门设定对绩效工作人员定职、定岗、定责等相关制度措施，进一步提升我单位绩效管理工作业务水平，扎实做好绩效管理工作。</w:t>
      </w:r>
    </w:p>
    <w:p w14:paraId="317D05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.进一步完善项目评价过程中有关数据和资料的收集、整理、审核及分析。项目启动时同步做好档案的归纳与整理，及时整理、收集、汇总，健全档案资料。项目后续管理有待进一步加强和跟踪。</w:t>
      </w:r>
    </w:p>
    <w:p w14:paraId="12CBA17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0"/>
          <w:szCs w:val="30"/>
          <w:highlight w:val="none"/>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.进一步</w:t>
      </w:r>
      <w:r>
        <w:rPr>
          <w:rFonts w:hint="default" w:ascii="仿宋_GB2312" w:hAnsi="仿宋_GB2312" w:eastAsia="仿宋_GB2312" w:cs="仿宋_GB2312"/>
          <w:b w:val="0"/>
          <w:bCs w:val="0"/>
          <w:kern w:val="2"/>
          <w:sz w:val="32"/>
          <w:szCs w:val="32"/>
          <w:lang w:val="en-US" w:eastAsia="zh-CN" w:bidi="ar-SA"/>
        </w:rPr>
        <w:t>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r>
        <w:rPr>
          <w:rFonts w:hint="default" w:ascii="仿宋_GB2312" w:hAnsi="仿宋_GB2312" w:eastAsia="仿宋_GB2312" w:cs="仿宋_GB2312"/>
          <w:sz w:val="32"/>
          <w:szCs w:val="32"/>
          <w:lang w:val="en-US" w:eastAsia="zh-CN"/>
        </w:rPr>
        <w:t>。</w:t>
      </w:r>
    </w:p>
    <w:p w14:paraId="545A9ED5">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569A3499">
      <w:pPr>
        <w:pStyle w:val="13"/>
        <w:spacing w:after="0" w:line="560" w:lineRule="exact"/>
        <w:ind w:left="0" w:leftChars="0" w:firstLine="640"/>
        <w:rPr>
          <w:rFonts w:hint="default" w:ascii="仿宋_GB2312" w:hAnsi="仿宋_GB2312" w:eastAsia="仿宋_GB2312" w:cs="仿宋_GB2312"/>
          <w:kern w:val="2"/>
          <w:sz w:val="32"/>
          <w:szCs w:val="32"/>
          <w:lang w:val="en-US" w:eastAsia="zh-Hans" w:bidi="ar-SA"/>
        </w:rPr>
      </w:pPr>
      <w:bookmarkStart w:id="3" w:name="_GoBack"/>
      <w:r>
        <w:rPr>
          <w:rFonts w:hint="default" w:ascii="仿宋_GB2312" w:hAnsi="仿宋_GB2312" w:eastAsia="仿宋_GB2312" w:cs="仿宋_GB2312"/>
          <w:b w:val="0"/>
          <w:bCs w:val="0"/>
          <w:kern w:val="2"/>
          <w:sz w:val="32"/>
          <w:szCs w:val="32"/>
          <w:lang w:val="en-US" w:eastAsia="zh-Hans" w:bidi="ar-SA"/>
        </w:rPr>
        <w:t>本项目无其他需说明的问题。</w:t>
      </w:r>
    </w:p>
    <w:p w14:paraId="428C88C4">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bookmarkEnd w:id="3"/>
    <w:p w14:paraId="30A5CAC2">
      <w:pPr>
        <w:pStyle w:val="13"/>
        <w:spacing w:after="0" w:line="560" w:lineRule="exact"/>
        <w:ind w:left="0" w:leftChars="0" w:firstLine="640"/>
        <w:rPr>
          <w:rFonts w:hint="default" w:ascii="Times New Roman" w:hAnsi="Times New Roman" w:eastAsia="仿宋_GB2312" w:cs="Times New Roman"/>
          <w:sz w:val="32"/>
          <w:szCs w:val="32"/>
        </w:rPr>
      </w:pPr>
    </w:p>
    <w:p w14:paraId="4A278240">
      <w:pPr>
        <w:pStyle w:val="13"/>
        <w:spacing w:after="0" w:line="560" w:lineRule="exact"/>
        <w:ind w:left="0" w:leftChars="0" w:firstLine="640"/>
        <w:rPr>
          <w:rFonts w:hint="default" w:ascii="Times New Roman" w:hAnsi="Times New Roman" w:eastAsia="仿宋_GB2312" w:cs="Times New Roman"/>
          <w:sz w:val="32"/>
          <w:szCs w:val="32"/>
        </w:rPr>
      </w:pPr>
    </w:p>
    <w:p w14:paraId="017E5E7D">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318E9CBB">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D5CB6A2">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关于解决国有资产办理不动产证件费用的请示、原县医院闲置资产作为党政机关办公用房维修项目、关于解决老政府等五处房产土地出让金及契税等相关过户费用项目绩效评价指标体系及综合评分表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33559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39E61E1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4430959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389109B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5D5283B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42F0C5E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74928B6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7DD4656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7E41C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2797019C">
            <w:pPr>
              <w:widowControl/>
              <w:spacing w:line="0" w:lineRule="atLeast"/>
              <w:jc w:val="center"/>
              <w:rPr>
                <w:rFonts w:hint="default" w:ascii="Times New Roman" w:hAnsi="Times New Roman" w:eastAsia="仿宋_GB2312" w:cs="Times New Roman"/>
                <w:color w:val="000000"/>
                <w:kern w:val="0"/>
                <w:sz w:val="18"/>
                <w:szCs w:val="18"/>
              </w:rPr>
            </w:pPr>
          </w:p>
          <w:p w14:paraId="730C2813">
            <w:pPr>
              <w:widowControl/>
              <w:spacing w:line="0" w:lineRule="atLeast"/>
              <w:jc w:val="center"/>
              <w:rPr>
                <w:rFonts w:hint="default" w:ascii="Times New Roman" w:hAnsi="Times New Roman" w:eastAsia="仿宋_GB2312" w:cs="Times New Roman"/>
                <w:color w:val="000000"/>
                <w:kern w:val="0"/>
                <w:sz w:val="18"/>
                <w:szCs w:val="18"/>
              </w:rPr>
            </w:pPr>
          </w:p>
          <w:p w14:paraId="5D087B33">
            <w:pPr>
              <w:widowControl/>
              <w:spacing w:line="0" w:lineRule="atLeast"/>
              <w:jc w:val="center"/>
              <w:rPr>
                <w:rFonts w:hint="default" w:ascii="Times New Roman" w:hAnsi="Times New Roman" w:eastAsia="仿宋_GB2312" w:cs="Times New Roman"/>
                <w:color w:val="000000"/>
                <w:kern w:val="0"/>
                <w:sz w:val="18"/>
                <w:szCs w:val="18"/>
              </w:rPr>
            </w:pPr>
          </w:p>
          <w:p w14:paraId="3D696772">
            <w:pPr>
              <w:widowControl/>
              <w:spacing w:line="0" w:lineRule="atLeast"/>
              <w:jc w:val="center"/>
              <w:rPr>
                <w:rFonts w:hint="default" w:ascii="Times New Roman" w:hAnsi="Times New Roman" w:eastAsia="仿宋_GB2312" w:cs="Times New Roman"/>
                <w:color w:val="000000"/>
                <w:kern w:val="0"/>
                <w:sz w:val="18"/>
                <w:szCs w:val="18"/>
              </w:rPr>
            </w:pPr>
          </w:p>
          <w:p w14:paraId="6356B3AF">
            <w:pPr>
              <w:widowControl/>
              <w:spacing w:line="0" w:lineRule="atLeast"/>
              <w:jc w:val="center"/>
              <w:rPr>
                <w:rFonts w:hint="default" w:ascii="Times New Roman" w:hAnsi="Times New Roman" w:eastAsia="仿宋_GB2312" w:cs="Times New Roman"/>
                <w:color w:val="000000"/>
                <w:kern w:val="0"/>
                <w:sz w:val="18"/>
                <w:szCs w:val="18"/>
              </w:rPr>
            </w:pPr>
          </w:p>
          <w:p w14:paraId="19A5E554">
            <w:pPr>
              <w:widowControl/>
              <w:spacing w:line="0" w:lineRule="atLeast"/>
              <w:jc w:val="center"/>
              <w:rPr>
                <w:rFonts w:hint="default" w:ascii="Times New Roman" w:hAnsi="Times New Roman" w:eastAsia="仿宋_GB2312" w:cs="Times New Roman"/>
                <w:color w:val="000000"/>
                <w:kern w:val="0"/>
                <w:sz w:val="18"/>
                <w:szCs w:val="18"/>
              </w:rPr>
            </w:pPr>
          </w:p>
          <w:p w14:paraId="52BC2A3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0384C1A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7F8ACF0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0D54FBC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6C6B4F3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1C0B92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3A9F052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5515AA78">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08A04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36FBFB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E5F62F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67FE9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0248CCC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19A4B85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441647D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0A3C16B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236FD8BD">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66AC2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952CFAF">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FEB53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1D0EAD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273B5D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15B2287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4AEBA8E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7F66853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5BC300D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1FE89378">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392B1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0D7A7DF7">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CF09E9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CF2542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3F1CCF6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036007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2BB1F78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04AC283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4D6F5A54">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5B0CB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27BDCB4C">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4ED4F4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3C244F2A">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525ED17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3CB2B4C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0D9409F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0B085B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7637D9A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6A14ECC">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19528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E942AC4">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12A0046">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6EFFDF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290206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63C9F3C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2789058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28A71CC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E2A5480">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4521A2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F463086">
            <w:pPr>
              <w:spacing w:line="0" w:lineRule="atLeast"/>
              <w:jc w:val="center"/>
              <w:rPr>
                <w:rFonts w:hint="default" w:ascii="Times New Roman" w:hAnsi="Times New Roman" w:eastAsia="仿宋_GB2312" w:cs="Times New Roman"/>
                <w:color w:val="000000"/>
                <w:kern w:val="0"/>
                <w:sz w:val="18"/>
                <w:szCs w:val="18"/>
              </w:rPr>
            </w:pPr>
          </w:p>
          <w:p w14:paraId="05886376">
            <w:pPr>
              <w:spacing w:line="0" w:lineRule="atLeast"/>
              <w:jc w:val="center"/>
              <w:rPr>
                <w:rFonts w:hint="default" w:ascii="Times New Roman" w:hAnsi="Times New Roman" w:eastAsia="仿宋_GB2312" w:cs="Times New Roman"/>
                <w:color w:val="000000"/>
                <w:kern w:val="0"/>
                <w:sz w:val="18"/>
                <w:szCs w:val="18"/>
              </w:rPr>
            </w:pPr>
          </w:p>
          <w:p w14:paraId="63207AA6">
            <w:pPr>
              <w:spacing w:line="0" w:lineRule="atLeast"/>
              <w:jc w:val="center"/>
              <w:rPr>
                <w:rFonts w:hint="default" w:ascii="Times New Roman" w:hAnsi="Times New Roman" w:eastAsia="仿宋_GB2312" w:cs="Times New Roman"/>
                <w:color w:val="000000"/>
                <w:kern w:val="0"/>
                <w:sz w:val="18"/>
                <w:szCs w:val="18"/>
              </w:rPr>
            </w:pPr>
          </w:p>
          <w:p w14:paraId="2CD61C6E">
            <w:pPr>
              <w:spacing w:line="0" w:lineRule="atLeast"/>
              <w:jc w:val="center"/>
              <w:rPr>
                <w:rFonts w:hint="default" w:ascii="Times New Roman" w:hAnsi="Times New Roman" w:eastAsia="仿宋_GB2312" w:cs="Times New Roman"/>
                <w:color w:val="000000"/>
                <w:kern w:val="0"/>
                <w:sz w:val="18"/>
                <w:szCs w:val="18"/>
              </w:rPr>
            </w:pPr>
          </w:p>
          <w:p w14:paraId="1FCDC4E8">
            <w:pPr>
              <w:spacing w:line="0" w:lineRule="atLeast"/>
              <w:jc w:val="center"/>
              <w:rPr>
                <w:rFonts w:hint="default" w:ascii="Times New Roman" w:hAnsi="Times New Roman" w:eastAsia="仿宋_GB2312" w:cs="Times New Roman"/>
                <w:color w:val="000000"/>
                <w:kern w:val="0"/>
                <w:sz w:val="18"/>
                <w:szCs w:val="18"/>
              </w:rPr>
            </w:pPr>
          </w:p>
          <w:p w14:paraId="04528DE9">
            <w:pPr>
              <w:spacing w:line="0" w:lineRule="atLeast"/>
              <w:jc w:val="center"/>
              <w:rPr>
                <w:rFonts w:hint="default" w:ascii="Times New Roman" w:hAnsi="Times New Roman" w:eastAsia="仿宋_GB2312" w:cs="Times New Roman"/>
                <w:color w:val="000000"/>
                <w:kern w:val="0"/>
                <w:sz w:val="18"/>
                <w:szCs w:val="18"/>
              </w:rPr>
            </w:pPr>
          </w:p>
          <w:p w14:paraId="3B6E0A00">
            <w:pPr>
              <w:spacing w:line="0" w:lineRule="atLeast"/>
              <w:jc w:val="center"/>
              <w:rPr>
                <w:rFonts w:hint="default" w:ascii="Times New Roman" w:hAnsi="Times New Roman" w:eastAsia="仿宋_GB2312" w:cs="Times New Roman"/>
                <w:color w:val="000000"/>
                <w:kern w:val="0"/>
                <w:sz w:val="18"/>
                <w:szCs w:val="18"/>
              </w:rPr>
            </w:pPr>
          </w:p>
          <w:p w14:paraId="7BE7F51D">
            <w:pPr>
              <w:spacing w:line="0" w:lineRule="atLeast"/>
              <w:jc w:val="center"/>
              <w:rPr>
                <w:rFonts w:hint="default" w:ascii="Times New Roman" w:hAnsi="Times New Roman" w:eastAsia="仿宋_GB2312" w:cs="Times New Roman"/>
                <w:color w:val="000000"/>
                <w:kern w:val="0"/>
                <w:sz w:val="18"/>
                <w:szCs w:val="18"/>
              </w:rPr>
            </w:pPr>
          </w:p>
          <w:p w14:paraId="155FE80A">
            <w:pPr>
              <w:spacing w:line="0" w:lineRule="atLeast"/>
              <w:jc w:val="center"/>
              <w:rPr>
                <w:rFonts w:hint="default" w:ascii="Times New Roman" w:hAnsi="Times New Roman" w:eastAsia="仿宋_GB2312" w:cs="Times New Roman"/>
                <w:color w:val="000000"/>
                <w:kern w:val="0"/>
                <w:sz w:val="18"/>
                <w:szCs w:val="18"/>
              </w:rPr>
            </w:pPr>
          </w:p>
          <w:p w14:paraId="20159571">
            <w:pPr>
              <w:spacing w:line="0" w:lineRule="atLeast"/>
              <w:jc w:val="center"/>
              <w:rPr>
                <w:rFonts w:hint="default" w:ascii="Times New Roman" w:hAnsi="Times New Roman" w:eastAsia="仿宋_GB2312" w:cs="Times New Roman"/>
                <w:color w:val="000000"/>
                <w:kern w:val="0"/>
                <w:sz w:val="18"/>
                <w:szCs w:val="18"/>
              </w:rPr>
            </w:pPr>
          </w:p>
          <w:p w14:paraId="20C2E6B7">
            <w:pPr>
              <w:spacing w:line="0" w:lineRule="atLeast"/>
              <w:jc w:val="center"/>
              <w:rPr>
                <w:rFonts w:hint="default" w:ascii="Times New Roman" w:hAnsi="Times New Roman" w:eastAsia="仿宋_GB2312" w:cs="Times New Roman"/>
                <w:color w:val="000000"/>
                <w:kern w:val="0"/>
                <w:sz w:val="18"/>
                <w:szCs w:val="18"/>
              </w:rPr>
            </w:pPr>
          </w:p>
          <w:p w14:paraId="595ED439">
            <w:pPr>
              <w:spacing w:line="0" w:lineRule="atLeast"/>
              <w:jc w:val="center"/>
              <w:rPr>
                <w:rFonts w:hint="default" w:ascii="Times New Roman" w:hAnsi="Times New Roman" w:eastAsia="仿宋_GB2312" w:cs="Times New Roman"/>
                <w:color w:val="000000"/>
                <w:kern w:val="0"/>
                <w:sz w:val="18"/>
                <w:szCs w:val="18"/>
              </w:rPr>
            </w:pPr>
          </w:p>
          <w:p w14:paraId="2EAF36E7">
            <w:pPr>
              <w:spacing w:line="0" w:lineRule="atLeast"/>
              <w:jc w:val="center"/>
              <w:rPr>
                <w:rFonts w:hint="default" w:ascii="Times New Roman" w:hAnsi="Times New Roman" w:eastAsia="仿宋_GB2312" w:cs="Times New Roman"/>
                <w:color w:val="000000"/>
                <w:kern w:val="0"/>
                <w:sz w:val="18"/>
                <w:szCs w:val="18"/>
              </w:rPr>
            </w:pPr>
          </w:p>
          <w:p w14:paraId="2B7C64F7">
            <w:pPr>
              <w:spacing w:line="0" w:lineRule="atLeast"/>
              <w:jc w:val="center"/>
              <w:rPr>
                <w:rFonts w:hint="default" w:ascii="Times New Roman" w:hAnsi="Times New Roman" w:eastAsia="仿宋_GB2312" w:cs="Times New Roman"/>
                <w:color w:val="000000"/>
                <w:kern w:val="0"/>
                <w:sz w:val="18"/>
                <w:szCs w:val="18"/>
              </w:rPr>
            </w:pPr>
          </w:p>
          <w:p w14:paraId="7B24FE4D">
            <w:pPr>
              <w:spacing w:line="0" w:lineRule="atLeast"/>
              <w:jc w:val="center"/>
              <w:rPr>
                <w:rFonts w:hint="default" w:ascii="Times New Roman" w:hAnsi="Times New Roman" w:eastAsia="仿宋_GB2312" w:cs="Times New Roman"/>
                <w:color w:val="000000"/>
                <w:kern w:val="0"/>
                <w:sz w:val="18"/>
                <w:szCs w:val="18"/>
              </w:rPr>
            </w:pPr>
          </w:p>
          <w:p w14:paraId="2C1227D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371365F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0931E9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4EC551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6D54B4B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007D46B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5D66214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424CA7D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473D6F7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B185D15">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11E863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094D253B">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62DE125">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D99E9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7B77972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1A594DB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56DE941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247CB61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2.18</w:t>
            </w:r>
          </w:p>
        </w:tc>
      </w:tr>
      <w:tr w14:paraId="1B3668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73CEDC3">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67DC27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3EB87C3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3124375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021DAF9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2EA8089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144F278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26B3EA3">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5C7851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1AD5713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4B3777E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2D7A4711">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4FBD25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24DF74C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3BA0B4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5AAE00B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0D5BD92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6347E949">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14:paraId="4572DC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091431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7292F4D">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CFE56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4821449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5527DA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56EA9A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6D79752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B1D1B28">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53C6D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0C61B0C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51E68F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3BCDDC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77DE4A4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74B5CDB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7A30697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17BB56FA">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0389E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61BD88A6">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8B3F14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5AF6530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38D18C4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138C1E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1CB2D8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0E21B2D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C6D4EC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73BAB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3F7D7F87">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AFC77C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77746B9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16303D0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18BBEDA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762A73B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305045B">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50DFA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C290DEA">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25C7C8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b/>
                <w:bCs/>
                <w:color w:val="000000"/>
                <w:kern w:val="0"/>
                <w:sz w:val="18"/>
                <w:szCs w:val="18"/>
              </w:rPr>
              <w:t>产出成本</w:t>
            </w:r>
          </w:p>
        </w:tc>
        <w:tc>
          <w:tcPr>
            <w:tcW w:w="1071" w:type="dxa"/>
            <w:shd w:val="clear" w:color="auto" w:fill="FFFFFF"/>
            <w:vAlign w:val="center"/>
          </w:tcPr>
          <w:p w14:paraId="4F7EF7F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3F67C2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037BDDA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7EDD4AF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5A738498">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62399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6C7A972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51EA29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07CEB8C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177C7D1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3721651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5127869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6283CA26">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0F089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0890FC3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70982F9">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7D88A5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b/>
                <w:bCs/>
                <w:color w:val="000000"/>
                <w:kern w:val="0"/>
                <w:sz w:val="18"/>
                <w:szCs w:val="18"/>
              </w:rPr>
              <w:t>满意度</w:t>
            </w:r>
          </w:p>
        </w:tc>
        <w:tc>
          <w:tcPr>
            <w:tcW w:w="1725" w:type="dxa"/>
            <w:shd w:val="clear" w:color="000000" w:fill="FFFFFF"/>
            <w:vAlign w:val="center"/>
          </w:tcPr>
          <w:p w14:paraId="1E2EA3F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029B9A1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259335F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3C714C7">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437DFF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4499DB84">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694833E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6B4BB742">
            <w:pPr>
              <w:widowControl/>
              <w:spacing w:line="0" w:lineRule="atLeast"/>
              <w:jc w:val="center"/>
              <w:rPr>
                <w:rFonts w:hint="default" w:ascii="Times New Roman" w:hAnsi="Times New Roman" w:eastAsia="仿宋_GB2312" w:cs="Times New Roman"/>
                <w:b/>
                <w:bCs/>
                <w:color w:val="000000"/>
                <w:kern w:val="0"/>
                <w:sz w:val="18"/>
                <w:szCs w:val="18"/>
                <w:highlight w:val="yellow"/>
                <w:lang w:val="en-US" w:eastAsia="zh-CN"/>
              </w:rPr>
            </w:pPr>
            <w:r>
              <w:rPr>
                <w:rFonts w:hint="eastAsia" w:ascii="Times New Roman" w:hAnsi="Times New Roman" w:eastAsia="仿宋_GB2312" w:cs="Times New Roman"/>
                <w:b/>
                <w:bCs/>
                <w:color w:val="000000"/>
                <w:kern w:val="0"/>
                <w:sz w:val="18"/>
                <w:szCs w:val="18"/>
                <w:lang w:val="en-US" w:eastAsia="zh-CN"/>
              </w:rPr>
              <w:t>98.18</w:t>
            </w:r>
          </w:p>
        </w:tc>
      </w:tr>
    </w:tbl>
    <w:p w14:paraId="54E22295">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0C7A62E4">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1F3C880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14:paraId="38FB8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B743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51824F3">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关于解决国有资产办理不动产证件费用的请示、原县医院闲置资产作为党政机关办公用房维修项目、关于解决老政府等五处房产土地出让金及契税等相关过户费用</w:t>
            </w:r>
          </w:p>
        </w:tc>
      </w:tr>
      <w:tr w14:paraId="25229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BF1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515B8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奇台县人民政府办公室（县信访局.县扶贫开发办公室）</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9734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07D92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奇台县人民政府办公室（县信访局.县扶贫开发办公室）</w:t>
            </w:r>
          </w:p>
        </w:tc>
      </w:tr>
      <w:tr w14:paraId="5DD7D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ACAA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B77E8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95FC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58D9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ED5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ACBE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69CFA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57A2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1363A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CE9A4">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7A49F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7A7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6221.29</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C33C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6221.29</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FE6C0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5089.51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A424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E939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81.81%</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DBA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5.45</w:t>
            </w:r>
          </w:p>
        </w:tc>
      </w:tr>
      <w:tr w14:paraId="6C91C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BF57D">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ED6D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CA1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6221.29</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39AB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6221.29</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8B80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5089.51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B079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77719">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7D95A">
            <w:pPr>
              <w:jc w:val="center"/>
              <w:rPr>
                <w:rFonts w:hint="eastAsia" w:ascii="仿宋_GB2312" w:hAnsi="仿宋_GB2312" w:eastAsia="仿宋_GB2312" w:cs="仿宋_GB2312"/>
                <w:i w:val="0"/>
                <w:iCs w:val="0"/>
                <w:color w:val="000000"/>
                <w:sz w:val="18"/>
                <w:szCs w:val="18"/>
                <w:u w:val="none"/>
              </w:rPr>
            </w:pPr>
          </w:p>
        </w:tc>
      </w:tr>
      <w:tr w14:paraId="64598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B4A9C">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14:paraId="662CA13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2A304AB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0555175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16223A81">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B52D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3D90F5">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5D7F6">
            <w:pPr>
              <w:jc w:val="center"/>
              <w:rPr>
                <w:rFonts w:hint="eastAsia" w:ascii="仿宋_GB2312" w:hAnsi="仿宋_GB2312" w:eastAsia="仿宋_GB2312" w:cs="仿宋_GB2312"/>
                <w:i w:val="0"/>
                <w:iCs w:val="0"/>
                <w:color w:val="000000"/>
                <w:sz w:val="18"/>
                <w:szCs w:val="18"/>
                <w:u w:val="none"/>
              </w:rPr>
            </w:pPr>
          </w:p>
        </w:tc>
      </w:tr>
      <w:tr w14:paraId="0E1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151C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62E640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33A51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47834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EFA38">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70DF1A16">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根据第十八届人民政府第49次常务会议研究将原县医院闲置楼进行整体维修及调整资产做党机关综合办公大楼，维修费用1337.25万元；根据奇台县第十八届人民政府第4次常务会议纪要（奇政阅〔2021〕27号）、《关于处置党政机关失业单位经营性房产及闲置公有房产的批复》和奇台县人民政府会议纪要（奇政阅〔2024〕7号）相关要求。机关事务服务中心对相关房产进行办理。房产不动产证、土地出让金、契税等相关费用4884.04万元。</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631707">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截止2024年12月31日，此项目完成房产土地出让金及契税5处、新增设院区大门2个、维修办公用房维修数量3处、土地出让金及契税使用效率达到100%、工程验收合格、维修完工及时率完成率100%，房屋维修费用支出1337.15万元；不动产国有资产费用支出3752.36万。元。</w:t>
            </w:r>
          </w:p>
        </w:tc>
      </w:tr>
      <w:tr w14:paraId="35358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6B87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BC7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DD06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29C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779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F1F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3511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BFA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475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82D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3C63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9FC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386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51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0B5CE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4F2BF">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4CD8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706C60F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1C609990">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房产土地出让金及契税</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FB5F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&gt;=5处</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12E6">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6ED14">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9470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5FC3D">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D645">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701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=5处</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9E1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47D69">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A037">
            <w:pPr>
              <w:jc w:val="center"/>
              <w:rPr>
                <w:rFonts w:hint="eastAsia" w:ascii="仿宋_GB2312" w:hAnsi="仿宋_GB2312" w:eastAsia="仿宋_GB2312" w:cs="仿宋_GB2312"/>
                <w:i w:val="0"/>
                <w:iCs w:val="0"/>
                <w:color w:val="000000"/>
                <w:sz w:val="18"/>
                <w:szCs w:val="18"/>
                <w:u w:val="none"/>
              </w:rPr>
            </w:pPr>
          </w:p>
        </w:tc>
      </w:tr>
      <w:tr w14:paraId="6A46C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95534">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FF29D">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FA1A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019C">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增设原县医院院区大门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646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&gt;=2个</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3396">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DA344">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972A">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694A">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2A25">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3FEC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=2个</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9CDF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1DEE">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80DCD">
            <w:pPr>
              <w:jc w:val="center"/>
              <w:rPr>
                <w:rFonts w:hint="eastAsia" w:ascii="仿宋_GB2312" w:hAnsi="仿宋_GB2312" w:eastAsia="仿宋_GB2312" w:cs="仿宋_GB2312"/>
                <w:i w:val="0"/>
                <w:iCs w:val="0"/>
                <w:color w:val="000000"/>
                <w:sz w:val="18"/>
                <w:szCs w:val="18"/>
                <w:u w:val="none"/>
              </w:rPr>
            </w:pPr>
          </w:p>
        </w:tc>
      </w:tr>
      <w:tr w14:paraId="6611A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63749">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4314C">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7753BE4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20820">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办公用房维修数量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72C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&gt;=3处</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8106D">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EA10">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359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B787">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D35D">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CF60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=3处</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7AD3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C3C8D">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9E74">
            <w:pPr>
              <w:jc w:val="center"/>
              <w:rPr>
                <w:rFonts w:hint="eastAsia" w:ascii="仿宋_GB2312" w:hAnsi="仿宋_GB2312" w:eastAsia="仿宋_GB2312" w:cs="仿宋_GB2312"/>
                <w:b/>
                <w:bCs/>
                <w:i w:val="0"/>
                <w:iCs w:val="0"/>
                <w:color w:val="000000"/>
                <w:sz w:val="18"/>
                <w:szCs w:val="18"/>
                <w:u w:val="none"/>
              </w:rPr>
            </w:pPr>
          </w:p>
        </w:tc>
      </w:tr>
      <w:tr w14:paraId="629F2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51AF5">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B915B">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3B78E2B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3131C">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土地出让金及契税使用效率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44F6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3B54">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8A29">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424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EDF7">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74B73">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3948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355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C36B">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9D107">
            <w:pPr>
              <w:jc w:val="center"/>
              <w:rPr>
                <w:rFonts w:hint="eastAsia" w:ascii="仿宋_GB2312" w:hAnsi="仿宋_GB2312" w:eastAsia="仿宋_GB2312" w:cs="仿宋_GB2312"/>
                <w:b/>
                <w:bCs/>
                <w:i w:val="0"/>
                <w:iCs w:val="0"/>
                <w:color w:val="000000"/>
                <w:sz w:val="18"/>
                <w:szCs w:val="18"/>
                <w:u w:val="none"/>
              </w:rPr>
            </w:pPr>
          </w:p>
        </w:tc>
      </w:tr>
      <w:tr w14:paraId="219BE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E6F3">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3CB7">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52FE51F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8A508">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工程验收合格率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862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5A0A0">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2DEB">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DAEC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80F16">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EC59E">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C4680">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171A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7972">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12AD">
            <w:pPr>
              <w:jc w:val="center"/>
              <w:rPr>
                <w:rFonts w:hint="eastAsia" w:ascii="仿宋_GB2312" w:hAnsi="仿宋_GB2312" w:eastAsia="仿宋_GB2312" w:cs="仿宋_GB2312"/>
                <w:b/>
                <w:bCs/>
                <w:i w:val="0"/>
                <w:iCs w:val="0"/>
                <w:color w:val="000000"/>
                <w:sz w:val="18"/>
                <w:szCs w:val="18"/>
                <w:u w:val="none"/>
              </w:rPr>
            </w:pPr>
          </w:p>
        </w:tc>
      </w:tr>
      <w:tr w14:paraId="4EDAF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66727">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8A8C1">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08E39C7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41FF">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维修完工及时率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0595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5D517">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B6C1">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0265">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7AA3E">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682B">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C5DEE">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AA4F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B41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C46FA">
            <w:pPr>
              <w:jc w:val="center"/>
              <w:rPr>
                <w:rFonts w:hint="eastAsia" w:ascii="仿宋_GB2312" w:hAnsi="仿宋_GB2312" w:eastAsia="仿宋_GB2312" w:cs="仿宋_GB2312"/>
                <w:b/>
                <w:bCs/>
                <w:i w:val="0"/>
                <w:iCs w:val="0"/>
                <w:color w:val="000000"/>
                <w:sz w:val="18"/>
                <w:szCs w:val="18"/>
                <w:u w:val="none"/>
              </w:rPr>
            </w:pPr>
          </w:p>
        </w:tc>
      </w:tr>
      <w:tr w14:paraId="2E433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29E2A">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vAlign w:val="center"/>
          </w:tcPr>
          <w:p w14:paraId="6822FD6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316ABF1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E782">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房屋维修费用支出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5AF3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&lt;=1337.15万元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7595FC4F">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7FC69">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F4E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32B1111E">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16AD">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D1143">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=1337.15万元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563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86CF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AE87">
            <w:pPr>
              <w:jc w:val="center"/>
              <w:rPr>
                <w:rFonts w:hint="eastAsia" w:ascii="仿宋_GB2312" w:hAnsi="仿宋_GB2312" w:eastAsia="仿宋_GB2312" w:cs="仿宋_GB2312"/>
                <w:i w:val="0"/>
                <w:iCs w:val="0"/>
                <w:color w:val="000000"/>
                <w:sz w:val="18"/>
                <w:szCs w:val="18"/>
                <w:u w:val="none"/>
              </w:rPr>
            </w:pPr>
          </w:p>
        </w:tc>
      </w:tr>
      <w:tr w14:paraId="08515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728BB">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14:paraId="334A9C20">
            <w:pPr>
              <w:jc w:val="center"/>
              <w:rPr>
                <w:rFonts w:hint="eastAsia" w:ascii="仿宋_GB2312" w:hAnsi="仿宋_GB2312" w:eastAsia="仿宋_GB2312" w:cs="仿宋_GB2312"/>
                <w:i w:val="0"/>
                <w:iCs w:val="0"/>
                <w:color w:val="000000"/>
                <w:sz w:val="18"/>
                <w:szCs w:val="18"/>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1982366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514D">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不动产国有资产费用支出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146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&lt;=3752.36万元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7B2482DF">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BB8A">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2F8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50253110">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5649">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266F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=3752.36万元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597A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9563">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EB5AD">
            <w:pPr>
              <w:jc w:val="center"/>
              <w:rPr>
                <w:rFonts w:hint="eastAsia" w:ascii="仿宋_GB2312" w:hAnsi="仿宋_GB2312" w:eastAsia="仿宋_GB2312" w:cs="仿宋_GB2312"/>
                <w:i w:val="0"/>
                <w:iCs w:val="0"/>
                <w:color w:val="000000"/>
                <w:sz w:val="18"/>
                <w:szCs w:val="18"/>
                <w:u w:val="none"/>
              </w:rPr>
            </w:pPr>
          </w:p>
        </w:tc>
      </w:tr>
      <w:tr w14:paraId="7DA11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4A6CD">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47F6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03F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4075">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BD74F">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49B30">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3B229">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402AC">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7CA1">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AE10">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70A7C">
            <w:pPr>
              <w:jc w:val="center"/>
              <w:rPr>
                <w:rFonts w:hint="eastAsia" w:ascii="仿宋_GB2312" w:hAnsi="仿宋_GB2312" w:eastAsia="仿宋_GB2312" w:cs="仿宋_GB2312"/>
                <w:i w:val="0"/>
                <w:iCs w:val="0"/>
                <w:color w:val="000000"/>
                <w:kern w:val="2"/>
                <w:sz w:val="18"/>
                <w:szCs w:val="18"/>
                <w:u w:val="none"/>
                <w:lang w:val="en-US" w:eastAsia="zh-CN" w:bidi="ar-SA"/>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B2FC8">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AD734">
            <w:pPr>
              <w:jc w:val="center"/>
              <w:rPr>
                <w:rFonts w:hint="eastAsia" w:ascii="仿宋_GB2312" w:hAnsi="仿宋_GB2312" w:eastAsia="仿宋_GB2312" w:cs="仿宋_GB2312"/>
                <w:i w:val="0"/>
                <w:iCs w:val="0"/>
                <w:color w:val="000000"/>
                <w:kern w:val="2"/>
                <w:sz w:val="18"/>
                <w:szCs w:val="18"/>
                <w:u w:val="none"/>
                <w:lang w:val="en-US" w:eastAsia="zh-CN" w:bidi="ar-SA"/>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BDE12">
            <w:pPr>
              <w:jc w:val="center"/>
              <w:rPr>
                <w:rFonts w:hint="eastAsia" w:ascii="仿宋_GB2312" w:hAnsi="仿宋_GB2312" w:eastAsia="仿宋_GB2312" w:cs="仿宋_GB2312"/>
                <w:i w:val="0"/>
                <w:iCs w:val="0"/>
                <w:color w:val="000000"/>
                <w:sz w:val="18"/>
                <w:szCs w:val="18"/>
                <w:u w:val="none"/>
              </w:rPr>
            </w:pPr>
          </w:p>
        </w:tc>
      </w:tr>
      <w:tr w14:paraId="5D1F1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91D4B">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7E2CE">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6AC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4004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有效防止国有资产流失</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659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有效防止</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70C79">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F411">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647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84C46">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D6B8F">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F48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有效防止</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CD2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401AC">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30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43252">
            <w:pPr>
              <w:jc w:val="center"/>
              <w:rPr>
                <w:rFonts w:hint="eastAsia" w:ascii="仿宋_GB2312" w:hAnsi="仿宋_GB2312" w:eastAsia="仿宋_GB2312" w:cs="仿宋_GB2312"/>
                <w:i w:val="0"/>
                <w:iCs w:val="0"/>
                <w:color w:val="000000"/>
                <w:sz w:val="18"/>
                <w:szCs w:val="18"/>
                <w:u w:val="none"/>
              </w:rPr>
            </w:pPr>
          </w:p>
        </w:tc>
      </w:tr>
      <w:tr w14:paraId="4730C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672E1">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42344">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F00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2784">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E934A">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CE77">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6807">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190C">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90EB1">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7F209">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A39F">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8ABD6">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73972">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983B">
            <w:pPr>
              <w:jc w:val="center"/>
              <w:rPr>
                <w:rFonts w:hint="eastAsia" w:ascii="仿宋_GB2312" w:hAnsi="仿宋_GB2312" w:eastAsia="仿宋_GB2312" w:cs="仿宋_GB2312"/>
                <w:i w:val="0"/>
                <w:iCs w:val="0"/>
                <w:color w:val="000000"/>
                <w:sz w:val="18"/>
                <w:szCs w:val="18"/>
                <w:u w:val="none"/>
              </w:rPr>
            </w:pPr>
          </w:p>
        </w:tc>
      </w:tr>
      <w:tr w14:paraId="0C1C0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88DC8">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7FD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570D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AC10">
            <w:pPr>
              <w:jc w:val="left"/>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F432">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07D45">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5110">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1B5AD">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A7B9">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0621">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76430">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098D">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5D272">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C54E">
            <w:pPr>
              <w:jc w:val="center"/>
              <w:rPr>
                <w:rFonts w:hint="eastAsia" w:ascii="仿宋_GB2312" w:hAnsi="仿宋_GB2312" w:eastAsia="仿宋_GB2312" w:cs="仿宋_GB2312"/>
                <w:i w:val="0"/>
                <w:iCs w:val="0"/>
                <w:color w:val="000000"/>
                <w:sz w:val="18"/>
                <w:szCs w:val="18"/>
                <w:u w:val="none"/>
              </w:rPr>
            </w:pPr>
          </w:p>
        </w:tc>
      </w:tr>
      <w:tr w14:paraId="2E49F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542F1DF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2DD8C">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14:paraId="4F370968">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F523A">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37C2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FCC8">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05FB">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40AEA">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2B23">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74E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95.45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2978D">
            <w:pPr>
              <w:rPr>
                <w:rFonts w:hint="eastAsia" w:ascii="仿宋_GB2312" w:hAnsi="仿宋_GB2312" w:eastAsia="仿宋_GB2312" w:cs="仿宋_GB2312"/>
                <w:i w:val="0"/>
                <w:iCs w:val="0"/>
                <w:color w:val="000000"/>
                <w:sz w:val="18"/>
                <w:szCs w:val="18"/>
                <w:u w:val="none"/>
              </w:rPr>
            </w:pPr>
          </w:p>
        </w:tc>
      </w:tr>
    </w:tbl>
    <w:p w14:paraId="5D1A496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cs="Times New Roman"/>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DB505B5">
        <w:pPr>
          <w:pStyle w:val="7"/>
          <w:jc w:val="center"/>
        </w:pPr>
        <w:r>
          <w:fldChar w:fldCharType="begin"/>
        </w:r>
        <w:r>
          <w:instrText xml:space="preserve">PAGE   \* MERGEFORMAT</w:instrText>
        </w:r>
        <w:r>
          <w:fldChar w:fldCharType="separate"/>
        </w:r>
        <w:r>
          <w:rPr>
            <w:lang w:val="zh-CN"/>
          </w:rPr>
          <w:t>13</w:t>
        </w:r>
        <w:r>
          <w:fldChar w:fldCharType="end"/>
        </w:r>
      </w:p>
    </w:sdtContent>
  </w:sdt>
  <w:p w14:paraId="38224AB9">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6F5758"/>
    <w:rsid w:val="03EC461B"/>
    <w:rsid w:val="06D118A6"/>
    <w:rsid w:val="06FD269B"/>
    <w:rsid w:val="071A5591"/>
    <w:rsid w:val="07397B77"/>
    <w:rsid w:val="09580EF9"/>
    <w:rsid w:val="0AD007F3"/>
    <w:rsid w:val="0D082A6E"/>
    <w:rsid w:val="0D542EEE"/>
    <w:rsid w:val="0E3C619F"/>
    <w:rsid w:val="0F6273CA"/>
    <w:rsid w:val="100F38EC"/>
    <w:rsid w:val="11170296"/>
    <w:rsid w:val="11D1513C"/>
    <w:rsid w:val="12C66037"/>
    <w:rsid w:val="12CD1ABC"/>
    <w:rsid w:val="13471461"/>
    <w:rsid w:val="13B90F01"/>
    <w:rsid w:val="14780BF1"/>
    <w:rsid w:val="155E4C4D"/>
    <w:rsid w:val="1712617D"/>
    <w:rsid w:val="181066D2"/>
    <w:rsid w:val="1C671E73"/>
    <w:rsid w:val="1D322C47"/>
    <w:rsid w:val="22290DFD"/>
    <w:rsid w:val="23616034"/>
    <w:rsid w:val="23696C97"/>
    <w:rsid w:val="24480FA2"/>
    <w:rsid w:val="25227A45"/>
    <w:rsid w:val="26AC3A6A"/>
    <w:rsid w:val="2AAC432F"/>
    <w:rsid w:val="2B510E65"/>
    <w:rsid w:val="2B9D7E25"/>
    <w:rsid w:val="2C7C7A3B"/>
    <w:rsid w:val="2F364819"/>
    <w:rsid w:val="2FD63906"/>
    <w:rsid w:val="343F598D"/>
    <w:rsid w:val="35475C85"/>
    <w:rsid w:val="37215DAE"/>
    <w:rsid w:val="38CA40DD"/>
    <w:rsid w:val="395F2B56"/>
    <w:rsid w:val="3B482032"/>
    <w:rsid w:val="3BBA0580"/>
    <w:rsid w:val="3BECE841"/>
    <w:rsid w:val="3CDE204C"/>
    <w:rsid w:val="3D363C36"/>
    <w:rsid w:val="3E9C3F6D"/>
    <w:rsid w:val="3FF7797D"/>
    <w:rsid w:val="418E44D4"/>
    <w:rsid w:val="42F16CBA"/>
    <w:rsid w:val="46690BD8"/>
    <w:rsid w:val="49F70BF1"/>
    <w:rsid w:val="4B4340EE"/>
    <w:rsid w:val="4BA9275B"/>
    <w:rsid w:val="4BD90440"/>
    <w:rsid w:val="503D507A"/>
    <w:rsid w:val="51FA74D0"/>
    <w:rsid w:val="52AA4A52"/>
    <w:rsid w:val="539D3AD1"/>
    <w:rsid w:val="557C1DB9"/>
    <w:rsid w:val="59943D66"/>
    <w:rsid w:val="59E051FD"/>
    <w:rsid w:val="59E6355E"/>
    <w:rsid w:val="5A9D30EE"/>
    <w:rsid w:val="5B6633A7"/>
    <w:rsid w:val="5B821531"/>
    <w:rsid w:val="5BFF6039"/>
    <w:rsid w:val="5D76A616"/>
    <w:rsid w:val="5D7F20B9"/>
    <w:rsid w:val="5DAC7D0E"/>
    <w:rsid w:val="5F98B5AF"/>
    <w:rsid w:val="5FFE8511"/>
    <w:rsid w:val="5FFEACE2"/>
    <w:rsid w:val="609D5BF6"/>
    <w:rsid w:val="61073070"/>
    <w:rsid w:val="61B9080E"/>
    <w:rsid w:val="61DF3FED"/>
    <w:rsid w:val="62606CE8"/>
    <w:rsid w:val="63360671"/>
    <w:rsid w:val="642B176B"/>
    <w:rsid w:val="643EE26D"/>
    <w:rsid w:val="65272824"/>
    <w:rsid w:val="656019A0"/>
    <w:rsid w:val="65D8426A"/>
    <w:rsid w:val="65F242EE"/>
    <w:rsid w:val="666D7E19"/>
    <w:rsid w:val="670E38C4"/>
    <w:rsid w:val="68376930"/>
    <w:rsid w:val="68F91E38"/>
    <w:rsid w:val="6B3158B9"/>
    <w:rsid w:val="6BA02A3F"/>
    <w:rsid w:val="6C105349"/>
    <w:rsid w:val="6C1E5A53"/>
    <w:rsid w:val="6CF52FEA"/>
    <w:rsid w:val="6F5C41AC"/>
    <w:rsid w:val="6FAF6C78"/>
    <w:rsid w:val="716167CC"/>
    <w:rsid w:val="718A7AD1"/>
    <w:rsid w:val="72A44BC2"/>
    <w:rsid w:val="7317C656"/>
    <w:rsid w:val="734ED73F"/>
    <w:rsid w:val="73801C70"/>
    <w:rsid w:val="73C82B32"/>
    <w:rsid w:val="73F94DAE"/>
    <w:rsid w:val="74220495"/>
    <w:rsid w:val="747D1B6F"/>
    <w:rsid w:val="749E5641"/>
    <w:rsid w:val="76271066"/>
    <w:rsid w:val="76E35F71"/>
    <w:rsid w:val="770B559A"/>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2691</Words>
  <Characters>2779</Characters>
  <Lines>58</Lines>
  <Paragraphs>16</Paragraphs>
  <TotalTime>12</TotalTime>
  <ScaleCrop>false</ScaleCrop>
  <LinksUpToDate>false</LinksUpToDate>
  <CharactersWithSpaces>2779</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2025-05-12T08:43:10Z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18A863104BED4C77B0A5CA03AB332A03_13</vt:lpwstr>
  </property>
  <property fmtid="{D5CDD505-2E9C-101B-9397-08002B2CF9AE}" pid="4" name="KSOTemplateDocerSaveRecord">
    <vt:lpwstr>eyJoZGlkIjoiZGU2OWVkNjVhNTc2NTNjNjZhOGJlZWQ2NTc3Njc5NGQiLCJ1c2VySWQiOiIzODQzMzMyOTcifQ==</vt:lpwstr>
  </property>
</Properties>
</file>