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eastAsia" w:eastAsia="方正小标宋_GBK" w:cs="Times New Roman"/>
          <w:kern w:val="0"/>
          <w:sz w:val="48"/>
          <w:szCs w:val="48"/>
          <w:highlight w:val="none"/>
          <w:lang w:val="en-US" w:eastAsia="zh-CN"/>
        </w:rPr>
        <w:t>2024年人大代表和代表之家活动费</w:t>
      </w:r>
      <w:r>
        <w:rPr>
          <w:rFonts w:hint="default" w:ascii="Times New Roman" w:hAnsi="Times New Roman" w:eastAsia="方正小标宋_GBK" w:cs="Times New Roman"/>
          <w:kern w:val="0"/>
          <w:sz w:val="48"/>
          <w:szCs w:val="48"/>
          <w:highlight w:val="none"/>
        </w:rPr>
        <w:t>项目支出绩效评价报告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2"/>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firstLine="1440" w:firstLineChars="400"/>
        <w:jc w:val="left"/>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项目名称：</w:t>
      </w:r>
      <w:r>
        <w:rPr>
          <w:rFonts w:hint="eastAsia" w:ascii="Times New Roman" w:hAnsi="Times New Roman" w:eastAsia="仿宋_GB2312" w:cs="Times New Roman"/>
          <w:kern w:val="0"/>
          <w:sz w:val="36"/>
          <w:szCs w:val="36"/>
          <w:highlight w:val="none"/>
          <w:lang w:val="en-US" w:eastAsia="zh-CN"/>
        </w:rPr>
        <w:t>2024年人大代表和代表之家活动费</w:t>
      </w:r>
    </w:p>
    <w:p>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奇台县人大常委会办公室</w:t>
      </w:r>
    </w:p>
    <w:p>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eastAsia="zh-CN"/>
        </w:rPr>
        <w:t>奇台县人民代表大会常务委员会</w:t>
      </w:r>
    </w:p>
    <w:p>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任峻</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6</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pStyle w:val="2"/>
        <w:numPr>
          <w:ilvl w:val="0"/>
          <w:numId w:val="0"/>
        </w:numPr>
        <w:spacing w:before="0" w:after="0" w:line="560" w:lineRule="exact"/>
        <w:ind w:firstLine="624" w:firstLineChars="200"/>
        <w:jc w:val="both"/>
        <w:rPr>
          <w:rStyle w:val="16"/>
          <w:rFonts w:hint="eastAsia" w:ascii="仿宋_GB2312" w:hAnsi="仿宋_GB2312" w:eastAsia="仿宋_GB2312" w:cs="仿宋_GB2312"/>
          <w:b w:val="0"/>
          <w:bCs/>
          <w:spacing w:val="-4"/>
          <w:kern w:val="28"/>
          <w:sz w:val="32"/>
          <w:szCs w:val="32"/>
          <w:highlight w:val="none"/>
          <w:lang w:val="en-US" w:eastAsia="zh-CN" w:bidi="ar-SA"/>
        </w:rPr>
      </w:pPr>
      <w:r>
        <w:rPr>
          <w:rStyle w:val="16"/>
          <w:rFonts w:hint="default" w:ascii="仿宋_GB2312" w:hAnsi="仿宋_GB2312" w:eastAsia="仿宋_GB2312" w:cs="仿宋_GB2312"/>
          <w:b w:val="0"/>
          <w:bCs/>
          <w:spacing w:val="-4"/>
          <w:kern w:val="28"/>
          <w:sz w:val="32"/>
          <w:szCs w:val="32"/>
          <w:highlight w:val="none"/>
          <w:lang w:val="en-US" w:eastAsia="zh-CN" w:bidi="ar-SA"/>
        </w:rPr>
        <w:t>为认真贯彻落实自治区党委人大工作会议精神，为各级人大代表依法执行代表职务提供支持和保障，充分发挥人大代表作用，根据自治区人大党委会办公厅《关于印发&lt;新疆维吾尔自治区人大代表活动经费管理使用办法&gt;的通知》（新人常办电[2020]177号）和自治区财政厅《关于调整各级人大代表活动经费标准及人大代表“家室站”补助经费标准的通知》（新财行[20221245号）相关要求，依据地方组织法和代</w:t>
      </w:r>
      <w:r>
        <w:rPr>
          <w:rStyle w:val="16"/>
          <w:rFonts w:hint="eastAsia" w:ascii="仿宋_GB2312" w:hAnsi="仿宋_GB2312" w:eastAsia="仿宋_GB2312" w:cs="仿宋_GB2312"/>
          <w:b w:val="0"/>
          <w:bCs/>
          <w:spacing w:val="-4"/>
          <w:kern w:val="28"/>
          <w:sz w:val="32"/>
          <w:szCs w:val="32"/>
          <w:highlight w:val="none"/>
          <w:lang w:val="en-US" w:eastAsia="zh-CN" w:bidi="ar-SA"/>
        </w:rPr>
        <w:t>表法有关规定，结合昌吉州实际，制定人大代表和代表之家活动经费标准。</w:t>
      </w:r>
    </w:p>
    <w:p>
      <w:pPr>
        <w:pStyle w:val="2"/>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pacing w:line="560" w:lineRule="exact"/>
        <w:ind w:firstLine="600" w:firstLineChars="200"/>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0"/>
          <w:szCs w:val="30"/>
          <w:highlight w:val="none"/>
          <w:lang w:val="en-US" w:eastAsia="zh-CN"/>
        </w:rPr>
        <w:t>项目主要内容：</w:t>
      </w:r>
      <w:r>
        <w:rPr>
          <w:rStyle w:val="16"/>
          <w:rFonts w:hint="eastAsia" w:ascii="仿宋_GB2312" w:hAnsi="仿宋_GB2312" w:eastAsia="仿宋_GB2312" w:cs="仿宋_GB2312"/>
          <w:b w:val="0"/>
          <w:spacing w:val="-4"/>
          <w:kern w:val="28"/>
          <w:sz w:val="32"/>
          <w:szCs w:val="32"/>
          <w:highlight w:val="none"/>
          <w:lang w:val="en-US" w:eastAsia="zh-CN" w:bidi="ar-SA"/>
        </w:rPr>
        <w:t>经费主要用于人大代表开展三查（察）活动（视察、调查、执法检查）及“七带头十个一”活动，加强人大代表活动阵地建设。</w:t>
      </w:r>
    </w:p>
    <w:p>
      <w:pPr>
        <w:spacing w:line="560" w:lineRule="exact"/>
        <w:ind w:firstLine="640" w:firstLineChars="200"/>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2"/>
          <w:szCs w:val="32"/>
          <w:highlight w:val="none"/>
        </w:rPr>
        <w:t>项目实施情况：</w:t>
      </w:r>
      <w:r>
        <w:rPr>
          <w:rFonts w:hint="eastAsia" w:eastAsia="仿宋_GB2312"/>
          <w:sz w:val="32"/>
          <w:szCs w:val="32"/>
          <w:highlight w:val="none"/>
          <w:lang w:eastAsia="zh-CN"/>
        </w:rPr>
        <w:t>资金拨付至</w:t>
      </w:r>
      <w:r>
        <w:rPr>
          <w:rFonts w:hint="eastAsia" w:eastAsia="仿宋_GB2312"/>
          <w:sz w:val="32"/>
          <w:szCs w:val="32"/>
          <w:highlight w:val="none"/>
          <w:lang w:val="en-US" w:eastAsia="zh-CN"/>
        </w:rPr>
        <w:t>15个乡镇，</w:t>
      </w:r>
      <w:r>
        <w:rPr>
          <w:rStyle w:val="16"/>
          <w:rFonts w:hint="eastAsia" w:ascii="仿宋_GB2312" w:hAnsi="仿宋_GB2312" w:eastAsia="仿宋_GB2312" w:cs="仿宋_GB2312"/>
          <w:b w:val="0"/>
          <w:spacing w:val="-4"/>
          <w:kern w:val="28"/>
          <w:sz w:val="32"/>
          <w:szCs w:val="32"/>
          <w:highlight w:val="none"/>
          <w:lang w:val="en-US" w:eastAsia="zh-CN" w:bidi="ar-SA"/>
        </w:rPr>
        <w:t>用于人大代表开展三查（察）活动（视察、调查、执法检查）及“七带头十个一”活动，加强人大代表活动阵地建设。</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Style w:val="16"/>
          <w:rFonts w:hint="eastAsia" w:ascii="仿宋_GB2312" w:hAnsi="仿宋_GB2312" w:eastAsia="仿宋_GB2312" w:cs="仿宋_GB2312"/>
          <w:b w:val="0"/>
          <w:spacing w:val="-4"/>
          <w:kern w:val="28"/>
          <w:sz w:val="32"/>
          <w:szCs w:val="32"/>
          <w:highlight w:val="none"/>
          <w:lang w:val="en-US" w:eastAsia="zh-CN" w:bidi="ar-SA"/>
        </w:rPr>
        <w:t>人大代表开展三查（察）活动（视察、调查、执法检查）及“七带头十个一”活动，加强人大代表活动阵地建设。</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Style w:val="16"/>
          <w:rFonts w:hint="default" w:ascii="仿宋_GB2312" w:hAnsi="仿宋_GB2312" w:eastAsia="仿宋_GB2312" w:cs="仿宋_GB2312"/>
          <w:b w:val="0"/>
          <w:spacing w:val="-4"/>
          <w:kern w:val="28"/>
          <w:sz w:val="32"/>
          <w:szCs w:val="32"/>
          <w:highlight w:val="none"/>
          <w:lang w:val="en-US" w:eastAsia="zh-CN" w:bidi="ar-SA"/>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r>
        <w:rPr>
          <w:rStyle w:val="16"/>
          <w:rFonts w:hint="eastAsia" w:ascii="仿宋_GB2312" w:hAnsi="仿宋_GB2312" w:eastAsia="仿宋_GB2312" w:cs="仿宋_GB2312"/>
          <w:b w:val="0"/>
          <w:spacing w:val="-4"/>
          <w:kern w:val="28"/>
          <w:sz w:val="32"/>
          <w:szCs w:val="32"/>
          <w:highlight w:val="none"/>
          <w:lang w:val="en-US" w:eastAsia="zh-CN" w:bidi="ar-SA"/>
        </w:rPr>
        <w:t>：</w:t>
      </w:r>
      <w:r>
        <w:rPr>
          <w:rStyle w:val="16"/>
          <w:rFonts w:hint="default" w:ascii="仿宋_GB2312" w:hAnsi="仿宋_GB2312" w:eastAsia="仿宋_GB2312" w:cs="仿宋_GB2312"/>
          <w:b w:val="0"/>
          <w:spacing w:val="-4"/>
          <w:kern w:val="28"/>
          <w:sz w:val="32"/>
          <w:szCs w:val="32"/>
          <w:highlight w:val="none"/>
          <w:lang w:val="en-US" w:eastAsia="zh-CN" w:bidi="ar-SA"/>
        </w:rPr>
        <w:t>保障人大代表参加三查《察）活动，保障人大代表</w:t>
      </w:r>
      <w:r>
        <w:rPr>
          <w:rStyle w:val="16"/>
          <w:rFonts w:hint="eastAsia" w:ascii="仿宋_GB2312" w:hAnsi="仿宋_GB2312" w:eastAsia="仿宋_GB2312" w:cs="仿宋_GB2312"/>
          <w:b w:val="0"/>
          <w:spacing w:val="-4"/>
          <w:kern w:val="28"/>
          <w:sz w:val="32"/>
          <w:szCs w:val="32"/>
          <w:highlight w:val="none"/>
          <w:lang w:val="en-US" w:eastAsia="zh-CN" w:bidi="ar-SA"/>
        </w:rPr>
        <w:t>参</w:t>
      </w:r>
      <w:r>
        <w:rPr>
          <w:rStyle w:val="16"/>
          <w:rFonts w:hint="default" w:ascii="仿宋_GB2312" w:hAnsi="仿宋_GB2312" w:eastAsia="仿宋_GB2312" w:cs="仿宋_GB2312"/>
          <w:b w:val="0"/>
          <w:spacing w:val="-4"/>
          <w:kern w:val="28"/>
          <w:sz w:val="32"/>
          <w:szCs w:val="32"/>
          <w:highlight w:val="none"/>
          <w:lang w:val="en-US" w:eastAsia="zh-CN" w:bidi="ar-SA"/>
        </w:rPr>
        <w:t>会及时，监督“一府一要两院”依法行政。做好新时代新疆人大工作，加强代表服务和保障、强化人大代表活动阵地建设。</w:t>
      </w:r>
    </w:p>
    <w:p>
      <w:pPr>
        <w:spacing w:line="560" w:lineRule="exact"/>
        <w:ind w:firstLine="640" w:firstLineChars="200"/>
        <w:rPr>
          <w:rFonts w:hint="default" w:ascii="Times New Roman" w:hAnsi="Times New Roman" w:eastAsia="黑体" w:cs="Times New Roman"/>
          <w:b w:val="0"/>
          <w:bCs/>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r>
        <w:rPr>
          <w:rStyle w:val="16"/>
          <w:rFonts w:hint="eastAsia" w:ascii="仿宋_GB2312" w:hAnsi="仿宋_GB2312" w:eastAsia="仿宋_GB2312" w:cs="仿宋_GB2312"/>
          <w:b w:val="0"/>
          <w:spacing w:val="-4"/>
          <w:kern w:val="28"/>
          <w:sz w:val="32"/>
          <w:szCs w:val="32"/>
          <w:highlight w:val="none"/>
          <w:lang w:val="en-US" w:eastAsia="zh-CN" w:bidi="ar-SA"/>
        </w:rPr>
        <w:t>：保障我县1103名各级人大代表</w:t>
      </w:r>
      <w:r>
        <w:rPr>
          <w:rStyle w:val="16"/>
          <w:rFonts w:hint="default" w:ascii="仿宋_GB2312" w:hAnsi="仿宋_GB2312" w:eastAsia="仿宋_GB2312" w:cs="仿宋_GB2312"/>
          <w:b w:val="0"/>
          <w:spacing w:val="-4"/>
          <w:kern w:val="28"/>
          <w:sz w:val="32"/>
          <w:szCs w:val="32"/>
          <w:highlight w:val="none"/>
          <w:lang w:val="en-US" w:eastAsia="zh-CN" w:bidi="ar-SA"/>
        </w:rPr>
        <w:t>参加三查</w:t>
      </w:r>
      <w:r>
        <w:rPr>
          <w:rStyle w:val="16"/>
          <w:rFonts w:hint="eastAsia" w:ascii="仿宋_GB2312" w:hAnsi="仿宋_GB2312" w:eastAsia="仿宋_GB2312" w:cs="仿宋_GB2312"/>
          <w:b w:val="0"/>
          <w:spacing w:val="-4"/>
          <w:kern w:val="28"/>
          <w:sz w:val="32"/>
          <w:szCs w:val="32"/>
          <w:highlight w:val="none"/>
          <w:lang w:val="en-US" w:eastAsia="zh-CN" w:bidi="ar-SA"/>
        </w:rPr>
        <w:t>（</w:t>
      </w:r>
      <w:r>
        <w:rPr>
          <w:rStyle w:val="16"/>
          <w:rFonts w:hint="default" w:ascii="仿宋_GB2312" w:hAnsi="仿宋_GB2312" w:eastAsia="仿宋_GB2312" w:cs="仿宋_GB2312"/>
          <w:b w:val="0"/>
          <w:spacing w:val="-4"/>
          <w:kern w:val="28"/>
          <w:sz w:val="32"/>
          <w:szCs w:val="32"/>
          <w:highlight w:val="none"/>
          <w:lang w:val="en-US" w:eastAsia="zh-CN" w:bidi="ar-SA"/>
        </w:rPr>
        <w:t>察）活动</w:t>
      </w:r>
      <w:r>
        <w:rPr>
          <w:rStyle w:val="16"/>
          <w:rFonts w:hint="eastAsia" w:ascii="仿宋_GB2312" w:hAnsi="仿宋_GB2312" w:eastAsia="仿宋_GB2312" w:cs="仿宋_GB2312"/>
          <w:b w:val="0"/>
          <w:spacing w:val="-4"/>
          <w:kern w:val="28"/>
          <w:sz w:val="32"/>
          <w:szCs w:val="32"/>
          <w:highlight w:val="none"/>
          <w:lang w:val="en-US" w:eastAsia="zh-CN" w:bidi="ar-SA"/>
        </w:rPr>
        <w:t>及“七带头十个一”活动</w:t>
      </w:r>
      <w:r>
        <w:rPr>
          <w:rStyle w:val="16"/>
          <w:rFonts w:hint="default" w:ascii="仿宋_GB2312" w:hAnsi="仿宋_GB2312" w:eastAsia="仿宋_GB2312" w:cs="仿宋_GB2312"/>
          <w:b w:val="0"/>
          <w:spacing w:val="-4"/>
          <w:kern w:val="28"/>
          <w:sz w:val="32"/>
          <w:szCs w:val="32"/>
          <w:highlight w:val="none"/>
          <w:lang w:val="en-US" w:eastAsia="zh-CN" w:bidi="ar-SA"/>
        </w:rPr>
        <w:t>，</w:t>
      </w:r>
      <w:r>
        <w:rPr>
          <w:rStyle w:val="16"/>
          <w:rFonts w:hint="eastAsia" w:ascii="仿宋_GB2312" w:hAnsi="仿宋_GB2312" w:eastAsia="仿宋_GB2312" w:cs="仿宋_GB2312"/>
          <w:b w:val="0"/>
          <w:spacing w:val="-4"/>
          <w:kern w:val="28"/>
          <w:sz w:val="32"/>
          <w:szCs w:val="32"/>
          <w:highlight w:val="none"/>
          <w:lang w:val="en-US" w:eastAsia="zh-CN" w:bidi="ar-SA"/>
        </w:rPr>
        <w:t>确保各级人大代表开展三查（察）活动出勤率为95%，人大代表参会及时率为98%，保证“一府一委两院”依法行政，群众对人大代表履行职责</w:t>
      </w:r>
      <w:r>
        <w:rPr>
          <w:rFonts w:hint="eastAsia" w:eastAsia="仿宋_GB2312"/>
          <w:sz w:val="32"/>
          <w:szCs w:val="32"/>
          <w:highlight w:val="none"/>
        </w:rPr>
        <w:t>满意度</w:t>
      </w:r>
      <w:r>
        <w:rPr>
          <w:rFonts w:hint="eastAsia" w:eastAsia="仿宋_GB2312"/>
          <w:sz w:val="32"/>
          <w:szCs w:val="32"/>
          <w:highlight w:val="none"/>
          <w:lang w:eastAsia="zh-CN"/>
        </w:rPr>
        <w:t>达到</w:t>
      </w:r>
      <w:r>
        <w:rPr>
          <w:rFonts w:hint="eastAsia" w:eastAsia="仿宋_GB2312"/>
          <w:sz w:val="32"/>
          <w:szCs w:val="32"/>
          <w:highlight w:val="none"/>
          <w:lang w:val="en-US" w:eastAsia="zh-CN"/>
        </w:rPr>
        <w:t>98%。</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w:t>
      </w:r>
      <w:r>
        <w:rPr>
          <w:rFonts w:hint="eastAsia" w:eastAsia="仿宋_GB2312" w:cs="Times New Roman"/>
          <w:sz w:val="32"/>
          <w:szCs w:val="32"/>
          <w:highlight w:val="none"/>
          <w:lang w:val="en-US" w:eastAsia="zh-CN"/>
        </w:rPr>
        <w:t>规范性、客观性、准确性原则，确保报告能真实反映人大代表和代表之家活动费使用绩效。</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在评价指标体系的构建上，</w:t>
      </w:r>
      <w:r>
        <w:rPr>
          <w:rFonts w:hint="eastAsia" w:eastAsia="仿宋_GB2312" w:cs="Times New Roman"/>
          <w:sz w:val="32"/>
          <w:szCs w:val="32"/>
          <w:highlight w:val="none"/>
          <w:lang w:val="en-US" w:eastAsia="zh-CN"/>
        </w:rPr>
        <w:t>需全面反映人大代表和代表之家活动费使用情况的效果和效率。</w:t>
      </w:r>
      <w:r>
        <w:rPr>
          <w:rFonts w:hint="default" w:ascii="Times New Roman" w:hAnsi="Times New Roman" w:eastAsia="仿宋_GB2312" w:cs="Times New Roman"/>
          <w:sz w:val="32"/>
          <w:szCs w:val="32"/>
          <w:highlight w:val="none"/>
          <w:lang w:val="en-US" w:eastAsia="zh-CN"/>
        </w:rPr>
        <w:t>充分考虑了项目的性质、目标以及预期成果，选取了具有代表性和可衡量性的关键指标，涵盖了</w:t>
      </w:r>
      <w:r>
        <w:rPr>
          <w:rFonts w:hint="eastAsia" w:eastAsia="仿宋_GB2312" w:cs="Times New Roman"/>
          <w:sz w:val="32"/>
          <w:szCs w:val="32"/>
          <w:highlight w:val="none"/>
          <w:lang w:val="en-US" w:eastAsia="zh-CN"/>
        </w:rPr>
        <w:t>产出指标、经济成本指标、</w:t>
      </w:r>
      <w:r>
        <w:rPr>
          <w:rFonts w:hint="default" w:ascii="Times New Roman" w:hAnsi="Times New Roman" w:eastAsia="仿宋_GB2312" w:cs="Times New Roman"/>
          <w:sz w:val="32"/>
          <w:szCs w:val="32"/>
          <w:highlight w:val="none"/>
          <w:lang w:val="en-US" w:eastAsia="zh-CN"/>
        </w:rPr>
        <w:t>社会效益等多个维度，力求全方位反映项目的绩效状况。</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w:t>
      </w:r>
      <w:r>
        <w:rPr>
          <w:rFonts w:hint="eastAsia" w:eastAsia="仿宋_GB2312" w:cs="Times New Roman"/>
          <w:sz w:val="32"/>
          <w:szCs w:val="32"/>
          <w:highlight w:val="none"/>
          <w:lang w:val="en-US" w:eastAsia="zh-CN"/>
        </w:rPr>
        <w:t>广泛收集涵盖活动费的预算文件、财务收支账目、活动计划与总结、代表履职签到册等各种资料，全面反映活动费的使用和活动开展情况。对采集的数据和信息进行深入分析，总结成效、剖析问题及原因。</w:t>
      </w:r>
      <w:r>
        <w:rPr>
          <w:rFonts w:hint="default" w:ascii="Times New Roman" w:hAnsi="Times New Roman" w:eastAsia="仿宋_GB2312" w:cs="Times New Roman"/>
          <w:sz w:val="32"/>
          <w:szCs w:val="32"/>
          <w:highlight w:val="none"/>
          <w:lang w:val="en-US" w:eastAsia="zh-CN"/>
        </w:rPr>
        <w:t>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2.绩效评价的目的</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提高资金使用效益：确保活动费合理分配与使用，避免浪费，使有限资金发挥最大作用，保障活动顺利开展。</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增强代表履职能力：通过评价了解活动对代表提升履职知识、技能的效果，促进代表更好地为选民服务。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提升活动质量：发现活动组织、内容等方面的问题，以便改进，增强代表之家的凝聚力和影响力。</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强化民主监督：向选民公开资金使用和活动成效，接受监督，增强人大工作透明度和公信力。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本项目预算绩效评价报告的评价对象是</w:t>
      </w:r>
      <w:r>
        <w:rPr>
          <w:rFonts w:hint="eastAsia" w:ascii="Times New Roman" w:hAnsi="Times New Roman" w:eastAsia="仿宋_GB2312" w:cs="Times New Roman"/>
          <w:sz w:val="32"/>
          <w:szCs w:val="32"/>
          <w:highlight w:val="none"/>
          <w:lang w:val="en-US" w:eastAsia="zh-CN"/>
        </w:rPr>
        <w:t>2024年人大代表和代表之家活动费</w:t>
      </w:r>
      <w:r>
        <w:rPr>
          <w:rFonts w:hint="default" w:ascii="Times New Roman" w:hAnsi="Times New Roman" w:eastAsia="仿宋_GB2312" w:cs="Times New Roman"/>
          <w:sz w:val="32"/>
          <w:szCs w:val="32"/>
          <w:highlight w:val="none"/>
        </w:rPr>
        <w:t>及其预算执行情况。该项目由</w:t>
      </w:r>
      <w:r>
        <w:rPr>
          <w:rFonts w:hint="eastAsia" w:eastAsia="仿宋_GB2312" w:cs="Times New Roman"/>
          <w:sz w:val="32"/>
          <w:szCs w:val="32"/>
          <w:highlight w:val="none"/>
          <w:lang w:eastAsia="zh-CN"/>
        </w:rPr>
        <w:t>奇台县人民代表大会常务委员会</w:t>
      </w:r>
      <w:r>
        <w:rPr>
          <w:rFonts w:hint="default" w:ascii="Times New Roman" w:hAnsi="Times New Roman" w:eastAsia="仿宋_GB2312" w:cs="Times New Roman"/>
          <w:sz w:val="32"/>
          <w:szCs w:val="32"/>
          <w:highlight w:val="none"/>
        </w:rPr>
        <w:t>负责实施，旨在</w:t>
      </w:r>
      <w:r>
        <w:rPr>
          <w:rFonts w:hint="eastAsia" w:eastAsia="仿宋_GB2312" w:cs="Times New Roman"/>
          <w:sz w:val="32"/>
          <w:szCs w:val="32"/>
          <w:highlight w:val="none"/>
          <w:lang w:eastAsia="zh-CN"/>
        </w:rPr>
        <w:t>保障</w:t>
      </w:r>
      <w:r>
        <w:rPr>
          <w:rStyle w:val="16"/>
          <w:rFonts w:hint="eastAsia" w:ascii="仿宋_GB2312" w:hAnsi="仿宋_GB2312" w:eastAsia="仿宋_GB2312" w:cs="仿宋_GB2312"/>
          <w:b w:val="0"/>
          <w:spacing w:val="-4"/>
          <w:kern w:val="28"/>
          <w:sz w:val="32"/>
          <w:szCs w:val="32"/>
          <w:highlight w:val="none"/>
          <w:lang w:val="en-US" w:eastAsia="zh-CN" w:bidi="ar-SA"/>
        </w:rPr>
        <w:t>人大代表开展三查（察）活动（视察、调查、执法检查）及“七带头十个一”活动，加强人大代表活动阵地建设</w:t>
      </w:r>
      <w:r>
        <w:rPr>
          <w:rFonts w:hint="default" w:ascii="Times New Roman" w:hAnsi="Times New Roman" w:eastAsia="仿宋_GB2312" w:cs="Times New Roman"/>
          <w:sz w:val="32"/>
          <w:szCs w:val="32"/>
          <w:highlight w:val="none"/>
        </w:rPr>
        <w:t>。项目预算涵盖从</w:t>
      </w:r>
      <w:r>
        <w:rPr>
          <w:rFonts w:hint="eastAsia" w:eastAsia="仿宋_GB2312" w:cs="Times New Roman"/>
          <w:sz w:val="32"/>
          <w:szCs w:val="32"/>
          <w:highlight w:val="none"/>
          <w:lang w:val="en-US" w:eastAsia="zh-CN"/>
        </w:rPr>
        <w:t>2024年1月1日</w:t>
      </w:r>
      <w:r>
        <w:rPr>
          <w:rFonts w:hint="default" w:ascii="Times New Roman" w:hAnsi="Times New Roman" w:eastAsia="仿宋_GB2312" w:cs="Times New Roman"/>
          <w:sz w:val="32"/>
          <w:szCs w:val="32"/>
          <w:highlight w:val="none"/>
        </w:rPr>
        <w:t>至</w:t>
      </w:r>
      <w:r>
        <w:rPr>
          <w:rFonts w:hint="eastAsia"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rPr>
        <w:t>的全部资金投入与支出，涉及资金总额为</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2"/>
        <w:widowControl w:val="0"/>
        <w:numPr>
          <w:ilvl w:val="0"/>
          <w:numId w:val="2"/>
        </w:numPr>
        <w:spacing w:before="0" w:after="0" w:line="560" w:lineRule="exact"/>
        <w:ind w:left="200" w:leftChars="0" w:firstLine="640" w:firstLineChars="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2"/>
        <w:widowControl w:val="0"/>
        <w:numPr>
          <w:ilvl w:val="0"/>
          <w:numId w:val="2"/>
        </w:numPr>
        <w:spacing w:before="0" w:after="0" w:line="560" w:lineRule="exact"/>
        <w:ind w:left="200" w:leftChars="0" w:firstLine="640" w:firstLineChars="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2"/>
        <w:widowControl w:val="0"/>
        <w:numPr>
          <w:ilvl w:val="0"/>
          <w:numId w:val="2"/>
        </w:numPr>
        <w:spacing w:before="0" w:after="0" w:line="560" w:lineRule="exact"/>
        <w:ind w:left="200" w:leftChars="0" w:firstLine="640" w:firstLineChars="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2"/>
        <w:widowControl w:val="0"/>
        <w:numPr>
          <w:ilvl w:val="0"/>
          <w:numId w:val="2"/>
        </w:numPr>
        <w:spacing w:before="0" w:after="0" w:line="560" w:lineRule="exact"/>
        <w:ind w:left="200" w:leftChars="0" w:firstLine="640" w:firstLineChars="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w:t>
      </w:r>
      <w:r>
        <w:rPr>
          <w:rFonts w:hint="eastAsia" w:ascii="Times New Roman" w:hAnsi="Times New Roman" w:eastAsia="仿宋_GB2312" w:cs="Times New Roman"/>
          <w:b w:val="0"/>
          <w:bCs w:val="0"/>
          <w:highlight w:val="none"/>
          <w:lang w:eastAsia="zh-CN"/>
        </w:rPr>
        <w:t>确保监督一府一委两院依法行政达到</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eastAsia="zh-CN"/>
        </w:rPr>
        <w:t>计划</w:t>
      </w:r>
      <w:r>
        <w:rPr>
          <w:rFonts w:hint="default" w:ascii="Times New Roman" w:hAnsi="Times New Roman" w:eastAsia="仿宋_GB2312" w:cs="Times New Roman"/>
          <w:b w:val="0"/>
          <w:bCs w:val="0"/>
          <w:highlight w:val="none"/>
        </w:rPr>
        <w:t>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计划标准。指以预先制定的目标、计划、预算、定额等作为评价标准。</w:t>
      </w:r>
    </w:p>
    <w:p>
      <w:pPr>
        <w:pStyle w:val="2"/>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eastAsia="zh-CN"/>
        </w:rPr>
        <w:t>人员</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办公室、各工委</w:t>
      </w:r>
      <w:r>
        <w:rPr>
          <w:rFonts w:hint="default" w:ascii="Times New Roman" w:hAnsi="Times New Roman" w:eastAsia="仿宋_GB2312" w:cs="Times New Roman"/>
          <w:sz w:val="32"/>
          <w:szCs w:val="32"/>
          <w:highlight w:val="none"/>
        </w:rPr>
        <w:t>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w:t>
      </w:r>
      <w:r>
        <w:rPr>
          <w:rFonts w:hint="eastAsia" w:eastAsia="仿宋_GB2312" w:cs="Times New Roman"/>
          <w:sz w:val="32"/>
          <w:szCs w:val="32"/>
          <w:highlight w:val="none"/>
          <w:lang w:val="en-US" w:eastAsia="zh-CN"/>
        </w:rPr>
        <w:t>如涵盖活动费的预算文件、财务收支账目、活动计划与总结、代表履职签到册等各种资料，全面反映活动费的使用和活动开展情况。</w:t>
      </w:r>
      <w:r>
        <w:rPr>
          <w:rFonts w:hint="default" w:ascii="Times New Roman" w:hAnsi="Times New Roman" w:eastAsia="仿宋_GB2312" w:cs="Times New Roman"/>
          <w:sz w:val="32"/>
          <w:szCs w:val="32"/>
          <w:highlight w:val="none"/>
          <w:lang w:eastAsia="zh-CN"/>
        </w:rPr>
        <w:t>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w:t>
      </w:r>
      <w:r>
        <w:rPr>
          <w:rFonts w:hint="eastAsia" w:ascii="Times New Roman" w:hAnsi="Times New Roman" w:eastAsia="仿宋_GB2312" w:cs="Times New Roman"/>
          <w:sz w:val="32"/>
          <w:szCs w:val="32"/>
          <w:highlight w:val="none"/>
          <w:lang w:eastAsia="zh-CN"/>
        </w:rPr>
        <w:t>对评分结果进行深入分析，总结活动费使用和代表之家工作取得的成效，剖析存在的问题及原因，如资金使用不合理、活动组织不到位、代表参与积极性不高等。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根据分析评价结果，撰写绩效评价报告，内容包括评价工作概述、绩效目标完成情况、存在问题及建议等，报告应客观、准确、全面地反映活动费的绩效状况。将评价报告反馈给人大常委会相关部门、代表小组和代表个人，</w:t>
      </w:r>
      <w:r>
        <w:rPr>
          <w:rFonts w:hint="default" w:ascii="Times New Roman" w:hAnsi="Times New Roman" w:eastAsia="仿宋_GB2312" w:cs="Times New Roman"/>
          <w:sz w:val="32"/>
          <w:szCs w:val="32"/>
          <w:highlight w:val="none"/>
          <w:lang w:eastAsia="zh-CN"/>
        </w:rPr>
        <w:t>充分听取各方意见与建议，对报告内容进行进一步的完善与优化，确保评价报告的质量与实用性。</w:t>
      </w:r>
      <w:r>
        <w:rPr>
          <w:rFonts w:hint="eastAsia" w:ascii="Times New Roman" w:hAnsi="Times New Roman" w:eastAsia="仿宋_GB2312" w:cs="Times New Roman"/>
          <w:sz w:val="32"/>
          <w:szCs w:val="32"/>
          <w:highlight w:val="none"/>
          <w:lang w:eastAsia="zh-CN"/>
        </w:rPr>
        <w:t>评价结果作为下一年度活动费预算安排的重要依据，对绩效好的项目或活动适当增加预算支持；对绩效差的项目，减少预算或调整资金用途。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color w:val="auto"/>
          <w:sz w:val="32"/>
          <w:szCs w:val="32"/>
          <w:highlight w:val="none"/>
          <w:lang w:val="en-US" w:eastAsia="zh-CN"/>
        </w:rPr>
        <w:t>2024年人大代表和代表之家活动费</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eastAsia="zh-CN"/>
        </w:rPr>
        <w:t>人大代表开展活动出勤率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人大代表参会及时率</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监督一府一委两院依法行政</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十大民生实事项目</w:t>
      </w:r>
      <w:r>
        <w:rPr>
          <w:rFonts w:hint="default" w:ascii="Times New Roman" w:hAnsi="Times New Roman" w:eastAsia="仿宋_GB2312" w:cs="Times New Roman"/>
          <w:sz w:val="32"/>
          <w:szCs w:val="32"/>
          <w:highlight w:val="none"/>
        </w:rPr>
        <w:t>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color w:val="auto"/>
          <w:sz w:val="32"/>
          <w:szCs w:val="32"/>
          <w:highlight w:val="none"/>
          <w:lang w:val="en-US" w:eastAsia="zh-CN"/>
        </w:rPr>
        <w:t>2024年人大代表和代表之家活动费</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eastAsia="仿宋_GB2312" w:cs="Times New Roman"/>
          <w:sz w:val="32"/>
          <w:szCs w:val="32"/>
          <w:highlight w:val="none"/>
          <w:lang w:eastAsia="zh-CN"/>
        </w:rPr>
        <w:t>人大代表开展活动出勤率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人大代表参会及时率</w:t>
      </w:r>
      <w:r>
        <w:rPr>
          <w:rFonts w:hint="default" w:ascii="Times New Roman" w:hAnsi="Times New Roman" w:eastAsia="仿宋_GB2312" w:cs="Times New Roman"/>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color w:val="auto"/>
          <w:sz w:val="32"/>
          <w:szCs w:val="32"/>
          <w:highlight w:val="none"/>
          <w:lang w:val="en-US" w:eastAsia="zh-CN"/>
        </w:rPr>
        <w:t>2024年人大代表和代表之家活动费</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w:t>
      </w:r>
      <w:r>
        <w:rPr>
          <w:rFonts w:hint="default" w:ascii="Times New Roman" w:hAnsi="Times New Roman" w:eastAsia="仿宋_GB2312" w:cs="Times New Roman"/>
          <w:b w:val="0"/>
          <w:bCs w:val="0"/>
          <w:highlight w:val="none"/>
          <w:lang w:val="en-US" w:eastAsia="zh-CN"/>
        </w:rPr>
        <w:t>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90.9</w:t>
      </w:r>
      <w:bookmarkStart w:id="3" w:name="_GoBack"/>
      <w:bookmarkEnd w:id="3"/>
      <w:r>
        <w:rPr>
          <w:rFonts w:hint="default" w:ascii="Times New Roman" w:hAnsi="Times New Roman" w:eastAsia="仿宋_GB2312" w:cs="Times New Roman"/>
          <w:b w:val="0"/>
          <w:bCs w:val="0"/>
          <w:highlight w:val="none"/>
          <w:lang w:val="en-US" w:eastAsia="zh-CN"/>
        </w:rPr>
        <w:t>分，属</w:t>
      </w:r>
      <w:r>
        <w:rPr>
          <w:rFonts w:hint="default" w:ascii="Times New Roman" w:hAnsi="Times New Roman" w:eastAsia="仿宋_GB2312" w:cs="Times New Roman"/>
          <w:b w:val="0"/>
          <w:bCs w:val="0"/>
          <w:highlight w:val="none"/>
        </w:rPr>
        <w:t>于“</w:t>
      </w:r>
      <w:r>
        <w:rPr>
          <w:rFonts w:hint="eastAsia" w:ascii="Times New Roman" w:hAnsi="Times New Roman" w:eastAsia="仿宋_GB2312" w:cs="Times New Roman"/>
          <w:b w:val="0"/>
          <w:bCs w:val="0"/>
          <w:highlight w:val="none"/>
          <w:lang w:eastAsia="zh-CN"/>
        </w:rPr>
        <w:t>优</w:t>
      </w:r>
      <w:r>
        <w:rPr>
          <w:rFonts w:hint="default" w:ascii="Times New Roman" w:hAnsi="Times New Roman" w:eastAsia="仿宋_GB2312" w:cs="Times New Roman"/>
          <w:b w:val="0"/>
          <w:bCs w:val="0"/>
          <w:highlight w:val="none"/>
        </w:rPr>
        <w:t>”。其中，项目决策类指标权重为20分，得分为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30.9</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91.25</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30.9</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91.25%</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90.9</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98.25%</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2"/>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依据《中华人民共和国各级人民代表大会和地方各级人民政府组织法》《中华人民共和国预算法》等法律法规，以及地方人大常委会关于加强代表工作、提升代表履职能力的政策要求，明确人大代表和代表之家活动费设立的合法性与必要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eastAsia="仿宋_GB2312" w:cs="Times New Roman"/>
          <w:sz w:val="32"/>
          <w:szCs w:val="32"/>
          <w:highlight w:val="none"/>
          <w:lang w:val="en-US" w:eastAsia="zh-CN"/>
        </w:rPr>
        <w:t>通过以上规范的程序，可以确保人大代表和代表之家活动费绩效评价项目立项的科学性、合理性和合法性，为后续评价工作的顺利开展奠定坚实基础。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2"/>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eastAsia="仿宋_GB2312" w:cs="Times New Roman"/>
          <w:sz w:val="32"/>
          <w:szCs w:val="32"/>
          <w:highlight w:val="none"/>
          <w:lang w:eastAsia="zh-CN"/>
        </w:rPr>
        <w:t>昌吉回族自治州各级人大代表活动经费标准及人大代表“家室站”补助经费标准。</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严格按照《昌吉州人大代表活动经费使用管理办法》</w:t>
      </w:r>
      <w:r>
        <w:rPr>
          <w:rFonts w:hint="default" w:ascii="Times New Roman" w:hAnsi="Times New Roman" w:eastAsia="仿宋_GB2312" w:cs="Times New Roman"/>
          <w:sz w:val="32"/>
          <w:szCs w:val="32"/>
          <w:highlight w:val="none"/>
          <w:lang w:eastAsia="zh-CN"/>
        </w:rPr>
        <w:t>，为项目的成功实施提供了坚实的制度保障。项目管理制度的制定紧密结合了项目的特点与实际情况，涵盖了项目的策划、组织、实施、监控与收尾等各个环节。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定期对活动开展情况和资金使用情况进行检查和跟踪，通过实地查看、查阅资料、统计分析等方式，及时掌握活动进度和资金使用效益；建立绩效跟踪机制，对绩效目标完成情况进行动态监测，发现问题及时采取措施加以解决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pStyle w:val="12"/>
        <w:numPr>
          <w:ilvl w:val="0"/>
          <w:numId w:val="5"/>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30.9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91.25</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指标1：人大代表总人数</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=1337</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1103</w:t>
      </w:r>
      <w:r>
        <w:rPr>
          <w:rFonts w:hint="eastAsia" w:eastAsia="仿宋_GB2312" w:cs="Times New Roman"/>
          <w:sz w:val="32"/>
          <w:szCs w:val="32"/>
          <w:highlight w:val="none"/>
          <w:lang w:eastAsia="zh-CN"/>
        </w:rPr>
        <w:t>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82.5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，偏差原因：因工作调动，人大代表有调整。</w:t>
      </w:r>
      <w:r>
        <w:rPr>
          <w:rFonts w:hint="eastAsia" w:eastAsia="仿宋_GB2312" w:cs="Times New Roman"/>
          <w:sz w:val="32"/>
          <w:szCs w:val="32"/>
          <w:highlight w:val="none"/>
          <w:lang w:val="en-US" w:eastAsia="zh-CN"/>
        </w:rPr>
        <w:t>改进措施：</w:t>
      </w:r>
      <w:r>
        <w:rPr>
          <w:rFonts w:hint="default" w:ascii="Times New Roman" w:hAnsi="Times New Roman" w:eastAsia="仿宋_GB2312" w:cs="Times New Roman"/>
          <w:sz w:val="32"/>
          <w:szCs w:val="32"/>
          <w:highlight w:val="none"/>
          <w:lang w:eastAsia="zh-CN"/>
        </w:rPr>
        <w:t>制定目标时，根据实际情况及时调整。</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：“代表之家”数量</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=54个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54个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：人大代表开展活动出勤率：</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：人大代表</w:t>
      </w:r>
      <w:r>
        <w:rPr>
          <w:rFonts w:hint="eastAsia" w:eastAsia="仿宋_GB2312" w:cs="Times New Roman"/>
          <w:sz w:val="32"/>
          <w:szCs w:val="32"/>
          <w:highlight w:val="none"/>
          <w:lang w:eastAsia="zh-CN"/>
        </w:rPr>
        <w:t>参会及时率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&gt;=98%</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98%</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“代表之家”补助经费标准</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=0.28万元/个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0.28万元/个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12"/>
        <w:numPr>
          <w:ilvl w:val="0"/>
          <w:numId w:val="5"/>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：监督“一府一委两院”依法行政，指标值：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人大代表满意度，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&gt;=98%</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98%</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color w:val="auto"/>
          <w:sz w:val="32"/>
          <w:szCs w:val="32"/>
          <w:highlight w:val="none"/>
          <w:lang w:val="en-US" w:eastAsia="zh-CN"/>
        </w:rPr>
        <w:t>2</w:t>
      </w:r>
      <w:r>
        <w:rPr>
          <w:rFonts w:hint="eastAsia" w:eastAsia="仿宋_GB2312" w:cs="Times New Roman"/>
          <w:sz w:val="32"/>
          <w:szCs w:val="32"/>
          <w:highlight w:val="none"/>
          <w:lang w:val="en-US" w:eastAsia="zh-CN"/>
        </w:rPr>
        <w:t>024年人大代表和代表之家活动费</w:t>
      </w:r>
      <w:r>
        <w:rPr>
          <w:rFonts w:hint="default" w:eastAsia="仿宋_GB2312" w:cs="Times New Roman"/>
          <w:sz w:val="32"/>
          <w:szCs w:val="32"/>
          <w:highlight w:val="none"/>
          <w:lang w:val="en-US" w:eastAsia="zh-CN"/>
        </w:rPr>
        <w:t>项目年初预算</w:t>
      </w:r>
      <w:r>
        <w:rPr>
          <w:rFonts w:hint="eastAsia" w:eastAsia="仿宋_GB2312" w:cs="Times New Roman"/>
          <w:sz w:val="32"/>
          <w:szCs w:val="32"/>
          <w:highlight w:val="none"/>
          <w:lang w:val="en-US" w:eastAsia="zh-CN"/>
        </w:rPr>
        <w:t>15</w:t>
      </w:r>
      <w:r>
        <w:rPr>
          <w:rFonts w:hint="default" w:eastAsia="仿宋_GB2312" w:cs="Times New Roman"/>
          <w:sz w:val="32"/>
          <w:szCs w:val="32"/>
          <w:highlight w:val="none"/>
          <w:lang w:val="en-US" w:eastAsia="zh-CN"/>
        </w:rPr>
        <w:t>万元，全年预算</w:t>
      </w:r>
      <w:r>
        <w:rPr>
          <w:rFonts w:hint="eastAsia" w:eastAsia="仿宋_GB2312" w:cs="Times New Roman"/>
          <w:sz w:val="32"/>
          <w:szCs w:val="32"/>
          <w:highlight w:val="none"/>
          <w:lang w:val="en-US" w:eastAsia="zh-CN"/>
        </w:rPr>
        <w:t>15</w:t>
      </w:r>
      <w:r>
        <w:rPr>
          <w:rFonts w:hint="default" w:eastAsia="仿宋_GB2312" w:cs="Times New Roman"/>
          <w:sz w:val="32"/>
          <w:szCs w:val="32"/>
          <w:highlight w:val="none"/>
          <w:lang w:val="en-US" w:eastAsia="zh-CN"/>
        </w:rPr>
        <w:t>万元，实际支出</w:t>
      </w:r>
      <w:r>
        <w:rPr>
          <w:rFonts w:hint="eastAsia" w:eastAsia="仿宋_GB2312" w:cs="Times New Roman"/>
          <w:sz w:val="32"/>
          <w:szCs w:val="32"/>
          <w:highlight w:val="none"/>
          <w:lang w:val="en-US" w:eastAsia="zh-CN"/>
        </w:rPr>
        <w:t>15</w:t>
      </w:r>
      <w:r>
        <w:rPr>
          <w:rFonts w:hint="default"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%，项目绩效指标总体完成率为</w:t>
      </w:r>
      <w:r>
        <w:rPr>
          <w:rFonts w:hint="eastAsia" w:eastAsia="仿宋_GB2312" w:cs="Times New Roman"/>
          <w:sz w:val="32"/>
          <w:szCs w:val="32"/>
          <w:highlight w:val="none"/>
          <w:lang w:val="en-US" w:eastAsia="zh-CN"/>
        </w:rPr>
        <w:t>97.5</w:t>
      </w:r>
      <w:r>
        <w:rPr>
          <w:rFonts w:hint="default" w:eastAsia="仿宋_GB2312" w:cs="Times New Roman"/>
          <w:sz w:val="32"/>
          <w:szCs w:val="32"/>
          <w:highlight w:val="none"/>
          <w:lang w:val="en-US" w:eastAsia="zh-CN"/>
        </w:rPr>
        <w:t>%，</w:t>
      </w:r>
      <w:r>
        <w:rPr>
          <w:rFonts w:hint="default" w:eastAsia="仿宋_GB2312" w:cs="Times New Roman"/>
          <w:sz w:val="32"/>
          <w:szCs w:val="32"/>
          <w:highlight w:val="none"/>
          <w:lang w:val="en-US" w:eastAsia="zh-Hans"/>
        </w:rPr>
        <w:t>总体</w:t>
      </w:r>
      <w:r>
        <w:rPr>
          <w:rFonts w:hint="default" w:eastAsia="仿宋_GB2312" w:cs="Times New Roman"/>
          <w:sz w:val="32"/>
          <w:szCs w:val="32"/>
          <w:highlight w:val="none"/>
          <w:lang w:val="en-US" w:eastAsia="zh-CN"/>
        </w:rPr>
        <w:t>偏差率为</w:t>
      </w:r>
      <w:r>
        <w:rPr>
          <w:rFonts w:hint="eastAsia" w:eastAsia="仿宋_GB2312" w:cs="Times New Roman"/>
          <w:sz w:val="32"/>
          <w:szCs w:val="32"/>
          <w:highlight w:val="none"/>
          <w:lang w:val="en-US" w:eastAsia="zh-CN"/>
        </w:rPr>
        <w:t>2.5</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Hans"/>
        </w:rPr>
        <w:t>偏差</w:t>
      </w:r>
      <w:r>
        <w:rPr>
          <w:rFonts w:hint="default" w:eastAsia="仿宋_GB2312" w:cs="Times New Roman"/>
          <w:sz w:val="32"/>
          <w:szCs w:val="32"/>
          <w:highlight w:val="none"/>
          <w:lang w:val="en-US" w:eastAsia="zh-CN"/>
        </w:rPr>
        <w:t>原因因工作调动，人大代表有调整。</w:t>
      </w:r>
      <w:r>
        <w:rPr>
          <w:rFonts w:hint="eastAsia" w:eastAsia="仿宋_GB2312" w:cs="Times New Roman"/>
          <w:sz w:val="32"/>
          <w:szCs w:val="32"/>
          <w:highlight w:val="none"/>
          <w:lang w:val="en-US" w:eastAsia="zh-CN"/>
        </w:rPr>
        <w:t>改进措施：</w:t>
      </w:r>
      <w:r>
        <w:rPr>
          <w:rFonts w:hint="default" w:eastAsia="仿宋_GB2312" w:cs="Times New Roman"/>
          <w:sz w:val="32"/>
          <w:szCs w:val="32"/>
          <w:highlight w:val="none"/>
          <w:lang w:val="en-US" w:eastAsia="zh-CN"/>
        </w:rPr>
        <w:t>制定目标时，根据实际情况及时调整。</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业财”配合不佳：财政部门与业务主管部门之间在绩效管理方面存在脱节现象。业务主管部门认为绩效管理是财政部门的职责，自身缺乏主体责任意识，参与度不高；从单位内部来看，同样存在绩效管理权责不清的问题，绩效管理工作重担往往落向财务部门，业务部门参与度明显不足，导致在绩效目标设定、绩效评价实施等环节难以充分反映业务实际情况。</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0" w:firstLineChars="0"/>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2024年人大代表和代表之家活动费</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90.9</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6"/>
        <w:gridCol w:w="1046"/>
        <w:gridCol w:w="1053"/>
        <w:gridCol w:w="1222"/>
        <w:gridCol w:w="1137"/>
        <w:gridCol w:w="657"/>
        <w:gridCol w:w="1460"/>
        <w:gridCol w:w="1303"/>
        <w:gridCol w:w="834"/>
        <w:gridCol w:w="758"/>
        <w:gridCol w:w="848"/>
        <w:gridCol w:w="612"/>
        <w:gridCol w:w="687"/>
        <w:gridCol w:w="10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372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项目名称</w:t>
            </w:r>
          </w:p>
        </w:tc>
        <w:tc>
          <w:tcPr>
            <w:tcW w:w="1163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2024年人大代表和代表之家活动费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主管部门</w:t>
            </w:r>
          </w:p>
        </w:tc>
        <w:tc>
          <w:tcPr>
            <w:tcW w:w="55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奇台县人民代表大会常务委员会</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实施单位</w:t>
            </w:r>
          </w:p>
        </w:tc>
        <w:tc>
          <w:tcPr>
            <w:tcW w:w="39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奇台县人民代表大会常务委员会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20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（万元）</w:t>
            </w: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全年预算数</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全年执行数</w:t>
            </w: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执行率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0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年度资金总额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15.00</w:t>
            </w:r>
          </w:p>
        </w:tc>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15.00</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15.00</w:t>
            </w: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0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其中：当年财政拨款</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0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0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年度总体目标</w:t>
            </w:r>
          </w:p>
        </w:tc>
        <w:tc>
          <w:tcPr>
            <w:tcW w:w="6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预期目标</w:t>
            </w:r>
          </w:p>
        </w:tc>
        <w:tc>
          <w:tcPr>
            <w:tcW w:w="61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65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本项目拟投入15万元用于州人大代表经费，主要建设（实施）内容为：保障人大代表参加三查（察）活动，保障人大代表参会及时，监督“一府一委两院”依法行政。做好新时代新疆人大工作，加强代表服务和保障、强化人大代表活动阵地建设。</w:t>
            </w:r>
          </w:p>
        </w:tc>
        <w:tc>
          <w:tcPr>
            <w:tcW w:w="6104"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本项目拟投入15万元用于州人大代表经费，主要建设（实施）内容为：资金拨付至15个乡镇，保障人大代表正常开展调研、视察、执法检查及“七带头，十个一”活动。监督“一府一委两院”依法行政。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30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4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年度指标值</w:t>
            </w:r>
          </w:p>
        </w:tc>
        <w:tc>
          <w:tcPr>
            <w:tcW w:w="13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实际完成值</w:t>
            </w:r>
          </w:p>
        </w:tc>
        <w:tc>
          <w:tcPr>
            <w:tcW w:w="15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4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c>
          <w:tcPr>
            <w:tcW w:w="17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30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年度绩效指标完成情况</w:t>
            </w:r>
          </w:p>
        </w:tc>
        <w:tc>
          <w:tcPr>
            <w:tcW w:w="1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人大代表总人数</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=1337人</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=1103人</w:t>
            </w: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5.63</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因工作调动，人大代表有调整。整改措施：制定目标时，根据实际情况及时调整。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“代表之家”数量</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=54个</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=54个</w:t>
            </w: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人大代表开展活动出勤率</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人大代表参会及时率</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&gt;=98%</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w:t>
            </w: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“代表之家”补助经费标准</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=0.28万元/个</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=0.28万元/个</w:t>
            </w: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社会成本指标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生态环境成本指标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监督“一府一委两院”依法行政</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人大代表满意度</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&gt;=98%</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w:t>
            </w: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89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总分</w:t>
            </w:r>
          </w:p>
        </w:tc>
        <w:tc>
          <w:tcPr>
            <w:tcW w:w="1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95.63分</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bl>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76BF06"/>
    <w:multiLevelType w:val="singleLevel"/>
    <w:tmpl w:val="8576BF06"/>
    <w:lvl w:ilvl="0" w:tentative="0">
      <w:start w:val="1"/>
      <w:numFmt w:val="decimal"/>
      <w:lvlText w:val="(%1)"/>
      <w:lvlJc w:val="left"/>
      <w:pPr>
        <w:ind w:left="1055" w:hanging="425"/>
      </w:pPr>
      <w:rPr>
        <w:rFonts w:hint="default"/>
      </w:rPr>
    </w:lvl>
  </w:abstractNum>
  <w:abstractNum w:abstractNumId="1">
    <w:nsid w:val="F4CD2B0F"/>
    <w:multiLevelType w:val="singleLevel"/>
    <w:tmpl w:val="F4CD2B0F"/>
    <w:lvl w:ilvl="0" w:tentative="0">
      <w:start w:val="1"/>
      <w:numFmt w:val="decimal"/>
      <w:suff w:val="nothing"/>
      <w:lvlText w:val="（%1）"/>
      <w:lvlJc w:val="left"/>
      <w:pPr>
        <w:ind w:left="200"/>
      </w:p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340491"/>
    <w:rsid w:val="03EC461B"/>
    <w:rsid w:val="05510EE8"/>
    <w:rsid w:val="06B15A21"/>
    <w:rsid w:val="071A5591"/>
    <w:rsid w:val="07397B77"/>
    <w:rsid w:val="0AD007F3"/>
    <w:rsid w:val="0AFC76F5"/>
    <w:rsid w:val="0D082A6E"/>
    <w:rsid w:val="0D847E39"/>
    <w:rsid w:val="0E3C619F"/>
    <w:rsid w:val="0F6273CA"/>
    <w:rsid w:val="100F38EC"/>
    <w:rsid w:val="11170296"/>
    <w:rsid w:val="11FDCC81"/>
    <w:rsid w:val="12C66037"/>
    <w:rsid w:val="12CD1ABC"/>
    <w:rsid w:val="13471461"/>
    <w:rsid w:val="13B90F01"/>
    <w:rsid w:val="155E4C4D"/>
    <w:rsid w:val="181066D2"/>
    <w:rsid w:val="1C671E73"/>
    <w:rsid w:val="1D322C47"/>
    <w:rsid w:val="1FC54992"/>
    <w:rsid w:val="20161632"/>
    <w:rsid w:val="22290DFD"/>
    <w:rsid w:val="23616034"/>
    <w:rsid w:val="23696C97"/>
    <w:rsid w:val="23AD42AA"/>
    <w:rsid w:val="24480FA2"/>
    <w:rsid w:val="25227A45"/>
    <w:rsid w:val="259557B7"/>
    <w:rsid w:val="26AC3A6A"/>
    <w:rsid w:val="2B9D7E25"/>
    <w:rsid w:val="2BAFF1E9"/>
    <w:rsid w:val="2C7C7A3B"/>
    <w:rsid w:val="2F364819"/>
    <w:rsid w:val="2FD63906"/>
    <w:rsid w:val="37215DAE"/>
    <w:rsid w:val="38CA40DD"/>
    <w:rsid w:val="395F2B56"/>
    <w:rsid w:val="3B482032"/>
    <w:rsid w:val="3BBA0580"/>
    <w:rsid w:val="3BECE841"/>
    <w:rsid w:val="3CDE204C"/>
    <w:rsid w:val="3D363C36"/>
    <w:rsid w:val="3E7E20CC"/>
    <w:rsid w:val="3E9C3F6D"/>
    <w:rsid w:val="3FF7797D"/>
    <w:rsid w:val="42F16CBA"/>
    <w:rsid w:val="46690BD8"/>
    <w:rsid w:val="49F70BF1"/>
    <w:rsid w:val="4B4340EE"/>
    <w:rsid w:val="4B8D0681"/>
    <w:rsid w:val="4C9D9433"/>
    <w:rsid w:val="4CD35F5F"/>
    <w:rsid w:val="4D365890"/>
    <w:rsid w:val="4E6D21D5"/>
    <w:rsid w:val="503D507A"/>
    <w:rsid w:val="51FA74D0"/>
    <w:rsid w:val="52AA4A52"/>
    <w:rsid w:val="539D3AD1"/>
    <w:rsid w:val="551E3F4A"/>
    <w:rsid w:val="57EEBE46"/>
    <w:rsid w:val="59943D66"/>
    <w:rsid w:val="59E051FD"/>
    <w:rsid w:val="59E6355E"/>
    <w:rsid w:val="5B821531"/>
    <w:rsid w:val="5BFF6039"/>
    <w:rsid w:val="5D76A616"/>
    <w:rsid w:val="5D7F20B9"/>
    <w:rsid w:val="5DAC7D0E"/>
    <w:rsid w:val="5DFA0EAC"/>
    <w:rsid w:val="5E6D1EF9"/>
    <w:rsid w:val="5EEA6EA6"/>
    <w:rsid w:val="5F98B5AF"/>
    <w:rsid w:val="5FFE8511"/>
    <w:rsid w:val="5FFEACE2"/>
    <w:rsid w:val="609D5BF6"/>
    <w:rsid w:val="60C70437"/>
    <w:rsid w:val="61073070"/>
    <w:rsid w:val="61B9080E"/>
    <w:rsid w:val="61DF3FED"/>
    <w:rsid w:val="61F3348E"/>
    <w:rsid w:val="62606CE8"/>
    <w:rsid w:val="642B176B"/>
    <w:rsid w:val="643EE26D"/>
    <w:rsid w:val="656019A0"/>
    <w:rsid w:val="65F242EE"/>
    <w:rsid w:val="666D7E19"/>
    <w:rsid w:val="68376930"/>
    <w:rsid w:val="68F91E38"/>
    <w:rsid w:val="6B3158B9"/>
    <w:rsid w:val="6BA02A3F"/>
    <w:rsid w:val="6BFBDFB4"/>
    <w:rsid w:val="6BFD6FA9"/>
    <w:rsid w:val="6C105349"/>
    <w:rsid w:val="6C1E5A53"/>
    <w:rsid w:val="6DEF29D5"/>
    <w:rsid w:val="6F52FC51"/>
    <w:rsid w:val="6F5C41AC"/>
    <w:rsid w:val="6FAF6C78"/>
    <w:rsid w:val="70062501"/>
    <w:rsid w:val="716167CC"/>
    <w:rsid w:val="718A7AD1"/>
    <w:rsid w:val="72A44BC2"/>
    <w:rsid w:val="72C5733C"/>
    <w:rsid w:val="7317C656"/>
    <w:rsid w:val="734ED73F"/>
    <w:rsid w:val="73C82B32"/>
    <w:rsid w:val="73DD3D42"/>
    <w:rsid w:val="73F94DAE"/>
    <w:rsid w:val="74220495"/>
    <w:rsid w:val="747D1B6F"/>
    <w:rsid w:val="749E5641"/>
    <w:rsid w:val="76271066"/>
    <w:rsid w:val="77FD8BE9"/>
    <w:rsid w:val="78000AED"/>
    <w:rsid w:val="78036054"/>
    <w:rsid w:val="79A9BD3F"/>
    <w:rsid w:val="7A9F31E5"/>
    <w:rsid w:val="7AC5270E"/>
    <w:rsid w:val="7AFE4F6A"/>
    <w:rsid w:val="7B776F12"/>
    <w:rsid w:val="7BCA1904"/>
    <w:rsid w:val="7BDF3014"/>
    <w:rsid w:val="7BE58E6E"/>
    <w:rsid w:val="7BF33335"/>
    <w:rsid w:val="7BFFFDD0"/>
    <w:rsid w:val="7C336E5F"/>
    <w:rsid w:val="7C8D4919"/>
    <w:rsid w:val="7D7A5F86"/>
    <w:rsid w:val="7D9B7003"/>
    <w:rsid w:val="7E4B683A"/>
    <w:rsid w:val="7E5E656D"/>
    <w:rsid w:val="7E8F2BCB"/>
    <w:rsid w:val="7F37BB4E"/>
    <w:rsid w:val="7FEF918E"/>
    <w:rsid w:val="7FF4FB6F"/>
    <w:rsid w:val="7FF7FF27"/>
    <w:rsid w:val="7FFDF714"/>
    <w:rsid w:val="AF3FCD8C"/>
    <w:rsid w:val="B2AE94DF"/>
    <w:rsid w:val="B35CA60D"/>
    <w:rsid w:val="B5F76A0C"/>
    <w:rsid w:val="B9FA2A43"/>
    <w:rsid w:val="BA432B48"/>
    <w:rsid w:val="BAD8B02E"/>
    <w:rsid w:val="BF7BA1E4"/>
    <w:rsid w:val="BFDF04FA"/>
    <w:rsid w:val="BFE227EF"/>
    <w:rsid w:val="CF2A1ABD"/>
    <w:rsid w:val="DA7D3CD9"/>
    <w:rsid w:val="DBDC0ADA"/>
    <w:rsid w:val="DC6FBCA4"/>
    <w:rsid w:val="DE7C2D42"/>
    <w:rsid w:val="DEDE2B06"/>
    <w:rsid w:val="DF6F6F74"/>
    <w:rsid w:val="DFFDA668"/>
    <w:rsid w:val="EBFA31C2"/>
    <w:rsid w:val="EFFB2C52"/>
    <w:rsid w:val="F3F4A11B"/>
    <w:rsid w:val="F7B44BF9"/>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2158</Words>
  <Characters>2225</Characters>
  <Lines>58</Lines>
  <Paragraphs>16</Paragraphs>
  <TotalTime>5</TotalTime>
  <ScaleCrop>false</ScaleCrop>
  <LinksUpToDate>false</LinksUpToDate>
  <CharactersWithSpaces>2225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2023-03-08T21:13:00Z</dcterms:created>
  <dc:creator>审核人</dc:creator>
  <cp:lastModifiedBy>Administrator</cp:lastModifiedBy>
  <dcterms:modified xsi:type="dcterms:W3CDTF">2025-05-07T08:35:06Z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