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eastAsia="华文中宋" w:cs="Times New Roman"/>
          <w:b/>
          <w:kern w:val="0"/>
          <w:sz w:val="52"/>
          <w:szCs w:val="52"/>
          <w:lang w:val="en-US" w:eastAsia="zh-CN"/>
        </w:rPr>
      </w:pPr>
    </w:p>
    <w:p>
      <w:pPr>
        <w:spacing w:line="540" w:lineRule="exact"/>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both"/>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昌州财建[2023]159号关于提前下达2024年车辆购置税收入补助地方（第一批）用于普通省道及</w:t>
      </w:r>
      <w:bookmarkStart w:id="3" w:name="_GoBack"/>
      <w:r>
        <w:rPr>
          <w:rFonts w:hint="default" w:ascii="Times New Roman" w:hAnsi="Times New Roman" w:eastAsia="方正小标宋_GBK" w:cs="Times New Roman"/>
          <w:kern w:val="0"/>
          <w:sz w:val="48"/>
          <w:szCs w:val="48"/>
        </w:rPr>
        <w:t>农村公路建设“以奖代补”资金预算的通知项目支出绩效评价报告</w:t>
      </w:r>
    </w:p>
    <w:bookmarkEnd w:id="3"/>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cs="Times New Roman"/>
        </w:rPr>
      </w:pPr>
    </w:p>
    <w:p>
      <w:pPr>
        <w:spacing w:line="540" w:lineRule="exact"/>
        <w:jc w:val="center"/>
        <w:rPr>
          <w:rFonts w:hint="default" w:ascii="Times New Roman" w:hAnsi="Times New Roman" w:eastAsia="仿宋_GB2312" w:cs="Times New Roman"/>
          <w:kern w:val="0"/>
          <w:sz w:val="30"/>
          <w:szCs w:val="30"/>
        </w:rPr>
      </w:pPr>
    </w:p>
    <w:p>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项目名称：昌州财建[2023]159号关于提前</w:t>
      </w:r>
      <w:r>
        <w:rPr>
          <w:rFonts w:hint="eastAsia" w:eastAsia="仿宋_GB2312" w:cs="Times New Roman"/>
          <w:kern w:val="0"/>
          <w:sz w:val="36"/>
          <w:szCs w:val="36"/>
          <w:lang w:eastAsia="zh-CN"/>
        </w:rPr>
        <w:t>下</w:t>
      </w:r>
      <w:r>
        <w:rPr>
          <w:rFonts w:hint="default" w:ascii="Times New Roman" w:hAnsi="Times New Roman" w:eastAsia="仿宋_GB2312" w:cs="Times New Roman"/>
          <w:kern w:val="0"/>
          <w:sz w:val="36"/>
          <w:szCs w:val="36"/>
        </w:rPr>
        <w:t>达2024年车辆购置税收入补助地方（第一批）用于普通省道及农村公路建设“以奖代补”资金预算的通知</w:t>
      </w:r>
    </w:p>
    <w:p>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实施单位（公章）：奇台县交通运输局</w:t>
      </w:r>
    </w:p>
    <w:p>
      <w:pPr>
        <w:pageBreakBefore w:val="0"/>
        <w:widowControl w:val="0"/>
        <w:kinsoku/>
        <w:wordWrap/>
        <w:overflowPunct/>
        <w:topLinePunct w:val="0"/>
        <w:autoSpaceDE/>
        <w:autoSpaceDN/>
        <w:bidi w:val="0"/>
        <w:adjustRightInd/>
        <w:spacing w:line="500" w:lineRule="exact"/>
        <w:ind w:left="0" w:leftChars="0" w:right="0" w:rightChars="0" w:firstLine="1440" w:firstLineChars="400"/>
        <w:jc w:val="both"/>
        <w:textAlignment w:val="auto"/>
        <w:rPr>
          <w:rFonts w:hint="eastAsia"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主管部门（公章）：奇台县交通运输局</w:t>
      </w:r>
    </w:p>
    <w:p>
      <w:pPr>
        <w:spacing w:line="700" w:lineRule="exact"/>
        <w:ind w:firstLine="1440" w:firstLineChars="400"/>
        <w:jc w:val="left"/>
        <w:rPr>
          <w:rFonts w:hint="eastAsia" w:ascii="Times New Roman" w:hAnsi="Times New Roman" w:eastAsia="仿宋_GB2312" w:cs="Times New Roman"/>
          <w:kern w:val="0"/>
          <w:sz w:val="36"/>
          <w:szCs w:val="36"/>
          <w:lang w:eastAsia="zh-CN"/>
        </w:rPr>
      </w:pPr>
      <w:r>
        <w:rPr>
          <w:rFonts w:hint="default" w:ascii="Times New Roman" w:hAnsi="Times New Roman" w:eastAsia="仿宋_GB2312" w:cs="Times New Roman"/>
          <w:kern w:val="0"/>
          <w:sz w:val="36"/>
          <w:szCs w:val="36"/>
        </w:rPr>
        <w:t>项目负责人（签章）：</w:t>
      </w:r>
      <w:r>
        <w:rPr>
          <w:rFonts w:hint="eastAsia" w:ascii="Times New Roman" w:hAnsi="Times New Roman" w:eastAsia="仿宋_GB2312" w:cs="Times New Roman"/>
          <w:kern w:val="0"/>
          <w:sz w:val="36"/>
          <w:szCs w:val="36"/>
          <w:lang w:eastAsia="zh-CN"/>
        </w:rPr>
        <w:t>阿克木</w:t>
      </w:r>
    </w:p>
    <w:p>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29</w:t>
      </w:r>
      <w:r>
        <w:rPr>
          <w:rFonts w:hint="default" w:ascii="Times New Roman" w:hAnsi="Times New Roman" w:eastAsia="仿宋_GB2312" w:cs="Times New Roman"/>
          <w:kern w:val="0"/>
          <w:sz w:val="36"/>
          <w:szCs w:val="36"/>
        </w:rPr>
        <w:t>日</w:t>
      </w: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根据《财政部关于提前下达2024年车辆购置税收入补助地方资金预算(第一批)的通知》(财建[2023]331号)及《关于提前下达 2024年农村公路车购税“以奖代补”切块资金建设项目计划的通知》(新交农路[2023]10号)，文件批准实施，项目主要建设内容为新建四级公路</w:t>
      </w:r>
      <w:r>
        <w:rPr>
          <w:rFonts w:hint="default" w:ascii="Times New Roman" w:hAnsi="Times New Roman" w:eastAsia="仿宋_GB2312" w:cs="Times New Roman"/>
          <w:sz w:val="32"/>
          <w:szCs w:val="32"/>
          <w:highlight w:val="none"/>
          <w:lang w:val="en-US" w:eastAsia="zh-CN"/>
        </w:rPr>
        <w:t>39.76</w:t>
      </w:r>
      <w:r>
        <w:rPr>
          <w:rFonts w:hint="eastAsia" w:ascii="Times New Roman" w:hAnsi="Times New Roman" w:eastAsia="仿宋_GB2312" w:cs="Times New Roman"/>
          <w:sz w:val="32"/>
          <w:szCs w:val="32"/>
          <w:highlight w:val="none"/>
          <w:lang w:val="en-US" w:eastAsia="zh-CN"/>
        </w:rPr>
        <w:t>公里，包括路基、路面、桥涵、安防及附属设施建设等工程。资金来源为2024年农村公路车购税“以奖代补”切块补助资金1631.94万元。</w:t>
      </w:r>
    </w:p>
    <w:p>
      <w:pPr>
        <w:pStyle w:val="10"/>
        <w:numPr>
          <w:ilvl w:val="0"/>
          <w:numId w:val="0"/>
        </w:numPr>
        <w:spacing w:before="0" w:after="0" w:line="560" w:lineRule="exact"/>
        <w:ind w:firstLine="643" w:firstLineChars="200"/>
        <w:jc w:val="both"/>
        <w:rPr>
          <w:rFonts w:hint="default" w:ascii="Times New Roman" w:hAnsi="Times New Roman" w:eastAsia="仿宋_GB2312" w:cs="Times New Roman"/>
          <w:kern w:val="2"/>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项目主要内容：</w:t>
      </w:r>
      <w:r>
        <w:rPr>
          <w:rFonts w:hint="eastAsia" w:ascii="Times New Roman" w:hAnsi="Times New Roman" w:eastAsia="仿宋_GB2312" w:cs="Times New Roman"/>
          <w:sz w:val="32"/>
          <w:szCs w:val="32"/>
          <w:highlight w:val="none"/>
          <w:lang w:val="en-US" w:eastAsia="zh-CN"/>
        </w:rPr>
        <w:t>建设道路全长39.76公里的路基、路面、桥涵、安防及附属设施建设等工程，有效解决当地居民出行，带动当地经济发展。</w:t>
      </w:r>
    </w:p>
    <w:p>
      <w:pPr>
        <w:shd w:val="clear"/>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项目实施情况：</w:t>
      </w:r>
      <w:r>
        <w:rPr>
          <w:rFonts w:hint="eastAsia" w:ascii="Times New Roman" w:hAnsi="Times New Roman" w:eastAsia="仿宋_GB2312" w:cs="Times New Roman"/>
          <w:sz w:val="32"/>
          <w:szCs w:val="32"/>
          <w:highlight w:val="none"/>
          <w:lang w:val="en-US" w:eastAsia="zh-CN"/>
        </w:rPr>
        <w:t>建设X166岔口-草原站-Y328岔口项目、东地二村-东地庙项目和乔仁一村、二村-乔仁项目,总设计里程8.538km.东地转弯桥（X166岔口）-草原站项目和五马场-东地十三村项目，路线全长11.008km.Y736岔口（K7+200）-半截沟镇牧场项目和石河子牧场-天文台项目，路线全长7.623km.通过项目实施有效解决当地居民出行，有效带动当地经济发展。</w:t>
      </w:r>
    </w:p>
    <w:p>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该项目年初预算数1631.94万元，全年预算数1631.94万元，该项目资金已全部落实到位，</w:t>
      </w:r>
      <w:r>
        <w:rPr>
          <w:rFonts w:hint="eastAsia" w:ascii="Times New Roman" w:hAnsi="Times New Roman" w:eastAsia="仿宋_GB2312" w:cs="Times New Roman"/>
          <w:sz w:val="32"/>
          <w:szCs w:val="32"/>
          <w:highlight w:val="none"/>
          <w:lang w:val="en-US" w:eastAsia="zh-CN"/>
        </w:rPr>
        <w:t>资金来源为2024年农村公路车购税“以奖代补”切块补助资金1631.94万元。</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该项目年初预算数1631.94万元，全年预算数1631.94万元</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全年执行数1631.94万元，预算执行率为</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%，主要用于：</w:t>
      </w:r>
      <w:r>
        <w:rPr>
          <w:rFonts w:hint="eastAsia" w:ascii="Times New Roman" w:hAnsi="Times New Roman" w:eastAsia="仿宋_GB2312" w:cs="Times New Roman"/>
          <w:sz w:val="32"/>
          <w:szCs w:val="32"/>
          <w:highlight w:val="none"/>
          <w:lang w:val="en-US" w:eastAsia="zh-CN"/>
        </w:rPr>
        <w:t>奇台县农村公路自然村通硬化路，村道安防及其它路网的修建。</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用来2024年车辆购置税收入补助地方（第一批）用于普通省道及农村公路建设“以奖代补”项目，项目总建设总里程为39.76公里，该项目的建设满足农村公路建设发展，造福农民百姓，从农民的根本利益出发谋发展、促发展，最终让发展的成果惠及全体群众</w:t>
      </w:r>
      <w:r>
        <w:rPr>
          <w:rFonts w:hint="eastAsia" w:eastAsia="仿宋_GB2312" w:cs="Times New Roman"/>
          <w:sz w:val="32"/>
          <w:szCs w:val="32"/>
          <w:highlight w:val="none"/>
          <w:lang w:val="en-US" w:eastAsia="zh-CN"/>
        </w:rPr>
        <w:t>，为居民出行提供了便利。</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阶段性目标</w:t>
      </w:r>
    </w:p>
    <w:p>
      <w:pPr>
        <w:spacing w:line="560" w:lineRule="exact"/>
        <w:ind w:firstLine="640" w:firstLineChars="200"/>
        <w:rPr>
          <w:rFonts w:hint="default" w:ascii="Times New Roman" w:hAnsi="Times New Roman" w:eastAsia="仿宋_GB2312" w:cs="Times New Roman"/>
          <w:sz w:val="32"/>
          <w:szCs w:val="32"/>
          <w:lang w:eastAsia="zh-CN"/>
        </w:rPr>
      </w:pPr>
      <w:r>
        <w:rPr>
          <w:rFonts w:hint="eastAsia" w:eastAsia="仿宋_GB2312" w:cs="Times New Roman"/>
          <w:sz w:val="32"/>
          <w:szCs w:val="32"/>
          <w:lang w:val="en-US" w:eastAsia="zh-CN"/>
        </w:rPr>
        <w:t>截止9月30日</w:t>
      </w:r>
      <w:r>
        <w:rPr>
          <w:rFonts w:hint="default" w:ascii="Times New Roman" w:hAnsi="Times New Roman" w:eastAsia="仿宋_GB2312" w:cs="Times New Roman"/>
          <w:sz w:val="32"/>
          <w:szCs w:val="32"/>
          <w:lang w:eastAsia="zh-CN"/>
        </w:rPr>
        <w:t>该项目已全部完工，项目总建设总里程为39.76公里，该项目的建设满足农村公路建设发展，造福农民百姓，从农民的根本利益出发谋发展、促发展，最终让发展的成果惠及全体群众</w:t>
      </w:r>
      <w:r>
        <w:rPr>
          <w:rFonts w:hint="eastAsia" w:eastAsia="仿宋_GB2312" w:cs="Times New Roman"/>
          <w:sz w:val="32"/>
          <w:szCs w:val="32"/>
          <w:lang w:eastAsia="zh-CN"/>
        </w:rPr>
        <w:t>。</w:t>
      </w:r>
    </w:p>
    <w:p>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pPr>
        <w:spacing w:line="240" w:lineRule="auto"/>
        <w:ind w:firstLine="640" w:firstLineChars="200"/>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w:t>
      </w:r>
      <w:r>
        <w:rPr>
          <w:rFonts w:hint="eastAsia" w:ascii="Times New Roman" w:hAnsi="Times New Roman" w:eastAsia="仿宋_GB2312" w:cs="Times New Roman"/>
          <w:sz w:val="32"/>
          <w:szCs w:val="32"/>
          <w:highlight w:val="none"/>
          <w:lang w:val="en-US" w:eastAsia="zh-CN"/>
        </w:rPr>
        <w:t>同时设置一级指标4项，如产出指标、成本指标、效益指标、满意度指标。二级指标6项，如数量指标、质量指标、时效指标、经济成本指标、社会效益指标、满意度指标。三级指标8项，如公路建设里程数、公路等级、公路工程质量达标率、计划开工时间、公路建设成本、公路使用年限、提升公路安全水平、群众满意度。</w:t>
      </w:r>
    </w:p>
    <w:p>
      <w:pPr>
        <w:spacing w:line="240" w:lineRule="auto"/>
        <w:ind w:firstLine="640" w:firstLineChars="200"/>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在评价指标体系的构建上，充分考虑了项目的性质、目标以及预期成果，涵盖</w:t>
      </w:r>
      <w:r>
        <w:rPr>
          <w:rFonts w:hint="eastAsia" w:eastAsia="仿宋_GB2312" w:cs="Times New Roman"/>
          <w:sz w:val="32"/>
          <w:szCs w:val="32"/>
          <w:highlight w:val="none"/>
          <w:lang w:val="en-US" w:eastAsia="zh-CN"/>
        </w:rPr>
        <w:t>了</w:t>
      </w:r>
      <w:r>
        <w:rPr>
          <w:rFonts w:hint="default" w:ascii="Times New Roman" w:hAnsi="Times New Roman" w:eastAsia="仿宋_GB2312" w:cs="Times New Roman"/>
          <w:sz w:val="32"/>
          <w:szCs w:val="32"/>
          <w:highlight w:val="none"/>
          <w:lang w:val="en-US" w:eastAsia="zh-CN"/>
        </w:rPr>
        <w:t>社会效益等多个维度，力求全方位反映项目的绩效状况。同时，对于每个指标的评价标准和数据来源均进行了明确说明，确保评价结果的客观性和可追溯性。</w:t>
      </w:r>
      <w:r>
        <w:rPr>
          <w:rFonts w:hint="eastAsia" w:eastAsia="仿宋_GB2312" w:cs="Times New Roman"/>
          <w:sz w:val="32"/>
          <w:szCs w:val="32"/>
          <w:highlight w:val="none"/>
          <w:lang w:val="en-US" w:eastAsia="zh-CN"/>
        </w:rPr>
        <w:t>如：</w:t>
      </w:r>
      <w:r>
        <w:rPr>
          <w:rFonts w:hint="default" w:ascii="Times New Roman" w:hAnsi="Times New Roman" w:eastAsia="仿宋_GB2312" w:cs="Times New Roman"/>
          <w:sz w:val="32"/>
          <w:szCs w:val="32"/>
          <w:highlight w:val="none"/>
        </w:rPr>
        <w:t>数量指标</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公路建设里程数，指标值：&gt;=39.76公里</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质量指标</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公路等级</w:t>
      </w:r>
      <w:r>
        <w:rPr>
          <w:rFonts w:hint="eastAsia" w:eastAsia="仿宋_GB2312" w:cs="Times New Roman"/>
          <w:sz w:val="32"/>
          <w:szCs w:val="32"/>
          <w:highlight w:val="none"/>
          <w:lang w:val="en-US" w:eastAsia="zh-CN"/>
        </w:rPr>
        <w:t>，指标值:大于等于四级；</w:t>
      </w:r>
      <w:r>
        <w:rPr>
          <w:rFonts w:hint="default" w:ascii="Times New Roman" w:hAnsi="Times New Roman" w:eastAsia="仿宋_GB2312" w:cs="Times New Roman"/>
          <w:sz w:val="32"/>
          <w:szCs w:val="32"/>
          <w:highlight w:val="none"/>
        </w:rPr>
        <w:t>时效指标</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计划开工时间</w:t>
      </w:r>
      <w:r>
        <w:rPr>
          <w:rFonts w:hint="eastAsia" w:eastAsia="仿宋_GB2312" w:cs="Times New Roman"/>
          <w:sz w:val="32"/>
          <w:szCs w:val="32"/>
          <w:highlight w:val="none"/>
          <w:lang w:val="en-US" w:eastAsia="zh-CN"/>
        </w:rPr>
        <w:t>，指标值:=2024年5月；</w:t>
      </w:r>
      <w:r>
        <w:rPr>
          <w:rFonts w:hint="default" w:ascii="Times New Roman" w:hAnsi="Times New Roman" w:eastAsia="仿宋_GB2312" w:cs="Times New Roman"/>
          <w:sz w:val="32"/>
          <w:szCs w:val="32"/>
          <w:highlight w:val="none"/>
        </w:rPr>
        <w:t>社会效益指标</w:t>
      </w:r>
      <w:r>
        <w:rPr>
          <w:rFonts w:hint="eastAsia" w:eastAsia="仿宋_GB2312" w:cs="Times New Roman"/>
          <w:sz w:val="32"/>
          <w:szCs w:val="32"/>
          <w:highlight w:val="none"/>
          <w:lang w:eastAsia="zh-CN"/>
        </w:rPr>
        <w:t>：明显</w:t>
      </w:r>
      <w:r>
        <w:rPr>
          <w:rFonts w:hint="default" w:eastAsia="仿宋_GB2312" w:cs="Times New Roman"/>
          <w:sz w:val="32"/>
          <w:szCs w:val="32"/>
          <w:highlight w:val="none"/>
          <w:lang w:val="en-US" w:eastAsia="zh-CN"/>
        </w:rPr>
        <w:t>提升</w:t>
      </w:r>
      <w:r>
        <w:rPr>
          <w:rFonts w:hint="default" w:ascii="Times New Roman" w:hAnsi="Times New Roman" w:eastAsia="仿宋_GB2312" w:cs="Times New Roman"/>
          <w:sz w:val="32"/>
          <w:szCs w:val="32"/>
          <w:highlight w:val="none"/>
          <w:lang w:val="en-US" w:eastAsia="zh-CN"/>
        </w:rPr>
        <w:t>公路安全水平</w:t>
      </w:r>
      <w:r>
        <w:rPr>
          <w:rFonts w:hint="eastAsia" w:eastAsia="仿宋_GB2312" w:cs="Times New Roman"/>
          <w:sz w:val="32"/>
          <w:szCs w:val="32"/>
          <w:highlight w:val="none"/>
          <w:lang w:val="en-US" w:eastAsia="zh-CN"/>
        </w:rPr>
        <w:t>。</w:t>
      </w:r>
    </w:p>
    <w:p>
      <w:pPr>
        <w:ind w:firstLine="640" w:firstLineChars="200"/>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在数据收集与分析环节，运用专业的统计分析工具对数据进行深入挖掘，保证了评价数据的真实性和有效性。</w:t>
      </w:r>
      <w:r>
        <w:rPr>
          <w:rFonts w:hint="eastAsia" w:ascii="Times New Roman" w:hAnsi="Times New Roman" w:eastAsia="仿宋_GB2312" w:cs="Times New Roman"/>
          <w:sz w:val="32"/>
          <w:szCs w:val="32"/>
          <w:highlight w:val="none"/>
          <w:lang w:val="en-US" w:eastAsia="zh-CN"/>
        </w:rPr>
        <w:t>基础数据、资全部来源于项目实施过程中产生的数据，均有各自参与单位的签字认可，且通过审计单位审定和奇台县交通运输局联合验收小组验收，</w:t>
      </w:r>
      <w:r>
        <w:rPr>
          <w:rFonts w:hint="default" w:ascii="Times New Roman" w:hAnsi="Times New Roman" w:eastAsia="仿宋_GB2312" w:cs="Times New Roman"/>
          <w:sz w:val="32"/>
          <w:szCs w:val="32"/>
          <w:highlight w:val="none"/>
          <w:lang w:val="en-US" w:eastAsia="zh-CN"/>
        </w:rPr>
        <w:t>保证了评价数据的真实性和有效性</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highlight w:val="none"/>
        </w:rPr>
        <w:t>通过</w:t>
      </w:r>
      <w:r>
        <w:rPr>
          <w:rFonts w:hint="default" w:ascii="Times New Roman" w:hAnsi="Times New Roman" w:eastAsia="仿宋_GB2312" w:cs="Times New Roman"/>
          <w:sz w:val="32"/>
          <w:szCs w:val="32"/>
        </w:rPr>
        <w:t>全面了解</w:t>
      </w:r>
      <w:r>
        <w:rPr>
          <w:rFonts w:hint="default" w:ascii="Times New Roman" w:hAnsi="Times New Roman" w:eastAsia="仿宋_GB2312" w:cs="Times New Roman"/>
          <w:sz w:val="32"/>
          <w:szCs w:val="32"/>
          <w:highlight w:val="none"/>
          <w:lang w:val="en-US" w:eastAsia="zh-CN"/>
        </w:rPr>
        <w:t>2024年车辆购置税收入补助地方（第一批）用于普通省道及农村公路建设“以奖代补”项目</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rPr>
        <w:t>在</w:t>
      </w:r>
      <w:r>
        <w:rPr>
          <w:rFonts w:hint="default" w:ascii="Times New Roman" w:hAnsi="Times New Roman" w:eastAsia="仿宋_GB2312" w:cs="Times New Roman"/>
          <w:sz w:val="32"/>
          <w:szCs w:val="32"/>
          <w:highlight w:val="none"/>
          <w:lang w:val="en-US" w:eastAsia="zh-CN"/>
        </w:rPr>
        <w:t>农村公路建设发展，造福农民百姓</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提升公路安全水平</w:t>
      </w:r>
      <w:r>
        <w:rPr>
          <w:rFonts w:hint="default" w:ascii="Times New Roman" w:hAnsi="Times New Roman" w:eastAsia="仿宋_GB2312" w:cs="Times New Roman"/>
          <w:sz w:val="32"/>
          <w:szCs w:val="32"/>
        </w:rPr>
        <w:t>等方面所取得的实际效果，判断群众满意度的实现程度。</w:t>
      </w:r>
      <w:r>
        <w:rPr>
          <w:rFonts w:hint="default" w:ascii="Times New Roman" w:hAnsi="Times New Roman" w:eastAsia="仿宋_GB2312" w:cs="Times New Roman"/>
          <w:sz w:val="32"/>
          <w:szCs w:val="32"/>
          <w:highlight w:val="none"/>
        </w:rPr>
        <w:t>项目预算执行情况及各项绩效目标达成程度的系统性分析，</w:t>
      </w:r>
      <w:r>
        <w:rPr>
          <w:rFonts w:hint="eastAsia" w:eastAsia="仿宋_GB2312" w:cs="Times New Roman"/>
          <w:sz w:val="32"/>
          <w:szCs w:val="32"/>
          <w:highlight w:val="none"/>
          <w:lang w:eastAsia="zh-CN"/>
        </w:rPr>
        <w:t>该</w:t>
      </w:r>
      <w:r>
        <w:rPr>
          <w:rFonts w:hint="default" w:ascii="Times New Roman" w:hAnsi="Times New Roman" w:eastAsia="仿宋_GB2312" w:cs="Times New Roman"/>
          <w:sz w:val="32"/>
          <w:szCs w:val="32"/>
          <w:highlight w:val="none"/>
        </w:rPr>
        <w:t>项目总建设总里程为39.76公里，该项目的建设满足农村公路建设发展，造福农民百姓，从农民的根本利益出发谋发展、促发展，最终让发展的成果惠及全体群众。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通过分析投入与产出的关系，明确</w:t>
      </w:r>
      <w:r>
        <w:rPr>
          <w:rFonts w:hint="default" w:ascii="Times New Roman" w:hAnsi="Times New Roman" w:eastAsia="仿宋_GB2312" w:cs="Times New Roman"/>
          <w:sz w:val="32"/>
          <w:szCs w:val="32"/>
          <w:highlight w:val="none"/>
          <w:lang w:val="en-US" w:eastAsia="zh-CN"/>
        </w:rPr>
        <w:t>2024年车辆购置税收入补助地方（第一批）用于普通省道及农村公路建设“以奖代补”项目</w:t>
      </w:r>
      <w:r>
        <w:rPr>
          <w:rFonts w:hint="default" w:ascii="Times New Roman" w:hAnsi="Times New Roman" w:eastAsia="仿宋_GB2312" w:cs="Times New Roman"/>
          <w:sz w:val="32"/>
          <w:szCs w:val="32"/>
        </w:rPr>
        <w:t>在</w:t>
      </w:r>
      <w:r>
        <w:rPr>
          <w:rFonts w:hint="default" w:ascii="Times New Roman" w:hAnsi="Times New Roman" w:eastAsia="仿宋_GB2312" w:cs="Times New Roman"/>
          <w:sz w:val="32"/>
          <w:szCs w:val="32"/>
          <w:highlight w:val="none"/>
          <w:lang w:val="en-US" w:eastAsia="zh-CN"/>
        </w:rPr>
        <w:t>农村公路建设发展</w:t>
      </w:r>
      <w:r>
        <w:rPr>
          <w:rFonts w:hint="default" w:ascii="Times New Roman" w:hAnsi="Times New Roman" w:eastAsia="仿宋_GB2312" w:cs="Times New Roman"/>
          <w:sz w:val="32"/>
          <w:szCs w:val="32"/>
        </w:rPr>
        <w:t>中的使用效率，为后续资金分配、资源投入方向提供科学依据，使资源得到更合理有效的利用。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rPr>
        <w:t>及时发现</w:t>
      </w:r>
      <w:r>
        <w:rPr>
          <w:rFonts w:hint="default" w:ascii="Times New Roman" w:hAnsi="Times New Roman" w:eastAsia="仿宋_GB2312" w:cs="Times New Roman"/>
          <w:sz w:val="32"/>
          <w:szCs w:val="32"/>
          <w:highlight w:val="none"/>
          <w:lang w:val="en-US" w:eastAsia="zh-CN"/>
        </w:rPr>
        <w:t>2024年车辆购置税收入补助地方（第一批）用于普通省道及农村公路建设“以奖代补”项目</w:t>
      </w:r>
      <w:r>
        <w:rPr>
          <w:rFonts w:hint="default" w:ascii="Times New Roman" w:hAnsi="Times New Roman" w:eastAsia="仿宋_GB2312" w:cs="Times New Roman"/>
          <w:sz w:val="32"/>
          <w:szCs w:val="32"/>
        </w:rPr>
        <w:t>工作中存在的问题，如</w:t>
      </w:r>
      <w:r>
        <w:rPr>
          <w:rFonts w:hint="eastAsia" w:eastAsia="仿宋_GB2312" w:cs="Times New Roman"/>
          <w:sz w:val="32"/>
          <w:szCs w:val="32"/>
          <w:highlight w:val="none"/>
          <w:lang w:val="en-US" w:eastAsia="zh-CN"/>
        </w:rPr>
        <w:t>年初指标设置不严谨，年初设置指标时只考虑了前期的问题，</w:t>
      </w:r>
      <w:r>
        <w:rPr>
          <w:rFonts w:hint="eastAsia" w:eastAsia="仿宋_GB2312" w:cs="Times New Roman"/>
          <w:color w:val="000000" w:themeColor="text1"/>
          <w:sz w:val="32"/>
          <w:szCs w:val="32"/>
          <w:highlight w:val="none"/>
          <w:lang w:val="en-US" w:eastAsia="zh-CN"/>
          <w14:textFill>
            <w14:solidFill>
              <w14:schemeClr w14:val="tx1"/>
            </w14:solidFill>
          </w14:textFill>
        </w:rPr>
        <w:t>未对后期总体的工程进行全面考虑</w:t>
      </w:r>
      <w:r>
        <w:rPr>
          <w:rFonts w:hint="eastAsia" w:eastAsia="仿宋_GB2312" w:cs="Times New Roman"/>
          <w:sz w:val="32"/>
          <w:szCs w:val="32"/>
          <w:highlight w:val="none"/>
          <w:lang w:val="en-US" w:eastAsia="zh-CN"/>
        </w:rPr>
        <w:t>，指标设置不全面，</w:t>
      </w:r>
      <w:r>
        <w:rPr>
          <w:rFonts w:hint="default" w:ascii="Times New Roman" w:hAnsi="Times New Roman" w:eastAsia="仿宋_GB2312" w:cs="Times New Roman"/>
          <w:sz w:val="32"/>
          <w:szCs w:val="32"/>
        </w:rPr>
        <w:t>等，以便采取针对性措施加以改进，提高项目实施质量。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根据绩效评价结果，为</w:t>
      </w:r>
      <w:r>
        <w:rPr>
          <w:rFonts w:hint="default" w:ascii="Times New Roman" w:hAnsi="Times New Roman" w:eastAsia="仿宋_GB2312" w:cs="Times New Roman"/>
          <w:sz w:val="32"/>
          <w:szCs w:val="32"/>
          <w:highlight w:val="none"/>
          <w:lang w:val="en-US" w:eastAsia="zh-CN"/>
        </w:rPr>
        <w:t>2024年车辆购置税收入补助地方（第一批）用于普通省道及农村公路建设“以奖代补”项目</w:t>
      </w:r>
      <w:r>
        <w:rPr>
          <w:rFonts w:hint="default" w:ascii="Times New Roman" w:hAnsi="Times New Roman" w:eastAsia="仿宋_GB2312" w:cs="Times New Roman"/>
          <w:sz w:val="32"/>
          <w:szCs w:val="32"/>
        </w:rPr>
        <w:t>调整、完善提供数据支持和决策参考，确保政策的科学性、有效性和可持续性。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w:t>
      </w:r>
      <w:r>
        <w:rPr>
          <w:rFonts w:hint="default" w:ascii="Times New Roman" w:hAnsi="Times New Roman" w:eastAsia="仿宋_GB2312" w:cs="Times New Roman"/>
          <w:sz w:val="32"/>
          <w:szCs w:val="32"/>
          <w:highlight w:val="none"/>
          <w:lang w:val="en-US" w:eastAsia="zh-CN"/>
        </w:rPr>
        <w:t>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绩效评价的对象</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对象是昌州财建[2023]159号关于提前下达2024年车辆购置税收入补助地方（第一批）用于普通省道及农村公路建设“以奖代补”资金预算的通知及其预算执行情况。该项目由奇台县交通运输局负责实施，旨在</w:t>
      </w:r>
      <w:r>
        <w:rPr>
          <w:rFonts w:hint="eastAsia" w:ascii="Times New Roman" w:hAnsi="Times New Roman" w:eastAsia="仿宋_GB2312" w:cs="Times New Roman"/>
          <w:b w:val="0"/>
          <w:bCs w:val="0"/>
          <w:highlight w:val="none"/>
          <w:lang w:val="en-US" w:eastAsia="zh-CN"/>
        </w:rPr>
        <w:t>完成建设39.76公里的公路建设，计划于2024年5月开工，提升公路安全水平，为群众出行提供便利，</w:t>
      </w:r>
      <w:r>
        <w:rPr>
          <w:rFonts w:hint="default" w:ascii="Times New Roman" w:hAnsi="Times New Roman" w:eastAsia="仿宋_GB2312" w:cs="Times New Roman"/>
          <w:b w:val="0"/>
          <w:bCs w:val="0"/>
          <w:highlight w:val="none"/>
        </w:rPr>
        <w:t>项目预算涵盖从</w:t>
      </w:r>
      <w:r>
        <w:rPr>
          <w:rFonts w:hint="eastAsia" w:ascii="Times New Roman" w:hAnsi="Times New Roman" w:eastAsia="仿宋_GB2312" w:cs="Times New Roman"/>
          <w:b w:val="0"/>
          <w:bCs w:val="0"/>
          <w:highlight w:val="none"/>
          <w:lang w:val="en-US" w:eastAsia="zh-CN"/>
        </w:rPr>
        <w:t>2024年4月16日至2024年9月30日</w:t>
      </w:r>
      <w:r>
        <w:rPr>
          <w:rFonts w:hint="default" w:ascii="Times New Roman" w:hAnsi="Times New Roman" w:eastAsia="仿宋_GB2312" w:cs="Times New Roman"/>
          <w:b w:val="0"/>
          <w:bCs w:val="0"/>
          <w:highlight w:val="none"/>
        </w:rPr>
        <w:t>的全部资金投入与支出，涉及资金总额为1631.94</w:t>
      </w:r>
      <w:r>
        <w:rPr>
          <w:rFonts w:hint="default" w:ascii="Times New Roman" w:hAnsi="Times New Roman" w:eastAsia="仿宋_GB2312" w:cs="Times New Roman"/>
          <w:b w:val="0"/>
          <w:bCs w:val="0"/>
          <w:highlight w:val="none"/>
          <w:lang w:val="en-US" w:eastAsia="zh-CN"/>
        </w:rPr>
        <w:t>万</w:t>
      </w:r>
      <w:r>
        <w:rPr>
          <w:rFonts w:hint="default" w:ascii="Times New Roman" w:hAnsi="Times New Roman" w:eastAsia="仿宋_GB2312" w:cs="Times New Roman"/>
          <w:b w:val="0"/>
          <w:bCs w:val="0"/>
          <w:highlight w:val="none"/>
        </w:rPr>
        <w:t>元。</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rPr>
        <w:t>绩效评价的范围</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社会影响：考察项目对社会方面的综合影响。</w:t>
      </w:r>
    </w:p>
    <w:p>
      <w:pPr>
        <w:spacing w:line="560" w:lineRule="exact"/>
        <w:ind w:firstLine="643" w:firstLineChars="200"/>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w:t>
      </w:r>
      <w:r>
        <w:rPr>
          <w:rFonts w:hint="eastAsia" w:ascii="Times New Roman" w:hAnsi="Times New Roman" w:eastAsia="仿宋_GB2312" w:cs="Times New Roman"/>
          <w:b w:val="0"/>
          <w:bCs w:val="0"/>
          <w:lang w:eastAsia="zh-CN"/>
        </w:rPr>
        <w:t>受</w:t>
      </w:r>
      <w:r>
        <w:rPr>
          <w:rFonts w:hint="default" w:ascii="Times New Roman" w:hAnsi="Times New Roman" w:eastAsia="仿宋_GB2312" w:cs="Times New Roman"/>
          <w:b w:val="0"/>
          <w:bCs w:val="0"/>
        </w:rPr>
        <w:t>社会监督。</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pPr>
        <w:spacing w:line="560" w:lineRule="exact"/>
        <w:ind w:firstLine="708" w:firstLineChars="200"/>
        <w:rPr>
          <w:rFonts w:hint="default" w:ascii="Times New Roman" w:hAnsi="Times New Roman" w:eastAsia="仿宋_GB2312" w:cs="Times New Roman"/>
          <w:color w:val="FF0000"/>
          <w:spacing w:val="17"/>
          <w:sz w:val="32"/>
          <w:szCs w:val="32"/>
          <w:lang w:eastAsia="zh-CN"/>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10"/>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pPr>
        <w:pStyle w:val="10"/>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绩效评价从项目决策、项目过程、项目产出、项目效益四个维度进行评价。评价对象为项目目标实施情况，评价</w:t>
      </w:r>
      <w:r>
        <w:rPr>
          <w:rFonts w:hint="default" w:ascii="Times New Roman" w:hAnsi="Times New Roman" w:eastAsia="仿宋_GB2312" w:cs="Times New Roman"/>
          <w:color w:val="000000"/>
          <w:spacing w:val="17"/>
          <w:sz w:val="32"/>
          <w:szCs w:val="32"/>
          <w:highlight w:val="none"/>
        </w:rPr>
        <w:t>核心为资金的支出完成情况和项目的产出效益。</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 xml:space="preserve">（一）成本效益分析法。是指将投入与产出、效益进行关联性分析的方法。 </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二</w:t>
      </w:r>
      <w:r>
        <w:rPr>
          <w:rFonts w:hint="default" w:ascii="Times New Roman" w:hAnsi="Times New Roman" w:eastAsia="仿宋_GB2312" w:cs="Times New Roman"/>
          <w:color w:val="000000"/>
          <w:spacing w:val="17"/>
          <w:sz w:val="32"/>
          <w:szCs w:val="32"/>
          <w:highlight w:val="none"/>
        </w:rPr>
        <w:t>）因素分析法。是指综合分析影响绩效目标实现、实施效果的内外部因素的方法。</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三</w:t>
      </w:r>
      <w:r>
        <w:rPr>
          <w:rFonts w:hint="default" w:ascii="Times New Roman" w:hAnsi="Times New Roman" w:eastAsia="仿宋_GB2312" w:cs="Times New Roman"/>
          <w:color w:val="000000"/>
          <w:spacing w:val="17"/>
          <w:sz w:val="32"/>
          <w:szCs w:val="32"/>
          <w:highlight w:val="none"/>
        </w:rPr>
        <w:t>）最低成本法。是指在绩效目标确定的前提下，成本最小者为优的方法。</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四</w:t>
      </w:r>
      <w:r>
        <w:rPr>
          <w:rFonts w:hint="default" w:ascii="Times New Roman" w:hAnsi="Times New Roman" w:eastAsia="仿宋_GB2312" w:cs="Times New Roman"/>
          <w:color w:val="000000"/>
          <w:spacing w:val="17"/>
          <w:sz w:val="32"/>
          <w:szCs w:val="32"/>
          <w:highlight w:val="none"/>
        </w:rPr>
        <w:t>）公众评判法。是指通过专家评估、公众问卷及抽样调查等方式进行评判的方法。</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评价标准</w:t>
      </w:r>
    </w:p>
    <w:p>
      <w:pPr>
        <w:pStyle w:val="10"/>
        <w:widowControl w:val="0"/>
        <w:spacing w:before="0" w:after="0" w:line="560" w:lineRule="exact"/>
        <w:ind w:firstLine="640" w:firstLineChars="200"/>
        <w:jc w:val="both"/>
        <w:outlineLvl w:val="9"/>
        <w:rPr>
          <w:rFonts w:hint="eastAsia" w:ascii="Times New Roman" w:hAnsi="Times New Roman" w:cs="Times New Roman" w:eastAsiaTheme="majorEastAsia"/>
          <w:b w:val="0"/>
          <w:bCs w:val="0"/>
          <w:lang w:eastAsia="zh-CN"/>
        </w:rPr>
      </w:pPr>
      <w:r>
        <w:rPr>
          <w:rFonts w:hint="default" w:ascii="Times New Roman" w:hAnsi="Times New Roman" w:eastAsia="仿宋_GB2312" w:cs="Times New Roman"/>
          <w:b w:val="0"/>
          <w:bCs w:val="0"/>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lang w:eastAsia="zh-CN"/>
        </w:rPr>
        <w:t>计划</w:t>
      </w:r>
      <w:r>
        <w:rPr>
          <w:rFonts w:hint="default" w:ascii="Times New Roman" w:hAnsi="Times New Roman" w:eastAsia="仿宋_GB2312" w:cs="Times New Roman"/>
          <w:b w:val="0"/>
          <w:bCs w:val="0"/>
        </w:rPr>
        <w:t>标准</w:t>
      </w:r>
      <w:r>
        <w:rPr>
          <w:rFonts w:hint="eastAsia" w:ascii="Times New Roman" w:hAnsi="Times New Roman" w:eastAsia="仿宋_GB2312" w:cs="Times New Roman"/>
          <w:b w:val="0"/>
          <w:bCs w:val="0"/>
          <w:lang w:eastAsia="zh-CN"/>
        </w:rPr>
        <w:t>及行业标准</w:t>
      </w:r>
      <w:r>
        <w:rPr>
          <w:rFonts w:hint="eastAsia"/>
          <w:lang w:eastAsia="zh-CN"/>
        </w:rPr>
        <w:t>。</w:t>
      </w:r>
    </w:p>
    <w:p>
      <w:pPr>
        <w:pStyle w:val="10"/>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计划标准。指以预先制定的目标、计划、预算、定额等作为评价标准。</w:t>
      </w:r>
    </w:p>
    <w:p>
      <w:pPr>
        <w:pStyle w:val="10"/>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行业标准。指参照国家公布的行业指标数据制定的评价标准。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p>
    <w:p>
      <w:pPr>
        <w:pStyle w:val="10"/>
        <w:numPr>
          <w:ilvl w:val="0"/>
          <w:numId w:val="3"/>
        </w:numPr>
        <w:tabs>
          <w:tab w:val="left" w:pos="613"/>
        </w:tabs>
        <w:spacing w:before="0" w:after="0" w:line="560" w:lineRule="exact"/>
        <w:ind w:firstLine="711" w:firstLineChars="200"/>
        <w:jc w:val="both"/>
        <w:rPr>
          <w:rFonts w:hint="default" w:ascii="Times New Roman" w:hAnsi="Times New Roman" w:eastAsia="楷体" w:cs="Times New Roman"/>
          <w:color w:val="000000"/>
          <w:spacing w:val="17"/>
        </w:rPr>
      </w:pPr>
      <w:r>
        <w:rPr>
          <w:rFonts w:hint="default" w:ascii="Times New Roman" w:hAnsi="Times New Roman" w:eastAsia="楷体" w:cs="Times New Roman"/>
          <w:color w:val="000000"/>
          <w:spacing w:val="17"/>
        </w:rPr>
        <w:t>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前期准备与规划</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w:t>
      </w:r>
      <w:r>
        <w:rPr>
          <w:rFonts w:hint="default" w:ascii="Times New Roman" w:hAnsi="Times New Roman" w:eastAsia="仿宋_GB2312" w:cs="Times New Roman"/>
          <w:sz w:val="32"/>
          <w:szCs w:val="32"/>
          <w:highlight w:val="none"/>
          <w:lang w:val="en-US" w:eastAsia="zh-CN"/>
        </w:rPr>
        <w:t>2024年车辆购置税收入补助地方（第一批）用于普通省道及农村公路建设“以奖代补”</w:t>
      </w:r>
      <w:r>
        <w:rPr>
          <w:rFonts w:hint="default" w:ascii="Times New Roman" w:hAnsi="Times New Roman" w:eastAsia="仿宋_GB2312" w:cs="Times New Roman"/>
          <w:sz w:val="32"/>
          <w:szCs w:val="32"/>
          <w:highlight w:val="none"/>
        </w:rPr>
        <w:t>项目绩效评价工作启动之初，成立了专门的评价工作小组，小组成员由项目管理专业人员及相关领域技术骨干组成，确保从多角度、全方位对项目绩效进行评价。同时，明确评价工作的目标、范围、重点及时间安排，制定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w:t>
      </w:r>
      <w:r>
        <w:rPr>
          <w:rFonts w:hint="default" w:ascii="Times New Roman" w:hAnsi="Times New Roman" w:eastAsia="仿宋_GB2312" w:cs="Times New Roman"/>
          <w:sz w:val="32"/>
          <w:szCs w:val="32"/>
          <w:highlight w:val="none"/>
          <w:lang w:val="en-US" w:eastAsia="zh-CN"/>
        </w:rPr>
        <w:t>2024年车辆购置税收入补助地方（第一批）用于普通省道及农村公路建设“以奖代补”</w:t>
      </w:r>
      <w:r>
        <w:rPr>
          <w:rFonts w:hint="default" w:ascii="Times New Roman" w:hAnsi="Times New Roman" w:eastAsia="仿宋_GB2312" w:cs="Times New Roman"/>
          <w:sz w:val="32"/>
          <w:szCs w:val="32"/>
          <w:highlight w:val="none"/>
          <w:lang w:eastAsia="zh-CN"/>
        </w:rPr>
        <w:t>项目的性质、目标以及预期成果，构建了科学合理的绩效评价指标体系。该指标体系涵盖了</w:t>
      </w:r>
      <w:r>
        <w:rPr>
          <w:rFonts w:hint="eastAsia" w:ascii="Times New Roman" w:hAnsi="Times New Roman" w:eastAsia="仿宋_GB2312" w:cs="Times New Roman"/>
          <w:sz w:val="32"/>
          <w:szCs w:val="32"/>
          <w:highlight w:val="none"/>
          <w:lang w:val="en-US" w:eastAsia="zh-CN"/>
        </w:rPr>
        <w:t>产出指标、成本指标、效益指标、满意度指标</w:t>
      </w:r>
      <w:r>
        <w:rPr>
          <w:rFonts w:hint="default" w:ascii="Times New Roman" w:hAnsi="Times New Roman" w:eastAsia="仿宋_GB2312" w:cs="Times New Roman"/>
          <w:color w:val="000000"/>
          <w:spacing w:val="17"/>
          <w:sz w:val="32"/>
          <w:szCs w:val="32"/>
          <w:highlight w:val="none"/>
        </w:rPr>
        <w:t>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w:t>
      </w:r>
      <w:r>
        <w:rPr>
          <w:rFonts w:hint="default" w:ascii="Times New Roman" w:hAnsi="Times New Roman" w:eastAsia="仿宋_GB2312" w:cs="Times New Roman"/>
          <w:sz w:val="32"/>
          <w:szCs w:val="32"/>
          <w:highlight w:val="none"/>
          <w:lang w:val="en-US" w:eastAsia="zh-CN"/>
        </w:rPr>
        <w:t>2024年车辆购置税收入补助地方（第一批）用于普通省道及农村公路建设“以奖代补”</w:t>
      </w:r>
      <w:r>
        <w:rPr>
          <w:rFonts w:hint="default" w:ascii="Times New Roman" w:hAnsi="Times New Roman" w:eastAsia="仿宋_GB2312" w:cs="Times New Roman"/>
          <w:sz w:val="32"/>
          <w:szCs w:val="32"/>
          <w:highlight w:val="none"/>
          <w:lang w:eastAsia="zh-CN"/>
        </w:rPr>
        <w:t>项目相关的各类数据，包括</w:t>
      </w:r>
      <w:r>
        <w:rPr>
          <w:rFonts w:hint="eastAsia" w:eastAsia="仿宋_GB2312" w:cs="Times New Roman"/>
          <w:sz w:val="32"/>
          <w:szCs w:val="32"/>
          <w:highlight w:val="none"/>
          <w:lang w:eastAsia="zh-CN"/>
        </w:rPr>
        <w:t>施工合同</w:t>
      </w:r>
      <w:r>
        <w:rPr>
          <w:rFonts w:hint="default"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eastAsia="zh-CN"/>
        </w:rPr>
        <w:t>验收报告</w:t>
      </w:r>
      <w:r>
        <w:rPr>
          <w:rFonts w:hint="default"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eastAsia="zh-CN"/>
        </w:rPr>
        <w:t>工程审计报告</w:t>
      </w:r>
      <w:r>
        <w:rPr>
          <w:rFonts w:hint="default" w:ascii="Times New Roman" w:hAnsi="Times New Roman" w:eastAsia="仿宋_GB2312" w:cs="Times New Roman"/>
          <w:sz w:val="32"/>
          <w:szCs w:val="32"/>
          <w:highlight w:val="none"/>
          <w:lang w:eastAsia="zh-CN"/>
        </w:rPr>
        <w:t>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highlight w:val="none"/>
          <w:lang w:eastAsia="zh-CN"/>
        </w:rPr>
        <w:t>根据数据分析与评估的结果，</w:t>
      </w:r>
      <w:r>
        <w:rPr>
          <w:rFonts w:hint="default" w:ascii="Times New Roman" w:hAnsi="Times New Roman" w:eastAsia="仿宋_GB2312" w:cs="Times New Roman"/>
          <w:sz w:val="32"/>
          <w:szCs w:val="32"/>
          <w:lang w:eastAsia="zh-CN"/>
        </w:rPr>
        <w:t>进行系统总结，阐述</w:t>
      </w:r>
      <w:r>
        <w:rPr>
          <w:rFonts w:hint="default" w:ascii="Times New Roman" w:hAnsi="Times New Roman" w:eastAsia="仿宋_GB2312" w:cs="Times New Roman"/>
          <w:sz w:val="32"/>
          <w:szCs w:val="32"/>
          <w:highlight w:val="none"/>
          <w:lang w:val="en-US" w:eastAsia="zh-CN"/>
        </w:rPr>
        <w:t>2024年车辆购置税收入补助地方（第一批）用于普通省道及农村公路建设“以奖代补”</w:t>
      </w:r>
      <w:r>
        <w:rPr>
          <w:rFonts w:hint="default" w:ascii="Times New Roman" w:hAnsi="Times New Roman" w:eastAsia="仿宋_GB2312" w:cs="Times New Roman"/>
          <w:sz w:val="32"/>
          <w:szCs w:val="32"/>
          <w:lang w:eastAsia="zh-CN"/>
        </w:rPr>
        <w:t>项目在</w:t>
      </w:r>
      <w:r>
        <w:rPr>
          <w:rFonts w:hint="eastAsia" w:eastAsia="仿宋_GB2312" w:cs="Times New Roman"/>
          <w:sz w:val="32"/>
          <w:szCs w:val="32"/>
          <w:lang w:eastAsia="zh-CN"/>
        </w:rPr>
        <w:t>质量</w:t>
      </w:r>
      <w:r>
        <w:rPr>
          <w:rFonts w:hint="default" w:ascii="Times New Roman" w:hAnsi="Times New Roman" w:eastAsia="仿宋_GB2312" w:cs="Times New Roman"/>
          <w:sz w:val="32"/>
          <w:szCs w:val="32"/>
          <w:lang w:eastAsia="zh-CN"/>
        </w:rPr>
        <w:t>、经济、社会等方面取得的成效，明确项目实施过程中存在的问题和不足。按照规范的报告格式，详细阐述评价目的、方法、过程、结果、建议等内容，确保报告内容详实、逻辑清晰、结论客观，为政策制定者和项目管理者提供决策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w:t>
      </w:r>
      <w:r>
        <w:rPr>
          <w:rFonts w:hint="default" w:ascii="Times New Roman" w:hAnsi="Times New Roman" w:eastAsia="仿宋_GB2312" w:cs="Times New Roman"/>
          <w:sz w:val="32"/>
          <w:szCs w:val="32"/>
          <w:lang w:eastAsia="zh-CN"/>
        </w:rPr>
        <w:t>向政府部门、项目实施单位和其他利益相关方汇报评价结果，通过会议、报告解读等形式，详细说明评价结论和建议，听取各方意见和反馈。相关部门根据评价结果，调整和完善</w:t>
      </w:r>
      <w:r>
        <w:rPr>
          <w:rFonts w:hint="default" w:ascii="Times New Roman" w:hAnsi="Times New Roman" w:eastAsia="仿宋_GB2312" w:cs="Times New Roman"/>
          <w:sz w:val="32"/>
          <w:szCs w:val="32"/>
          <w:highlight w:val="none"/>
          <w:lang w:val="en-US" w:eastAsia="zh-CN"/>
        </w:rPr>
        <w:t>2024年车辆购置税收入补助地方（第一批）用于普通省道及农村公路建设“以奖代补”</w:t>
      </w:r>
      <w:r>
        <w:rPr>
          <w:rFonts w:hint="default" w:ascii="Times New Roman" w:hAnsi="Times New Roman" w:eastAsia="仿宋_GB2312" w:cs="Times New Roman"/>
          <w:sz w:val="32"/>
          <w:szCs w:val="32"/>
          <w:lang w:eastAsia="zh-CN"/>
        </w:rPr>
        <w:t>项目实施方案，优化资源配置，改进管理措施，推动</w:t>
      </w:r>
      <w:r>
        <w:rPr>
          <w:rFonts w:hint="eastAsia" w:eastAsia="仿宋_GB2312" w:cs="Times New Roman"/>
          <w:sz w:val="32"/>
          <w:szCs w:val="32"/>
          <w:lang w:eastAsia="zh-CN"/>
        </w:rPr>
        <w:t>该项目</w:t>
      </w:r>
      <w:r>
        <w:rPr>
          <w:rFonts w:hint="default" w:ascii="Times New Roman" w:hAnsi="Times New Roman" w:eastAsia="仿宋_GB2312" w:cs="Times New Roman"/>
          <w:sz w:val="32"/>
          <w:szCs w:val="32"/>
          <w:lang w:eastAsia="zh-CN"/>
        </w:rPr>
        <w:t>持续健康发展；同时，将评价结果作为后续项目立项、资金分配的重要参考依据。</w:t>
      </w:r>
    </w:p>
    <w:p>
      <w:pPr>
        <w:numPr>
          <w:ilvl w:val="0"/>
          <w:numId w:val="4"/>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default" w:ascii="Times New Roman" w:hAnsi="Times New Roman" w:eastAsia="仿宋_GB2312" w:cs="Times New Roman"/>
          <w:color w:val="auto"/>
          <w:sz w:val="32"/>
          <w:szCs w:val="32"/>
          <w:highlight w:val="none"/>
        </w:rPr>
        <w:t>昌州财建[2023]159号关于提前下达2024年车辆购置税收入补助地方（第一批）用于普通省道及农村公路建设“以奖代补”资金预算的通知</w:t>
      </w:r>
      <w:r>
        <w:rPr>
          <w:rFonts w:hint="default" w:ascii="Times New Roman" w:hAnsi="Times New Roman" w:eastAsia="仿宋_GB2312" w:cs="Times New Roman"/>
          <w:sz w:val="32"/>
          <w:szCs w:val="32"/>
          <w:highlight w:val="none"/>
        </w:rPr>
        <w:t>在公路建设里程数、公路等级</w:t>
      </w:r>
      <w:r>
        <w:rPr>
          <w:rFonts w:hint="eastAsia" w:eastAsia="仿宋_GB2312" w:cs="Times New Roman"/>
          <w:sz w:val="32"/>
          <w:szCs w:val="32"/>
          <w:highlight w:val="none"/>
          <w:lang w:eastAsia="zh-CN"/>
        </w:rPr>
        <w:t>、公路工程质量达标率、计划开工时间、公路建设成本</w:t>
      </w:r>
      <w:r>
        <w:rPr>
          <w:rFonts w:hint="default" w:ascii="Times New Roman" w:hAnsi="Times New Roman" w:eastAsia="仿宋_GB2312" w:cs="Times New Roman"/>
          <w:sz w:val="32"/>
          <w:szCs w:val="32"/>
          <w:highlight w:val="none"/>
        </w:rPr>
        <w:t>方面表现出色，达到了预期的标准与要求。同时，项目也在</w:t>
      </w:r>
      <w:r>
        <w:rPr>
          <w:rFonts w:hint="eastAsia" w:eastAsia="仿宋_GB2312" w:cs="Times New Roman"/>
          <w:sz w:val="32"/>
          <w:szCs w:val="32"/>
          <w:highlight w:val="none"/>
          <w:lang w:eastAsia="zh-CN"/>
        </w:rPr>
        <w:t>提升服务水平方面</w:t>
      </w:r>
      <w:r>
        <w:rPr>
          <w:rFonts w:hint="default" w:ascii="Times New Roman" w:hAnsi="Times New Roman" w:eastAsia="仿宋_GB2312" w:cs="Times New Roman"/>
          <w:sz w:val="32"/>
          <w:szCs w:val="32"/>
          <w:highlight w:val="none"/>
        </w:rPr>
        <w:t>取得了显著的成效，如</w:t>
      </w:r>
      <w:r>
        <w:rPr>
          <w:rFonts w:hint="eastAsia" w:eastAsia="仿宋_GB2312" w:cs="Times New Roman"/>
          <w:sz w:val="32"/>
          <w:szCs w:val="32"/>
          <w:highlight w:val="none"/>
          <w:lang w:eastAsia="zh-CN"/>
        </w:rPr>
        <w:t>有效提升农</w:t>
      </w:r>
      <w:r>
        <w:rPr>
          <w:rFonts w:hint="eastAsia" w:ascii="Times New Roman" w:hAnsi="Times New Roman" w:eastAsia="仿宋_GB2312" w:cs="Times New Roman"/>
          <w:sz w:val="32"/>
          <w:szCs w:val="32"/>
          <w:highlight w:val="none"/>
          <w:lang w:eastAsia="zh-CN"/>
        </w:rPr>
        <w:t>村公路路况水平、改善通行服务水平。</w:t>
      </w:r>
      <w:r>
        <w:rPr>
          <w:rFonts w:hint="default" w:ascii="Times New Roman" w:hAnsi="Times New Roman" w:eastAsia="仿宋_GB2312" w:cs="Times New Roman"/>
          <w:sz w:val="32"/>
          <w:szCs w:val="32"/>
          <w:highlight w:val="none"/>
        </w:rPr>
        <w:t>在项目管理方面，奇台县交通运输局通过有效的规划、组织与协调，项目得以顺利实施，并在预算与时间上保持了良好的控制。</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从项目效益的角度来看，本项目不仅实现了预期的社会效益等方面产生了积极的影响。具体而言，公路使用年限、提升公路安全水平方面的提升</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群众满意度</w:t>
      </w:r>
      <w:r>
        <w:rPr>
          <w:rFonts w:hint="default" w:ascii="Times New Roman" w:hAnsi="Times New Roman" w:eastAsia="仿宋_GB2312" w:cs="Times New Roman"/>
          <w:sz w:val="32"/>
          <w:szCs w:val="32"/>
          <w:highlight w:val="none"/>
        </w:rPr>
        <w:t>，为项目的利益相关者带来了实实在在的利益。</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昌州财建[2023]159号关于提前下达2024年车辆购置税收入补助地方（第一批）用于普通省道及农村公路建设“以奖代补”资金预算的通知在绩效评价中表现出色，达到了项目的预期目标，并在多个方面取得了显著的成效。</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default" w:ascii="Times New Roman" w:hAnsi="Times New Roman" w:eastAsia="仿宋_GB2312" w:cs="Times New Roman"/>
          <w:b w:val="0"/>
          <w:bCs w:val="0"/>
          <w:highlight w:val="none"/>
        </w:rPr>
        <w:t xml:space="preserve">总得分为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 xml:space="preserve">分，属于“优”。其中，项目决策类指标权重为20分，得分为 </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%。具体打分情况详见：附件1综合评分表</w:t>
      </w:r>
      <w:r>
        <w:rPr>
          <w:rFonts w:hint="default" w:ascii="Times New Roman" w:hAnsi="Times New Roman" w:eastAsia="仿宋_GB2312" w:cs="Times New Roman"/>
          <w:b w:val="0"/>
          <w:bCs w:val="0"/>
          <w:highlight w:val="none"/>
          <w:lang w:eastAsia="zh-CN"/>
        </w:rPr>
        <w:t>。</w:t>
      </w:r>
    </w:p>
    <w:p>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4"/>
        <w:tblW w:w="8760" w:type="dxa"/>
        <w:jc w:val="center"/>
        <w:tblInd w:w="0" w:type="dxa"/>
        <w:tblLayout w:type="fixed"/>
        <w:tblCellMar>
          <w:top w:w="0" w:type="dxa"/>
          <w:left w:w="108" w:type="dxa"/>
          <w:bottom w:w="0" w:type="dxa"/>
          <w:right w:w="108" w:type="dxa"/>
        </w:tblCellMar>
      </w:tblPr>
      <w:tblGrid>
        <w:gridCol w:w="2787"/>
        <w:gridCol w:w="1927"/>
        <w:gridCol w:w="2023"/>
        <w:gridCol w:w="2023"/>
      </w:tblGrid>
      <w:tr>
        <w:tblPrEx>
          <w:tblLayout w:type="fixed"/>
          <w:tblCellMar>
            <w:top w:w="0" w:type="dxa"/>
            <w:left w:w="108" w:type="dxa"/>
            <w:bottom w:w="0" w:type="dxa"/>
            <w:right w:w="108" w:type="dxa"/>
          </w:tblCellMar>
        </w:tblPrEx>
        <w:trPr>
          <w:trHeight w:val="90" w:hRule="atLeast"/>
          <w:tblHeader/>
          <w:jc w:val="center"/>
        </w:trPr>
        <w:tc>
          <w:tcPr>
            <w:tcW w:w="278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1927"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eastAsia"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得分率</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100%</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100%</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100%</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100%</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100%</w:t>
            </w:r>
          </w:p>
        </w:tc>
      </w:tr>
    </w:tbl>
    <w:p>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pPr>
        <w:pStyle w:val="10"/>
        <w:spacing w:before="0" w:after="0" w:line="560" w:lineRule="exact"/>
        <w:ind w:firstLine="643"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该项目立项符合国家相关法律法</w:t>
      </w:r>
      <w:r>
        <w:rPr>
          <w:rFonts w:hint="default" w:ascii="Times New Roman" w:hAnsi="Times New Roman" w:eastAsia="仿宋_GB2312" w:cs="Times New Roman"/>
          <w:sz w:val="32"/>
          <w:szCs w:val="32"/>
          <w:highlight w:val="none"/>
          <w:lang w:val="en-US" w:eastAsia="zh-CN"/>
        </w:rPr>
        <w:t>规</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《财政部交通运输部关于印发【车辆购置税收入补助地方资金管理暂行办法】的通知》（财建【2021】50号</w:t>
      </w:r>
      <w:r>
        <w:rPr>
          <w:rFonts w:hint="eastAsia" w:eastAsia="仿宋_GB2312" w:cs="Times New Roman"/>
          <w:sz w:val="32"/>
          <w:szCs w:val="32"/>
          <w:highlight w:val="none"/>
          <w:lang w:val="en-US" w:eastAsia="zh-CN"/>
        </w:rPr>
        <w:t>文</w:t>
      </w:r>
      <w:r>
        <w:rPr>
          <w:rFonts w:hint="default" w:ascii="Times New Roman" w:hAnsi="Times New Roman" w:eastAsia="仿宋_GB2312" w:cs="Times New Roman"/>
          <w:sz w:val="32"/>
          <w:szCs w:val="32"/>
          <w:highlight w:val="none"/>
          <w:lang w:val="en-US" w:eastAsia="zh-CN"/>
        </w:rPr>
        <w:t>，符合行业规划要</w:t>
      </w:r>
      <w:r>
        <w:rPr>
          <w:rFonts w:hint="default" w:ascii="Times New Roman" w:hAnsi="Times New Roman" w:eastAsia="仿宋_GB2312" w:cs="Times New Roman"/>
          <w:sz w:val="32"/>
          <w:szCs w:val="32"/>
          <w:lang w:val="en-US" w:eastAsia="zh-CN"/>
        </w:rPr>
        <w:t>求，围绕本年度工作重点和工作计划制定经费预算，属于公共财政支持范围。本项目与部门内部其他相关项目不重复。部门发展规划及职能文件等归档完整。</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w:t>
      </w:r>
      <w:r>
        <w:rPr>
          <w:rFonts w:hint="default" w:ascii="Times New Roman" w:hAnsi="Times New Roman" w:eastAsia="仿宋_GB2312" w:cs="Times New Roman"/>
          <w:sz w:val="32"/>
          <w:szCs w:val="32"/>
          <w:lang w:eastAsia="zh-Hans"/>
        </w:rPr>
        <w:t>严格按照审批流程准备符合要求的文件、材料</w:t>
      </w:r>
      <w:r>
        <w:rPr>
          <w:rFonts w:hint="default" w:ascii="Times New Roman" w:hAnsi="Times New Roman" w:eastAsia="仿宋_GB2312" w:cs="Times New Roman"/>
          <w:sz w:val="32"/>
          <w:szCs w:val="32"/>
          <w:highlight w:val="none"/>
          <w:lang w:eastAsia="zh-Hans"/>
        </w:rPr>
        <w:t>；</w:t>
      </w:r>
      <w:r>
        <w:rPr>
          <w:rFonts w:hint="default" w:ascii="Times New Roman" w:hAnsi="Times New Roman" w:eastAsia="仿宋_GB2312" w:cs="Times New Roman"/>
          <w:sz w:val="32"/>
          <w:szCs w:val="32"/>
          <w:highlight w:val="none"/>
          <w:lang w:val="en-US" w:eastAsia="zh-CN"/>
        </w:rPr>
        <w:t>根据决算依据编制</w:t>
      </w:r>
      <w:r>
        <w:rPr>
          <w:rFonts w:hint="default" w:ascii="Times New Roman" w:hAnsi="Times New Roman" w:eastAsia="仿宋_GB2312" w:cs="Times New Roman"/>
          <w:sz w:val="32"/>
          <w:szCs w:val="32"/>
          <w:lang w:val="en-US" w:eastAsia="zh-CN"/>
        </w:rPr>
        <w:t>工作计划和经费预算，经过与部门项目分管领导沟通、筛选确定经费预算计划，确定最终预算方案。项目的审批文件、材料符合相关要求，项</w:t>
      </w:r>
      <w:r>
        <w:rPr>
          <w:rFonts w:hint="default" w:ascii="Times New Roman" w:hAnsi="Times New Roman" w:eastAsia="仿宋_GB2312" w:cs="Times New Roman"/>
          <w:sz w:val="32"/>
          <w:szCs w:val="32"/>
          <w:highlight w:val="none"/>
          <w:lang w:val="en-US" w:eastAsia="zh-CN"/>
        </w:rPr>
        <w:t>目事前经过必要的风险评估、绩效评估、，保障</w:t>
      </w:r>
      <w:r>
        <w:rPr>
          <w:rFonts w:hint="default" w:ascii="Times New Roman" w:hAnsi="Times New Roman" w:eastAsia="仿宋_GB2312" w:cs="Times New Roman"/>
          <w:sz w:val="32"/>
          <w:szCs w:val="32"/>
          <w:lang w:val="en-US" w:eastAsia="zh-CN"/>
        </w:rPr>
        <w:t>了程序的规范性。</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Han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eastAsia="zh-Han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10"/>
        <w:numPr>
          <w:ilvl w:val="0"/>
          <w:numId w:val="5"/>
        </w:numPr>
        <w:spacing w:before="0" w:after="0" w:line="560" w:lineRule="exact"/>
        <w:ind w:firstLine="643" w:firstLineChars="200"/>
        <w:jc w:val="both"/>
        <w:rPr>
          <w:rFonts w:hint="default" w:ascii="Times New Roman" w:hAnsi="Times New Roman" w:eastAsia="楷体" w:cs="Times New Roman"/>
        </w:rPr>
      </w:pPr>
      <w:r>
        <w:rPr>
          <w:rFonts w:hint="default" w:ascii="Times New Roman" w:hAnsi="Times New Roman" w:eastAsia="楷体" w:cs="Times New Roman"/>
        </w:rPr>
        <w:t>项目过程情况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项目过程类指标包括资金管理和组织实施两方面的内容，由</w:t>
      </w:r>
      <w:r>
        <w:rPr>
          <w:rFonts w:hint="default" w:ascii="Times New Roman" w:hAnsi="Times New Roman" w:eastAsia="仿宋_GB2312" w:cs="Times New Roman"/>
          <w:sz w:val="32"/>
          <w:szCs w:val="32"/>
          <w:highlight w:val="none"/>
          <w:lang w:val="en-US" w:eastAsia="zh-CN"/>
        </w:rPr>
        <w:t>5个</w:t>
      </w:r>
      <w:r>
        <w:rPr>
          <w:rFonts w:hint="default" w:ascii="Times New Roman" w:hAnsi="Times New Roman" w:eastAsia="仿宋_GB2312" w:cs="Times New Roman"/>
          <w:sz w:val="32"/>
          <w:szCs w:val="32"/>
          <w:lang w:val="en-US" w:eastAsia="zh-CN"/>
        </w:rPr>
        <w:t>三级指标构成，权重分值</w:t>
      </w:r>
      <w:r>
        <w:rPr>
          <w:rFonts w:hint="default" w:ascii="Times New Roman" w:hAnsi="Times New Roman" w:eastAsia="仿宋_GB2312" w:cs="Times New Roman"/>
          <w:sz w:val="32"/>
          <w:szCs w:val="32"/>
          <w:highlight w:val="none"/>
          <w:lang w:val="en-US" w:eastAsia="zh-CN"/>
        </w:rPr>
        <w:t>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本项目总投资1631.94万元，</w:t>
      </w:r>
      <w:r>
        <w:rPr>
          <w:rFonts w:hint="eastAsia" w:ascii="Times New Roman" w:hAnsi="Times New Roman" w:eastAsia="仿宋_GB2312" w:cs="Times New Roman"/>
          <w:sz w:val="32"/>
          <w:szCs w:val="32"/>
          <w:lang w:val="en-US" w:eastAsia="zh-CN"/>
        </w:rPr>
        <w:t>2024年农村公路车购税“以奖代补”切块补助资金</w:t>
      </w:r>
      <w:r>
        <w:rPr>
          <w:rFonts w:hint="default" w:ascii="Times New Roman" w:hAnsi="Times New Roman" w:eastAsia="仿宋_GB2312" w:cs="Times New Roman"/>
          <w:sz w:val="32"/>
          <w:szCs w:val="32"/>
          <w:lang w:val="en-US" w:eastAsia="zh-CN"/>
        </w:rPr>
        <w:t>及时足额到位，到位率</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%，预算资金按计划进度执行。</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预算编制较为详细，项目资金支出总体能够按照预算执行，</w:t>
      </w:r>
      <w:r>
        <w:rPr>
          <w:rFonts w:hint="default" w:ascii="Times New Roman" w:hAnsi="Times New Roman" w:eastAsia="仿宋_GB2312" w:cs="Times New Roman"/>
          <w:sz w:val="32"/>
          <w:szCs w:val="32"/>
          <w:highlight w:val="none"/>
          <w:lang w:val="en-US" w:eastAsia="zh-CN"/>
        </w:rPr>
        <w:t>预算资金支出1631.94万元，预算执行率为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green"/>
          <w:lang w:eastAsia="zh-CN"/>
        </w:rPr>
      </w:pPr>
      <w:r>
        <w:rPr>
          <w:rFonts w:hint="default" w:ascii="Times New Roman" w:hAnsi="Times New Roman" w:eastAsia="仿宋_GB2312" w:cs="Times New Roman"/>
          <w:sz w:val="32"/>
          <w:szCs w:val="32"/>
          <w:highlight w:val="none"/>
          <w:lang w:eastAsia="zh-CN"/>
        </w:rPr>
        <w:t>本项目的资金使用严格遵循了</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《财政部交通运输部关于印发【车辆购置税收入补助地方资金管理暂行办法】的通知》（财建【2021】50</w:t>
      </w:r>
      <w:r>
        <w:rPr>
          <w:rFonts w:hint="eastAsia" w:eastAsia="仿宋_GB2312" w:cs="Times New Roman"/>
          <w:color w:val="000000" w:themeColor="text1"/>
          <w:sz w:val="32"/>
          <w:szCs w:val="32"/>
          <w:highlight w:val="none"/>
          <w:lang w:val="en-US" w:eastAsia="zh-CN"/>
          <w14:textFill>
            <w14:solidFill>
              <w14:schemeClr w14:val="tx1"/>
            </w14:solidFill>
          </w14:textFill>
        </w:rPr>
        <w:t>）</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号</w:t>
      </w:r>
      <w:r>
        <w:rPr>
          <w:rFonts w:hint="eastAsia" w:eastAsia="仿宋_GB2312" w:cs="Times New Roman"/>
          <w:sz w:val="32"/>
          <w:szCs w:val="32"/>
          <w:highlight w:val="none"/>
          <w:lang w:val="en-US" w:eastAsia="zh-CN"/>
        </w:rPr>
        <w:t>文及</w:t>
      </w:r>
      <w:r>
        <w:rPr>
          <w:rFonts w:hint="default" w:ascii="Times New Roman" w:hAnsi="Times New Roman" w:eastAsia="仿宋_GB2312" w:cs="Times New Roman"/>
          <w:sz w:val="32"/>
          <w:szCs w:val="32"/>
          <w:highlight w:val="none"/>
          <w:lang w:eastAsia="zh-CN"/>
        </w:rPr>
        <w:t>国家相关法律法规与财务制度，确保了资金的合规性与安全性。在资金使用过程中，我们建立了完善的财务管理体系，对资金的流动进行了全程监控与记录。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2.组织实施</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lang w:eastAsia="zh-CN"/>
        </w:rPr>
        <w:t>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综上所述，本项目的管理制度在执行过程中表现出了高度的有效性，既确保了项目的顺利进行，又实现了项目目标的有效达成。</w:t>
      </w:r>
    </w:p>
    <w:p>
      <w:pPr>
        <w:pStyle w:val="12"/>
        <w:numPr>
          <w:ilvl w:val="0"/>
          <w:numId w:val="5"/>
        </w:numPr>
        <w:spacing w:line="560" w:lineRule="exact"/>
        <w:ind w:firstLine="643"/>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项目产出类指标包括产出数量、产出质量、产出时效、产出成本四方面的内容，</w:t>
      </w:r>
      <w:r>
        <w:rPr>
          <w:rFonts w:hint="default" w:ascii="Times New Roman" w:hAnsi="Times New Roman" w:eastAsia="仿宋_GB2312" w:cs="Times New Roman"/>
          <w:sz w:val="32"/>
          <w:szCs w:val="32"/>
          <w:highlight w:val="none"/>
          <w:lang w:val="en-US" w:eastAsia="zh-CN"/>
        </w:rPr>
        <w:t>由</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个三级指标构成，权重分为40分，实际得分</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w:t>
      </w:r>
      <w:r>
        <w:rPr>
          <w:rFonts w:hint="default" w:ascii="Times New Roman" w:hAnsi="Times New Roman" w:eastAsia="仿宋_GB2312" w:cs="Times New Roman"/>
          <w:sz w:val="32"/>
          <w:szCs w:val="32"/>
          <w:lang w:val="en-US" w:eastAsia="zh-CN"/>
        </w:rPr>
        <w:t>体产出指标完成情况如下：</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pPr>
        <w:shd w:val="clear"/>
        <w:spacing w:line="600" w:lineRule="exact"/>
        <w:ind w:firstLine="640" w:firstLineChars="200"/>
        <w:outlineLvl w:val="0"/>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 xml:space="preserve">公路建设里程数，指标值：&gt;=39.76公里 ，实际完成值： 39.76公里，指标完成率 </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公路等级</w:t>
      </w:r>
      <w:r>
        <w:rPr>
          <w:rFonts w:hint="eastAsia" w:eastAsia="仿宋_GB2312" w:cs="Times New Roman"/>
          <w:sz w:val="32"/>
          <w:szCs w:val="32"/>
          <w:highlight w:val="none"/>
          <w:lang w:val="en-US" w:eastAsia="zh-CN"/>
        </w:rPr>
        <w:t>，指标值:大于等于四级,实际完成值：4级，指标完成率：100%；</w:t>
      </w:r>
    </w:p>
    <w:p>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eastAsia="仿宋_GB2312" w:cs="Times New Roman"/>
          <w:sz w:val="32"/>
          <w:szCs w:val="32"/>
          <w:highlight w:val="none"/>
          <w:lang w:val="en-US" w:eastAsia="zh-CN"/>
        </w:rPr>
        <w:t>公路工程质量达标率</w:t>
      </w:r>
      <w:r>
        <w:rPr>
          <w:rFonts w:hint="eastAsia" w:eastAsia="仿宋_GB2312" w:cs="Times New Roman"/>
          <w:sz w:val="32"/>
          <w:szCs w:val="32"/>
          <w:highlight w:val="none"/>
          <w:lang w:val="en-US" w:eastAsia="zh-CN"/>
        </w:rPr>
        <w:t>，指标值:&gt;=100%,实际完成值：100%，指标完成率：100%；</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计划开工时间</w:t>
      </w:r>
      <w:r>
        <w:rPr>
          <w:rFonts w:hint="eastAsia" w:eastAsia="仿宋_GB2312" w:cs="Times New Roman"/>
          <w:sz w:val="32"/>
          <w:szCs w:val="32"/>
          <w:highlight w:val="none"/>
          <w:lang w:val="en-US" w:eastAsia="zh-CN"/>
        </w:rPr>
        <w:t>，指标值:=2024年5月,实际完成值：2024年5月，指标完成率：100%；</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pPr>
        <w:shd w:val="clear"/>
        <w:spacing w:line="600" w:lineRule="exact"/>
        <w:ind w:firstLine="640" w:firstLineChars="200"/>
        <w:outlineLvl w:val="0"/>
        <w:rPr>
          <w:rFonts w:hint="default"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公路建设成本</w:t>
      </w:r>
      <w:r>
        <w:rPr>
          <w:rFonts w:hint="eastAsia" w:eastAsia="仿宋_GB2312" w:cs="Times New Roman"/>
          <w:sz w:val="32"/>
          <w:szCs w:val="32"/>
          <w:highlight w:val="none"/>
          <w:lang w:val="en-US" w:eastAsia="zh-CN"/>
        </w:rPr>
        <w:t>，指标值:=100%,实际完成值：100%，指标完成率：100%；</w:t>
      </w:r>
    </w:p>
    <w:p>
      <w:pPr>
        <w:pStyle w:val="12"/>
        <w:numPr>
          <w:ilvl w:val="0"/>
          <w:numId w:val="5"/>
        </w:numPr>
        <w:spacing w:line="560" w:lineRule="exact"/>
        <w:ind w:firstLine="643"/>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项目效益类指标包括项目</w:t>
      </w:r>
      <w:r>
        <w:rPr>
          <w:rFonts w:hint="default" w:ascii="Times New Roman" w:hAnsi="Times New Roman" w:eastAsia="仿宋_GB2312" w:cs="Times New Roman"/>
          <w:sz w:val="32"/>
          <w:szCs w:val="32"/>
          <w:highlight w:val="none"/>
          <w:lang w:val="en-US" w:eastAsia="zh-CN"/>
        </w:rPr>
        <w:t>实施效益和满意度两方</w:t>
      </w:r>
      <w:r>
        <w:rPr>
          <w:rFonts w:hint="default" w:ascii="Times New Roman" w:hAnsi="Times New Roman" w:eastAsia="仿宋_GB2312" w:cs="Times New Roman"/>
          <w:sz w:val="32"/>
          <w:szCs w:val="32"/>
          <w:lang w:val="en-US" w:eastAsia="zh-CN"/>
        </w:rPr>
        <w:t>面的内容，</w:t>
      </w:r>
      <w:r>
        <w:rPr>
          <w:rFonts w:hint="default" w:ascii="Times New Roman" w:hAnsi="Times New Roman" w:eastAsia="仿宋_GB2312" w:cs="Times New Roman"/>
          <w:sz w:val="32"/>
          <w:szCs w:val="32"/>
          <w:highlight w:val="none"/>
          <w:lang w:val="en-US" w:eastAsia="zh-CN"/>
        </w:rPr>
        <w:t>由</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个三级指标构成，权重分为20分，实际得分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w:t>
      </w:r>
      <w:r>
        <w:rPr>
          <w:rFonts w:hint="default" w:ascii="Times New Roman" w:hAnsi="Times New Roman" w:eastAsia="仿宋_GB2312" w:cs="Times New Roman"/>
          <w:sz w:val="32"/>
          <w:szCs w:val="32"/>
          <w:lang w:val="en-US" w:eastAsia="zh-CN"/>
        </w:rPr>
        <w:t>成情况如下：</w:t>
      </w:r>
    </w:p>
    <w:p>
      <w:pPr>
        <w:shd w:val="clear"/>
        <w:spacing w:line="600" w:lineRule="exact"/>
        <w:ind w:firstLine="640" w:firstLineChars="200"/>
        <w:outlineLvl w:val="0"/>
        <w:rPr>
          <w:rFonts w:hint="default" w:ascii="Times New Roman" w:hAnsi="Times New Roman" w:eastAsia="仿宋_GB2312" w:cs="Times New Roman"/>
          <w:color w:val="FF0000"/>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1.实施效益</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社会效益指标：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指标1：公路使用年限，指标值:&gt;=8年,实际完成值：8年，指标完成率：100%；</w:t>
      </w:r>
    </w:p>
    <w:p>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指标2：</w:t>
      </w:r>
      <w:r>
        <w:rPr>
          <w:rFonts w:hint="default" w:eastAsia="仿宋_GB2312" w:cs="Times New Roman"/>
          <w:sz w:val="32"/>
          <w:szCs w:val="32"/>
          <w:highlight w:val="none"/>
          <w:lang w:val="en-US" w:eastAsia="zh-CN"/>
        </w:rPr>
        <w:t>提升</w:t>
      </w:r>
      <w:r>
        <w:rPr>
          <w:rFonts w:hint="default" w:ascii="Times New Roman" w:hAnsi="Times New Roman" w:eastAsia="仿宋_GB2312" w:cs="Times New Roman"/>
          <w:sz w:val="32"/>
          <w:szCs w:val="32"/>
          <w:highlight w:val="none"/>
          <w:lang w:val="en-US" w:eastAsia="zh-CN"/>
        </w:rPr>
        <w:t>公路安全水平</w:t>
      </w:r>
      <w:r>
        <w:rPr>
          <w:rFonts w:hint="eastAsia" w:eastAsia="仿宋_GB2312" w:cs="Times New Roman"/>
          <w:sz w:val="32"/>
          <w:szCs w:val="32"/>
          <w:highlight w:val="none"/>
          <w:lang w:val="en-US" w:eastAsia="zh-CN"/>
        </w:rPr>
        <w:t>，指标值:明显提升,实际完成值：明显提升，指标完成率：100%；</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指标1：群众满意度，指标值:&gt;=90%,实际完成值：95%，指标完成率：100%。</w:t>
      </w:r>
    </w:p>
    <w:p>
      <w:pPr>
        <w:spacing w:line="560" w:lineRule="exact"/>
        <w:ind w:firstLine="643" w:firstLineChars="200"/>
        <w:rPr>
          <w:rFonts w:hint="default" w:ascii="Times New Roman" w:hAnsi="Times New Roman" w:eastAsia="楷体_GB2312" w:cs="Times New Roman"/>
          <w:b/>
          <w:bCs/>
          <w:sz w:val="32"/>
          <w:szCs w:val="32"/>
          <w:lang w:val="en-US" w:eastAsia="zh-Hans"/>
        </w:rPr>
      </w:pPr>
      <w:r>
        <w:rPr>
          <w:rFonts w:hint="default" w:ascii="Times New Roman" w:hAnsi="Times New Roman" w:eastAsia="楷体_GB2312" w:cs="Times New Roman"/>
          <w:b/>
          <w:bCs/>
          <w:sz w:val="32"/>
          <w:szCs w:val="32"/>
          <w:lang w:val="en-US" w:eastAsia="zh-CN"/>
        </w:rPr>
        <w:t>（五）</w:t>
      </w:r>
      <w:r>
        <w:rPr>
          <w:rFonts w:hint="default" w:ascii="Times New Roman" w:hAnsi="Times New Roman" w:eastAsia="楷体_GB2312" w:cs="Times New Roman"/>
          <w:b/>
          <w:bCs/>
          <w:sz w:val="32"/>
          <w:szCs w:val="32"/>
          <w:lang w:val="en-US" w:eastAsia="zh-Hans"/>
        </w:rPr>
        <w:t>预算执行进度与绩效指标总体完成率偏差</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昌州财建[2023]159号关于提前下达2024年车辆购置税收入补助地方（第一批）用于普通省道及农村公路建设“以奖代补”资金预算的通知</w:t>
      </w:r>
      <w:r>
        <w:rPr>
          <w:rFonts w:hint="default" w:ascii="Times New Roman" w:hAnsi="Times New Roman" w:eastAsia="仿宋_GB2312" w:cs="Times New Roman"/>
          <w:sz w:val="32"/>
          <w:szCs w:val="32"/>
        </w:rPr>
        <w:t>项目年初预算</w:t>
      </w:r>
      <w:r>
        <w:rPr>
          <w:rFonts w:hint="default" w:ascii="Times New Roman" w:hAnsi="Times New Roman" w:eastAsia="仿宋_GB2312" w:cs="Times New Roman"/>
          <w:sz w:val="32"/>
          <w:szCs w:val="32"/>
          <w:lang w:val="en-US" w:eastAsia="zh-CN"/>
        </w:rPr>
        <w:t>1631.94</w:t>
      </w:r>
      <w:r>
        <w:rPr>
          <w:rFonts w:hint="default" w:ascii="Times New Roman" w:hAnsi="Times New Roman" w:eastAsia="仿宋_GB2312" w:cs="Times New Roman"/>
          <w:sz w:val="32"/>
          <w:szCs w:val="32"/>
        </w:rPr>
        <w:t>万元，全年预算</w:t>
      </w:r>
      <w:r>
        <w:rPr>
          <w:rFonts w:hint="default" w:ascii="Times New Roman" w:hAnsi="Times New Roman" w:eastAsia="仿宋_GB2312" w:cs="Times New Roman"/>
          <w:sz w:val="32"/>
          <w:szCs w:val="32"/>
          <w:lang w:val="en-US" w:eastAsia="zh-CN"/>
        </w:rPr>
        <w:t>1631.94</w:t>
      </w:r>
      <w:r>
        <w:rPr>
          <w:rFonts w:hint="default" w:ascii="Times New Roman" w:hAnsi="Times New Roman" w:eastAsia="仿宋_GB2312" w:cs="Times New Roman"/>
          <w:sz w:val="32"/>
          <w:szCs w:val="32"/>
        </w:rPr>
        <w:t>万元，实际支出</w:t>
      </w:r>
      <w:r>
        <w:rPr>
          <w:rFonts w:hint="default" w:ascii="Times New Roman" w:hAnsi="Times New Roman" w:eastAsia="仿宋_GB2312" w:cs="Times New Roman"/>
          <w:sz w:val="32"/>
          <w:szCs w:val="32"/>
          <w:lang w:val="en-US" w:eastAsia="zh-CN"/>
        </w:rPr>
        <w:t>1631.94</w:t>
      </w:r>
      <w:r>
        <w:rPr>
          <w:rFonts w:hint="default" w:ascii="Times New Roman" w:hAnsi="Times New Roman" w:eastAsia="仿宋_GB2312" w:cs="Times New Roman"/>
          <w:sz w:val="32"/>
          <w:szCs w:val="32"/>
        </w:rPr>
        <w:t>万元，预算执行率为</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%，项目绩效指标总体完成率为</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w:t>
      </w:r>
    </w:p>
    <w:p>
      <w:pPr>
        <w:spacing w:line="560" w:lineRule="exact"/>
        <w:ind w:firstLine="640" w:firstLineChars="200"/>
        <w:rPr>
          <w:rStyle w:val="18"/>
          <w:rFonts w:hint="default" w:ascii="Times New Roman" w:hAnsi="Times New Roman" w:cs="Times New Roman"/>
          <w:color w:val="auto"/>
        </w:rPr>
      </w:pPr>
      <w:r>
        <w:rPr>
          <w:rFonts w:hint="eastAsia" w:eastAsia="黑体" w:cs="Times New Roman"/>
          <w:sz w:val="32"/>
          <w:szCs w:val="32"/>
          <w:lang w:val="en-US" w:eastAsia="zh-CN"/>
        </w:rPr>
        <w:t>五、</w:t>
      </w:r>
      <w:r>
        <w:rPr>
          <w:rFonts w:hint="default" w:ascii="Times New Roman" w:hAnsi="Times New Roman" w:eastAsia="黑体" w:cs="Times New Roman"/>
          <w:sz w:val="32"/>
          <w:szCs w:val="32"/>
        </w:rPr>
        <w:t>主要经验及做法、存在的问题及原因分析</w:t>
      </w:r>
    </w:p>
    <w:p>
      <w:pPr>
        <w:spacing w:line="560" w:lineRule="exact"/>
        <w:ind w:firstLine="627" w:firstLineChars="200"/>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（一）主要经验及做法</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10"/>
        <w:spacing w:before="0" w:after="0" w:line="560" w:lineRule="exact"/>
        <w:ind w:firstLine="640" w:firstLineChars="200"/>
        <w:jc w:val="left"/>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严格坚持先做事、后验收、再拨付的原则，</w:t>
      </w:r>
      <w:r>
        <w:rPr>
          <w:rFonts w:hint="eastAsia" w:ascii="Times New Roman" w:hAnsi="Times New Roman" w:eastAsia="仿宋_GB2312" w:cs="Times New Roman"/>
          <w:b w:val="0"/>
          <w:bCs w:val="0"/>
          <w:kern w:val="2"/>
          <w:lang w:eastAsia="zh-CN"/>
        </w:rPr>
        <w:t>杜绝</w:t>
      </w:r>
      <w:r>
        <w:rPr>
          <w:rFonts w:hint="default" w:ascii="Times New Roman" w:hAnsi="Times New Roman" w:eastAsia="仿宋_GB2312" w:cs="Times New Roman"/>
          <w:b w:val="0"/>
          <w:bCs w:val="0"/>
          <w:kern w:val="2"/>
        </w:rPr>
        <w:t>了资金被挤占和挪用现象的发生，跟踪检查到位。财政、纪检、监察等职能部门全面参与专项资金事前、事中和事后全过程的监管。</w:t>
      </w:r>
    </w:p>
    <w:p>
      <w:pPr>
        <w:keepNext/>
        <w:keepLines/>
        <w:numPr>
          <w:ilvl w:val="0"/>
          <w:numId w:val="6"/>
        </w:num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pPr>
        <w:shd w:val="clear"/>
        <w:spacing w:line="600" w:lineRule="exact"/>
        <w:ind w:firstLine="640" w:firstLineChars="200"/>
        <w:outlineLvl w:val="0"/>
        <w:rPr>
          <w:rFonts w:hint="default" w:eastAsia="仿宋_GB2312" w:cs="Times New Roman"/>
          <w:sz w:val="32"/>
          <w:szCs w:val="32"/>
          <w:highlight w:val="none"/>
          <w:lang w:val="en-US" w:eastAsia="zh-CN"/>
        </w:rPr>
      </w:pPr>
      <w:r>
        <w:rPr>
          <w:rFonts w:hint="eastAsia" w:eastAsia="仿宋_GB2312" w:cs="Times New Roman"/>
          <w:sz w:val="32"/>
          <w:szCs w:val="32"/>
          <w:highlight w:val="none"/>
          <w:lang w:val="en-US" w:eastAsia="zh-CN"/>
        </w:rPr>
        <w:t>1.年初指标设置不严谨，年初设置指标时只考虑了前期的问题，</w:t>
      </w:r>
      <w:r>
        <w:rPr>
          <w:rFonts w:hint="eastAsia" w:eastAsia="仿宋_GB2312" w:cs="Times New Roman"/>
          <w:color w:val="000000" w:themeColor="text1"/>
          <w:sz w:val="32"/>
          <w:szCs w:val="32"/>
          <w:highlight w:val="none"/>
          <w:lang w:val="en-US" w:eastAsia="zh-CN"/>
          <w14:textFill>
            <w14:solidFill>
              <w14:schemeClr w14:val="tx1"/>
            </w14:solidFill>
          </w14:textFill>
        </w:rPr>
        <w:t>未对后期总体的工程进行全面考虑</w:t>
      </w:r>
      <w:r>
        <w:rPr>
          <w:rFonts w:hint="eastAsia" w:eastAsia="仿宋_GB2312" w:cs="Times New Roman"/>
          <w:sz w:val="32"/>
          <w:szCs w:val="32"/>
          <w:highlight w:val="none"/>
          <w:lang w:val="en-US" w:eastAsia="zh-CN"/>
        </w:rPr>
        <w:t>，指标设置不全面。</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.因轮岗、调动</w:t>
      </w:r>
      <w:r>
        <w:rPr>
          <w:rFonts w:hint="eastAsia" w:ascii="Times New Roman" w:hAnsi="Times New Roman" w:eastAsia="仿宋_GB2312" w:cs="Times New Roman"/>
          <w:sz w:val="32"/>
          <w:szCs w:val="32"/>
          <w:highlight w:val="none"/>
          <w:lang w:val="en-US" w:eastAsia="zh-CN"/>
        </w:rPr>
        <w:t>等</w:t>
      </w:r>
      <w:r>
        <w:rPr>
          <w:rFonts w:hint="default" w:ascii="Times New Roman" w:hAnsi="Times New Roman" w:eastAsia="仿宋_GB2312" w:cs="Times New Roman"/>
          <w:sz w:val="32"/>
          <w:szCs w:val="32"/>
          <w:highlight w:val="none"/>
          <w:lang w:val="en-US" w:eastAsia="zh-CN"/>
        </w:rPr>
        <w:t>因素使我单位绩效工作人员流动频繁，</w:t>
      </w:r>
      <w:r>
        <w:rPr>
          <w:rFonts w:hint="eastAsia" w:ascii="Times New Roman" w:hAnsi="Times New Roman" w:eastAsia="仿宋_GB2312" w:cs="Times New Roman"/>
          <w:sz w:val="32"/>
          <w:szCs w:val="32"/>
          <w:highlight w:val="none"/>
          <w:lang w:val="en-US" w:eastAsia="zh-CN"/>
        </w:rPr>
        <w:t>造成</w:t>
      </w:r>
      <w:r>
        <w:rPr>
          <w:rFonts w:hint="default" w:ascii="Times New Roman" w:hAnsi="Times New Roman" w:eastAsia="仿宋_GB2312" w:cs="Times New Roman"/>
          <w:sz w:val="32"/>
          <w:szCs w:val="32"/>
          <w:highlight w:val="none"/>
          <w:lang w:val="en-US" w:eastAsia="zh-CN"/>
        </w:rPr>
        <w:t>工作衔接不到位的情况。</w:t>
      </w:r>
    </w:p>
    <w:p>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六、</w:t>
      </w:r>
      <w:r>
        <w:rPr>
          <w:rFonts w:hint="default" w:ascii="Times New Roman" w:hAnsi="Times New Roman" w:eastAsia="黑体" w:cs="Times New Roman"/>
          <w:sz w:val="32"/>
          <w:szCs w:val="32"/>
        </w:rPr>
        <w:t>有关建议</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2.专门设定对绩效工作人员定职、定岗、定责等相关制度措施，进一步提升我单位绩效管理工作业务水平，扎实做好绩效管理工作。</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hd w:val="clear"/>
        <w:spacing w:line="600" w:lineRule="exact"/>
        <w:ind w:firstLine="640" w:firstLineChars="200"/>
        <w:outlineLvl w:val="0"/>
        <w:rPr>
          <w:rFonts w:hint="default" w:ascii="Times New Roman" w:hAnsi="Times New Roman" w:cs="Times New Roman"/>
          <w:sz w:val="22"/>
          <w:szCs w:val="28"/>
        </w:rPr>
      </w:pPr>
      <w:r>
        <w:rPr>
          <w:rFonts w:hint="default" w:ascii="Times New Roman" w:hAnsi="Times New Roman" w:eastAsia="仿宋_GB2312" w:cs="Times New Roman"/>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sz w:val="36"/>
          <w:szCs w:val="32"/>
        </w:rPr>
        <w:t>。</w:t>
      </w:r>
    </w:p>
    <w:p>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黑体" w:cs="Times New Roman"/>
          <w:sz w:val="32"/>
          <w:szCs w:val="32"/>
        </w:rPr>
        <w:t>其他需要说</w:t>
      </w:r>
      <w:bookmarkStart w:id="0" w:name="page8"/>
      <w:bookmarkEnd w:id="0"/>
      <w:r>
        <w:rPr>
          <w:rFonts w:hint="default" w:ascii="Times New Roman" w:hAnsi="Times New Roman" w:eastAsia="黑体" w:cs="Times New Roman"/>
          <w:sz w:val="32"/>
          <w:szCs w:val="32"/>
        </w:rPr>
        <w:t>明的问题</w:t>
      </w:r>
    </w:p>
    <w:p>
      <w:pPr>
        <w:pStyle w:val="13"/>
        <w:spacing w:after="0" w:line="560" w:lineRule="exact"/>
        <w:ind w:left="0" w:leftChars="0" w:firstLine="640"/>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本项目无其他需说明的问题。</w:t>
      </w:r>
    </w:p>
    <w:p>
      <w:pPr>
        <w:pStyle w:val="13"/>
        <w:spacing w:after="0" w:line="560" w:lineRule="exact"/>
        <w:ind w:left="0" w:leftChars="0" w:firstLine="0" w:firstLineChars="0"/>
        <w:rPr>
          <w:rFonts w:hint="eastAsia" w:ascii="Times New Roman" w:hAnsi="Times New Roman" w:eastAsia="仿宋_GB2312" w:cs="Times New Roman"/>
          <w:sz w:val="32"/>
          <w:szCs w:val="32"/>
          <w:lang w:eastAsia="zh-CN"/>
        </w:rPr>
      </w:pPr>
    </w:p>
    <w:p>
      <w:pPr>
        <w:pStyle w:val="13"/>
        <w:spacing w:after="0" w:line="560" w:lineRule="exact"/>
        <w:ind w:left="0" w:leftChars="0" w:firstLine="640"/>
        <w:rPr>
          <w:rFonts w:hint="default" w:ascii="Times New Roman" w:hAnsi="Times New Roman" w:eastAsia="仿宋_GB2312" w:cs="Times New Roman"/>
          <w:sz w:val="32"/>
          <w:szCs w:val="32"/>
        </w:rPr>
      </w:pPr>
    </w:p>
    <w:p>
      <w:pPr>
        <w:pStyle w:val="13"/>
        <w:spacing w:after="0" w:line="560" w:lineRule="exact"/>
        <w:ind w:left="0" w:leftChars="0" w:firstLine="640"/>
        <w:rPr>
          <w:rFonts w:hint="default" w:ascii="Times New Roman" w:hAnsi="Times New Roman" w:eastAsia="仿宋_GB2312" w:cs="Times New Roman"/>
          <w:sz w:val="32"/>
          <w:szCs w:val="32"/>
        </w:rPr>
      </w:pPr>
    </w:p>
    <w:p>
      <w:pPr>
        <w:spacing w:line="600" w:lineRule="exact"/>
        <w:rPr>
          <w:rFonts w:hint="eastAsia" w:ascii="Times New Roman" w:hAnsi="Times New Roman" w:eastAsia="黑体" w:cs="Times New Roman"/>
          <w:sz w:val="32"/>
          <w:szCs w:val="32"/>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pPr>
        <w:pStyle w:val="19"/>
        <w:ind w:firstLine="562"/>
        <w:jc w:val="center"/>
        <w:rPr>
          <w:rFonts w:hint="eastAsia" w:ascii="仿宋_GB2312" w:hAnsi="仿宋_GB2312" w:eastAsia="仿宋_GB2312" w:cs="仿宋_GB2312"/>
          <w:sz w:val="28"/>
          <w:szCs w:val="40"/>
          <w:highlight w:val="none"/>
        </w:rPr>
      </w:pPr>
      <w:bookmarkStart w:id="1" w:name="_Toc30064_WPSOffice_Level1"/>
      <w:bookmarkStart w:id="2" w:name="_Toc26499_WPSOffice_Level2"/>
      <w:r>
        <w:rPr>
          <w:rFonts w:hint="eastAsia" w:ascii="仿宋_GB2312" w:hAnsi="仿宋_GB2312" w:eastAsia="仿宋_GB2312" w:cs="仿宋_GB2312"/>
          <w:b/>
          <w:bCs/>
          <w:sz w:val="28"/>
          <w:szCs w:val="40"/>
          <w:highlight w:val="none"/>
          <w:lang w:val="en-US" w:eastAsia="zh-CN"/>
        </w:rPr>
        <w:t>昌州财建[2023]159号关于提前下达2024年车辆购置税收入补助地方（第一批）用于普通省道及农村公路建设“以奖代补”资金预算的通知</w:t>
      </w:r>
      <w:r>
        <w:rPr>
          <w:rFonts w:hint="eastAsia" w:ascii="仿宋_GB2312" w:hAnsi="仿宋_GB2312" w:eastAsia="仿宋_GB2312" w:cs="仿宋_GB2312"/>
          <w:b/>
          <w:bCs/>
          <w:sz w:val="28"/>
          <w:szCs w:val="40"/>
          <w:highlight w:val="none"/>
        </w:rPr>
        <w:t>项目绩效评价指标体系及综合评分表</w:t>
      </w:r>
      <w:bookmarkEnd w:id="1"/>
      <w:bookmarkEnd w:id="2"/>
    </w:p>
    <w:tbl>
      <w:tblPr>
        <w:tblStyle w:val="14"/>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2"/>
        <w:gridCol w:w="1000"/>
        <w:gridCol w:w="1071"/>
        <w:gridCol w:w="1725"/>
        <w:gridCol w:w="5216"/>
        <w:gridCol w:w="5"/>
        <w:gridCol w:w="1299"/>
        <w:gridCol w:w="1365"/>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52" w:hRule="atLeast"/>
          <w:tblHeader/>
          <w:jc w:val="center"/>
        </w:trPr>
        <w:tc>
          <w:tcPr>
            <w:tcW w:w="1002"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一级指标</w:t>
            </w: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二级指标</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三级指标</w:t>
            </w:r>
          </w:p>
        </w:tc>
        <w:tc>
          <w:tcPr>
            <w:tcW w:w="1725"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指标解释</w:t>
            </w:r>
          </w:p>
        </w:tc>
        <w:tc>
          <w:tcPr>
            <w:tcW w:w="5216"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指标说明</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权重</w:t>
            </w:r>
          </w:p>
        </w:tc>
        <w:tc>
          <w:tcPr>
            <w:tcW w:w="1365"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1002"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决策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立项依据</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充分性</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项目立项是否符合法律法规、相关政策、发展规划以及部门职责，用以反映和考核项目立项依据情况。</w:t>
            </w:r>
          </w:p>
        </w:tc>
        <w:tc>
          <w:tcPr>
            <w:tcW w:w="5216"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②项目立项是否符合行业发展规划和政策要求；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③项目立项是否与部门职责范围相符，属于部门履职所需；</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⑤项目是否与相关部门同类项目或部门内部相关项目重复。</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立项程序</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规范性</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项目申请、设立过程是否符合相关要求，用以反映和考核项目立项的规范情况。</w:t>
            </w:r>
          </w:p>
        </w:tc>
        <w:tc>
          <w:tcPr>
            <w:tcW w:w="5216"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①项目是否按照规定的程序申请设立；</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②审批文件、材料是否符合相关要求；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③事前是否已经过必要的可行性研究、专家论证、风险评估、绩效评估、集体决策。</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项目所设定的绩效目标是否依据充分，是否符合客观实际，用以反映和考核项目绩效目标与项目实施的相符情况。</w:t>
            </w:r>
          </w:p>
        </w:tc>
        <w:tc>
          <w:tcPr>
            <w:tcW w:w="5216" w:type="dxa"/>
            <w:shd w:val="clear" w:color="000000"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（如未设定预算绩效目标，也可考核其他工作任务目标）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①项目是否有绩效目标；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②项目绩效目标与实际工作内容是否具有相关性；</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③项目预期产出效益和效果是否符合正常的业绩水平；</w:t>
            </w:r>
          </w:p>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④是否与预算确定的项目投资额或资金量相匹配。</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绩效指标</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明确性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依据绩效目标设定的绩效指标是否清晰、细化、可衡量等，用以反映和考核项目绩效目标的明细化情况。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①是否将项目绩效目标细化分解为具体的绩效指标；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②是否通过清晰、可衡量的指标值予以体现；</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③是否与项目目标任务数或计划数相对应。</w:t>
            </w:r>
            <w:r>
              <w:rPr>
                <w:rFonts w:hint="default" w:ascii="Times New Roman" w:hAnsi="Times New Roman" w:eastAsia="仿宋_GB2312" w:cs="Times New Roman"/>
                <w:color w:val="000000"/>
                <w:kern w:val="0"/>
                <w:sz w:val="18"/>
                <w:szCs w:val="18"/>
                <w:highlight w:val="none"/>
              </w:rPr>
              <w:br w:type="textWrapping"/>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资金投入</w:t>
            </w: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预算编制</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科学性</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①预算编制是否经过科学论证；</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②预算内容与项目内容是否匹配；</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③预算额度测算依据是否充分，是否按照标准编制；</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④预算确定的项目投资额或资金量是否与工作任务相匹配。</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资金分配</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①预算资金分配依据是否充分；</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②资金分配额度是否合理，与项目单位或地方实际是否相适应。</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1002" w:type="dxa"/>
            <w:vMerge w:val="restar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过程</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实际到位资金与预算资金的比率，用以反映和考核资金落实情况对项目实施的总体保障程度。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资金到位率=（实际到位资金/预算资金）×100%。</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实际到位资金：一定时期（本年度或项目期）内落实到具体项目的资金。</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预算资金：一定时期（本年度或项目期）内预算安排到具体项目的资金。</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项目预算资金是否按照计划执行，用以反映或考核项目预算执行情况。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预算执行率=（实际支出资金/实际到位资金）×100%。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实际支出资金：一定时期（本年度或项目期）内项目实际拨付的资金。</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资金使用</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合规性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项目资金使用是否符合相关的财务管理制度规定，用以反映和考核项目资金的规范运行情况。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②资金的拨付是否有完整的审批程序和手续；</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③是否符合项目预算批复或合同规定的用途；</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④是否存在截留、挤占、挪用、虚列支出等情况。</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组织实施</w:t>
            </w: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管理制度</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健全性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项目实施单位的财务和业务管理制度是否健全，用以反映和考核财务和业务管理制度对项目顺利实施的保障情况。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①是否已制定或具有相应的财务和业务管理制度；</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②财务和业务管理制度是否合法、合规、完整。</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制度执行</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有效性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项目实施是否符合相关管理规定，用以反映和考核相关管理制度的有效执行情况。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①是否遵守相关法律法规和相关管理规定；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②项目调整及支出调整手续是否完备；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③项目合同书、验收报告、技术鉴定等资料是否齐全并及时归档；</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④项目实施的人员条件、场地设备、信息支撑等是否落实到位。</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1002"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w:t>
            </w: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产出数量</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项目实施的实际产出数与计划产出数的比率，用以反映和考核项目产出数量目标的实现程度。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实际完成率=（实际产出数/计划产出数）×100%。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计划产出数：项目绩效目标确定的在一定时期（本年度或项目期）内计划产出的产品或提供的服务数量。</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73"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产出质量</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项目完成的质量达标产出数与实际产出数的比率，用以反映和考核项目产出质量目标的实现程度。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质量达标率=（质量达标产出数/实际产出数）×100%。</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产出时效</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完成及时性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项目实际完成时间与计划完成时间的比较，用以反映和考核项目产出时效目标的实现程度。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实际完成时间：项目实施单位完成该项目实际所耗用的时间。</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计划完成时间：按照项目实施计划或相关规定完成该项目所需的时间。</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产出成本</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成本节约率</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完成项目计划工作目标的实际节约成本与计划成本的比率，用以反映和考核项目的成本节约程度。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成本节约率=[（计划成本-实际成本）/计划成本]×100%。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计划成本：项目实施单位为完成工作目标计划安排的支出，一般以项目预算为参考。</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1002"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效益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项目效益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实施效益</w:t>
            </w:r>
          </w:p>
        </w:tc>
        <w:tc>
          <w:tcPr>
            <w:tcW w:w="1725"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项目实施所产生的效益。</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项目实施所产生的社会效益、经济效益、生态效益、可持续影响等。可根据项目实际情况有选择地设置和细化。</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满意度</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社会公众或服务对象对项目实施效果的满意程度。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社会公众或服务对象是指因该项目实施而受到影响的部门（单位）、群体或个人。一般采取社会调查的方式。</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93" w:hRule="atLeast"/>
          <w:jc w:val="center"/>
        </w:trPr>
        <w:tc>
          <w:tcPr>
            <w:tcW w:w="10019" w:type="dxa"/>
            <w:gridSpan w:val="6"/>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合计</w:t>
            </w:r>
          </w:p>
        </w:tc>
        <w:tc>
          <w:tcPr>
            <w:tcW w:w="1299"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fldChar w:fldCharType="begin"/>
            </w:r>
            <w:r>
              <w:rPr>
                <w:rFonts w:hint="default" w:ascii="Times New Roman" w:hAnsi="Times New Roman" w:eastAsia="仿宋_GB2312" w:cs="Times New Roman"/>
                <w:b/>
                <w:bCs/>
                <w:color w:val="000000"/>
                <w:kern w:val="0"/>
                <w:sz w:val="18"/>
                <w:szCs w:val="18"/>
                <w:highlight w:val="none"/>
              </w:rPr>
              <w:instrText xml:space="preserve"> = sum(F2:F18) \* MERGEFORMAT </w:instrText>
            </w:r>
            <w:r>
              <w:rPr>
                <w:rFonts w:hint="default" w:ascii="Times New Roman" w:hAnsi="Times New Roman" w:eastAsia="仿宋_GB2312" w:cs="Times New Roman"/>
                <w:b/>
                <w:bCs/>
                <w:color w:val="000000"/>
                <w:kern w:val="0"/>
                <w:sz w:val="18"/>
                <w:szCs w:val="18"/>
                <w:highlight w:val="none"/>
              </w:rPr>
              <w:fldChar w:fldCharType="separate"/>
            </w:r>
            <w:r>
              <w:rPr>
                <w:rFonts w:hint="default" w:ascii="Times New Roman" w:hAnsi="Times New Roman" w:eastAsia="仿宋_GB2312" w:cs="Times New Roman"/>
                <w:b/>
                <w:bCs/>
                <w:color w:val="000000"/>
                <w:kern w:val="0"/>
                <w:sz w:val="18"/>
                <w:szCs w:val="18"/>
                <w:highlight w:val="none"/>
              </w:rPr>
              <w:t>100</w:t>
            </w:r>
            <w:r>
              <w:rPr>
                <w:rFonts w:hint="default" w:ascii="Times New Roman" w:hAnsi="Times New Roman" w:eastAsia="仿宋_GB2312" w:cs="Times New Roman"/>
                <w:b/>
                <w:bCs/>
                <w:color w:val="000000"/>
                <w:kern w:val="0"/>
                <w:sz w:val="18"/>
                <w:szCs w:val="18"/>
                <w:highlight w:val="none"/>
              </w:rPr>
              <w:fldChar w:fldCharType="end"/>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100</w:t>
            </w:r>
          </w:p>
        </w:tc>
      </w:tr>
    </w:tbl>
    <w:p>
      <w:pPr>
        <w:rPr>
          <w:rFonts w:hint="default" w:ascii="Times New Roman" w:hAnsi="Times New Roman" w:cs="Times New Roman"/>
        </w:rPr>
        <w:sectPr>
          <w:pgSz w:w="16838" w:h="11906" w:orient="landscape"/>
          <w:pgMar w:top="1800" w:right="1440" w:bottom="1558" w:left="1440" w:header="851" w:footer="992" w:gutter="0"/>
          <w:cols w:space="425" w:num="1"/>
          <w:docGrid w:type="lines" w:linePitch="312" w:charSpace="0"/>
        </w:sectPr>
      </w:pPr>
    </w:p>
    <w:p>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2</w:t>
      </w:r>
    </w:p>
    <w:tbl>
      <w:tblPr>
        <w:tblStyle w:val="14"/>
        <w:tblW w:w="1372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80"/>
        <w:gridCol w:w="1080"/>
        <w:gridCol w:w="1080"/>
        <w:gridCol w:w="1080"/>
        <w:gridCol w:w="1005"/>
        <w:gridCol w:w="630"/>
        <w:gridCol w:w="1500"/>
        <w:gridCol w:w="1335"/>
        <w:gridCol w:w="870"/>
        <w:gridCol w:w="780"/>
        <w:gridCol w:w="885"/>
        <w:gridCol w:w="615"/>
        <w:gridCol w:w="705"/>
        <w:gridCol w:w="1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05" w:hRule="atLeast"/>
        </w:trPr>
        <w:tc>
          <w:tcPr>
            <w:tcW w:w="13725" w:type="dxa"/>
            <w:gridSpan w:val="14"/>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13725" w:type="dxa"/>
            <w:gridSpan w:val="14"/>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1156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昌州财建[2023]159号关于提前下达2024年车辆购置税收入补助地方（第一批）用于普通省道及农村公路建设“以奖代补”资金预算的通知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52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奇台县交通运输局</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40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奇台县交通运输局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（万元）</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年初预算数</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1631.94</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1631.94</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1631.94</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其中：当年财政拨款</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1631.94</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1631.94</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1631.94</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上年结转资金</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其他资金</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63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627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6375" w:type="dxa"/>
            <w:gridSpan w:val="6"/>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该项目资金用来2024年车辆购置税收入补助地方（第一批）用于普通省道及农村公路建设“以奖代补”项目，项目总建设总里程为39.76公里，该项目的建设满足农村公路建设发展，造福农民百姓，从农民的根本利益出发谋发展、促发展，最终让发展的成果惠及全体群众。</w:t>
            </w:r>
          </w:p>
        </w:tc>
        <w:tc>
          <w:tcPr>
            <w:tcW w:w="6270" w:type="dxa"/>
            <w:gridSpan w:val="7"/>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2024年车辆购置税收入补助地方（第一批）用于普通省道及农村公路建设“以奖代补”项目，项目总建设总里程为39.76公里,公路安全水平明显提升。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271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年度指标值</w:t>
            </w: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实际完成值</w:t>
            </w:r>
          </w:p>
        </w:tc>
        <w:tc>
          <w:tcPr>
            <w:tcW w:w="165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150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c>
          <w:tcPr>
            <w:tcW w:w="178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71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8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年度绩效指标完成情况</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公路建设里程数</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&gt;=39.76公里</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=39.76公里</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公路等级</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大于等于四级</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公路工程质量达标率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计划开工时间</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=2024年5月</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=2024年5月</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公路建设成本</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社会成本指标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生态环境成本指标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经济效益指标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公路使用年限</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&gt;=8年</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=8年</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提升公路安全水平</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明显提升</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明显提升</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生态效益指标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群众满意度</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879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总分</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100.00分</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bl>
    <w:p>
      <w:pPr>
        <w:rPr>
          <w:rFonts w:hint="default" w:ascii="Times New Roman" w:hAnsi="Times New Roman" w:cs="Times New Roman"/>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楷体_GB2312">
    <w:panose1 w:val="02010609030101010101"/>
    <w:charset w:val="86"/>
    <w:family w:val="auto"/>
    <w:pitch w:val="default"/>
    <w:sig w:usb0="00000001" w:usb1="080E0000" w:usb2="00000000" w:usb3="00000000" w:csb0="00040000" w:csb1="00000000"/>
  </w:font>
  <w:font w:name="方正仿宋_GBK">
    <w:altName w:val="微软雅黑"/>
    <w:panose1 w:val="02000000000000000000"/>
    <w:charset w:val="86"/>
    <w:family w:val="auto"/>
    <w:pitch w:val="default"/>
    <w:sig w:usb0="00000000" w:usb1="00000000" w:usb2="00082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7"/>
          <w:jc w:val="center"/>
        </w:pPr>
        <w:r>
          <w:fldChar w:fldCharType="begin"/>
        </w:r>
        <w:r>
          <w:instrText xml:space="preserve">PAGE   \* MERGEFORMAT</w:instrText>
        </w:r>
        <w:r>
          <w:fldChar w:fldCharType="separate"/>
        </w:r>
        <w:r>
          <w:rPr>
            <w:lang w:val="zh-CN"/>
          </w:rPr>
          <w:t>13</w:t>
        </w:r>
        <w: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03CAFF7"/>
    <w:multiLevelType w:val="singleLevel"/>
    <w:tmpl w:val="A03CAFF7"/>
    <w:lvl w:ilvl="0" w:tentative="0">
      <w:start w:val="1"/>
      <w:numFmt w:val="decimal"/>
      <w:suff w:val="nothing"/>
      <w:lvlText w:val="（%1）"/>
      <w:lvlJc w:val="left"/>
    </w:lvl>
  </w:abstractNum>
  <w:abstractNum w:abstractNumId="1">
    <w:nsid w:val="F4CD2B0F"/>
    <w:multiLevelType w:val="singleLevel"/>
    <w:tmpl w:val="F4CD2B0F"/>
    <w:lvl w:ilvl="0" w:tentative="0">
      <w:start w:val="1"/>
      <w:numFmt w:val="decimal"/>
      <w:suff w:val="nothing"/>
      <w:lvlText w:val="（%1）"/>
      <w:lvlJc w:val="left"/>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27813159"/>
    <w:multiLevelType w:val="singleLevel"/>
    <w:tmpl w:val="27813159"/>
    <w:lvl w:ilvl="0" w:tentative="0">
      <w:start w:val="3"/>
      <w:numFmt w:val="chineseCounting"/>
      <w:suff w:val="nothing"/>
      <w:lvlText w:val="（%1）"/>
      <w:lvlJc w:val="left"/>
      <w:rPr>
        <w:rFonts w:hint="eastAsia"/>
      </w:rPr>
    </w:lvl>
  </w:abstractNum>
  <w:abstractNum w:abstractNumId="5">
    <w:nsid w:val="6FAA0AB1"/>
    <w:multiLevelType w:val="singleLevel"/>
    <w:tmpl w:val="6FAA0AB1"/>
    <w:lvl w:ilvl="0" w:tentative="0">
      <w:start w:val="2"/>
      <w:numFmt w:val="chineseCounting"/>
      <w:suff w:val="nothing"/>
      <w:lvlText w:val="（%1）"/>
      <w:lvlJc w:val="left"/>
      <w:rPr>
        <w:rFonts w:hint="eastAsia"/>
      </w:rPr>
    </w:lvl>
  </w:abstractNum>
  <w:num w:numId="1">
    <w:abstractNumId w:val="1"/>
  </w:num>
  <w:num w:numId="2">
    <w:abstractNumId w:val="0"/>
  </w:num>
  <w:num w:numId="3">
    <w:abstractNumId w:val="4"/>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F26FF6"/>
    <w:rsid w:val="01610122"/>
    <w:rsid w:val="022E269E"/>
    <w:rsid w:val="02510197"/>
    <w:rsid w:val="03EC461B"/>
    <w:rsid w:val="041219CF"/>
    <w:rsid w:val="048605CC"/>
    <w:rsid w:val="05252186"/>
    <w:rsid w:val="05557F9E"/>
    <w:rsid w:val="071A5591"/>
    <w:rsid w:val="07397B77"/>
    <w:rsid w:val="07B90CB8"/>
    <w:rsid w:val="07FE491D"/>
    <w:rsid w:val="08145EEF"/>
    <w:rsid w:val="08AC4379"/>
    <w:rsid w:val="09972933"/>
    <w:rsid w:val="0A634F0B"/>
    <w:rsid w:val="0AD007F3"/>
    <w:rsid w:val="0B4D44EE"/>
    <w:rsid w:val="0B521208"/>
    <w:rsid w:val="0C160487"/>
    <w:rsid w:val="0C496D70"/>
    <w:rsid w:val="0CBF3686"/>
    <w:rsid w:val="0D082A6E"/>
    <w:rsid w:val="0E0B68CB"/>
    <w:rsid w:val="0E0E518E"/>
    <w:rsid w:val="0E3C619F"/>
    <w:rsid w:val="0F6273CA"/>
    <w:rsid w:val="100F38EC"/>
    <w:rsid w:val="11170296"/>
    <w:rsid w:val="11835FE2"/>
    <w:rsid w:val="11B7573D"/>
    <w:rsid w:val="12C66037"/>
    <w:rsid w:val="12CD1ABC"/>
    <w:rsid w:val="13471461"/>
    <w:rsid w:val="1362610F"/>
    <w:rsid w:val="13B90F01"/>
    <w:rsid w:val="13B91121"/>
    <w:rsid w:val="13E250F3"/>
    <w:rsid w:val="1407681E"/>
    <w:rsid w:val="14EA084E"/>
    <w:rsid w:val="150F2E19"/>
    <w:rsid w:val="155E4C4D"/>
    <w:rsid w:val="15B91E83"/>
    <w:rsid w:val="163836F0"/>
    <w:rsid w:val="1642631D"/>
    <w:rsid w:val="16442095"/>
    <w:rsid w:val="166767E0"/>
    <w:rsid w:val="167209B0"/>
    <w:rsid w:val="181066D2"/>
    <w:rsid w:val="19BC47A3"/>
    <w:rsid w:val="1C14153E"/>
    <w:rsid w:val="1C671E73"/>
    <w:rsid w:val="1D063C00"/>
    <w:rsid w:val="1D322C47"/>
    <w:rsid w:val="1F8A1CF5"/>
    <w:rsid w:val="1FE346CD"/>
    <w:rsid w:val="22131A27"/>
    <w:rsid w:val="22290DFD"/>
    <w:rsid w:val="23616034"/>
    <w:rsid w:val="23696C97"/>
    <w:rsid w:val="24480FA2"/>
    <w:rsid w:val="25227A45"/>
    <w:rsid w:val="26562782"/>
    <w:rsid w:val="26AC3A6A"/>
    <w:rsid w:val="28F3548C"/>
    <w:rsid w:val="297B5976"/>
    <w:rsid w:val="29A62C82"/>
    <w:rsid w:val="2A65547C"/>
    <w:rsid w:val="2B22254D"/>
    <w:rsid w:val="2B9D7E25"/>
    <w:rsid w:val="2BB37649"/>
    <w:rsid w:val="2C7C7A3B"/>
    <w:rsid w:val="2F364819"/>
    <w:rsid w:val="2F8D6403"/>
    <w:rsid w:val="2FD63906"/>
    <w:rsid w:val="312E32CE"/>
    <w:rsid w:val="319B6BB5"/>
    <w:rsid w:val="31D200FD"/>
    <w:rsid w:val="354237EC"/>
    <w:rsid w:val="366F6862"/>
    <w:rsid w:val="36AE1058"/>
    <w:rsid w:val="37215DAE"/>
    <w:rsid w:val="389B4D27"/>
    <w:rsid w:val="38CA40DD"/>
    <w:rsid w:val="392C4597"/>
    <w:rsid w:val="395F2B56"/>
    <w:rsid w:val="396226AE"/>
    <w:rsid w:val="3B482032"/>
    <w:rsid w:val="3BBA0580"/>
    <w:rsid w:val="3BCE06B9"/>
    <w:rsid w:val="3BECE841"/>
    <w:rsid w:val="3C044386"/>
    <w:rsid w:val="3CDE204C"/>
    <w:rsid w:val="3D363C36"/>
    <w:rsid w:val="3DC83D5C"/>
    <w:rsid w:val="3E1540B3"/>
    <w:rsid w:val="3E9C3F6D"/>
    <w:rsid w:val="3EAB0654"/>
    <w:rsid w:val="3F536D21"/>
    <w:rsid w:val="3FF7797D"/>
    <w:rsid w:val="42347EF2"/>
    <w:rsid w:val="42F16CBA"/>
    <w:rsid w:val="448259B3"/>
    <w:rsid w:val="46690BD8"/>
    <w:rsid w:val="46D842DA"/>
    <w:rsid w:val="472E3BD0"/>
    <w:rsid w:val="48401E0D"/>
    <w:rsid w:val="48873598"/>
    <w:rsid w:val="498C7C37"/>
    <w:rsid w:val="49F70BF1"/>
    <w:rsid w:val="4AEC002A"/>
    <w:rsid w:val="4B4340EE"/>
    <w:rsid w:val="4C72630D"/>
    <w:rsid w:val="4C793235"/>
    <w:rsid w:val="4FBC446F"/>
    <w:rsid w:val="503D507A"/>
    <w:rsid w:val="507E34D2"/>
    <w:rsid w:val="513A1AEF"/>
    <w:rsid w:val="516528E4"/>
    <w:rsid w:val="51FA74D0"/>
    <w:rsid w:val="52AA4A52"/>
    <w:rsid w:val="53163E96"/>
    <w:rsid w:val="535844AE"/>
    <w:rsid w:val="539D3AD1"/>
    <w:rsid w:val="55D441F7"/>
    <w:rsid w:val="57B343A9"/>
    <w:rsid w:val="58A91308"/>
    <w:rsid w:val="591C39E7"/>
    <w:rsid w:val="59943D66"/>
    <w:rsid w:val="59E051FD"/>
    <w:rsid w:val="59E6355E"/>
    <w:rsid w:val="5B821531"/>
    <w:rsid w:val="5BAA7871"/>
    <w:rsid w:val="5BFF6039"/>
    <w:rsid w:val="5C3B671B"/>
    <w:rsid w:val="5C9D014E"/>
    <w:rsid w:val="5D2F0ED8"/>
    <w:rsid w:val="5D76A616"/>
    <w:rsid w:val="5D7F20B9"/>
    <w:rsid w:val="5DAC7D0E"/>
    <w:rsid w:val="5F98B5AF"/>
    <w:rsid w:val="5FFE8511"/>
    <w:rsid w:val="5FFEACE2"/>
    <w:rsid w:val="60695F4D"/>
    <w:rsid w:val="609D5BF6"/>
    <w:rsid w:val="61073070"/>
    <w:rsid w:val="61B9080E"/>
    <w:rsid w:val="61DF3FED"/>
    <w:rsid w:val="62606CE8"/>
    <w:rsid w:val="62725DD8"/>
    <w:rsid w:val="637C5F97"/>
    <w:rsid w:val="6388493C"/>
    <w:rsid w:val="642B176B"/>
    <w:rsid w:val="643EE26D"/>
    <w:rsid w:val="656019A0"/>
    <w:rsid w:val="65F242EE"/>
    <w:rsid w:val="666D7E19"/>
    <w:rsid w:val="68376930"/>
    <w:rsid w:val="68F91E38"/>
    <w:rsid w:val="694D5CE0"/>
    <w:rsid w:val="6B3158B9"/>
    <w:rsid w:val="6BA02A3F"/>
    <w:rsid w:val="6BE648F5"/>
    <w:rsid w:val="6BEE00B5"/>
    <w:rsid w:val="6C105349"/>
    <w:rsid w:val="6C1163E1"/>
    <w:rsid w:val="6C1E5A53"/>
    <w:rsid w:val="6CD644A8"/>
    <w:rsid w:val="6EE82732"/>
    <w:rsid w:val="6EF70BC7"/>
    <w:rsid w:val="6F5C41AC"/>
    <w:rsid w:val="6FAF6C78"/>
    <w:rsid w:val="716167CC"/>
    <w:rsid w:val="718A7AD1"/>
    <w:rsid w:val="72A44BC2"/>
    <w:rsid w:val="7317C656"/>
    <w:rsid w:val="734ED73F"/>
    <w:rsid w:val="73C82B32"/>
    <w:rsid w:val="73F94DAE"/>
    <w:rsid w:val="74220495"/>
    <w:rsid w:val="74624D35"/>
    <w:rsid w:val="747D1B6F"/>
    <w:rsid w:val="749E5641"/>
    <w:rsid w:val="74A302A1"/>
    <w:rsid w:val="76271066"/>
    <w:rsid w:val="77FD8BE9"/>
    <w:rsid w:val="78000AED"/>
    <w:rsid w:val="78036054"/>
    <w:rsid w:val="79A9BD3F"/>
    <w:rsid w:val="7A9F497D"/>
    <w:rsid w:val="7AC5270E"/>
    <w:rsid w:val="7B776F12"/>
    <w:rsid w:val="7BFFFDD0"/>
    <w:rsid w:val="7C336E5F"/>
    <w:rsid w:val="7C8D4919"/>
    <w:rsid w:val="7D7A5F86"/>
    <w:rsid w:val="7DE06CCB"/>
    <w:rsid w:val="7E4B683A"/>
    <w:rsid w:val="7E5E656D"/>
    <w:rsid w:val="7E8F2BCB"/>
    <w:rsid w:val="7F37BB4E"/>
    <w:rsid w:val="7FB34697"/>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3"/>
    <w:qFormat/>
    <w:uiPriority w:val="0"/>
    <w:rPr>
      <w:b/>
      <w:bCs/>
    </w:rPr>
  </w:style>
  <w:style w:type="paragraph" w:styleId="12">
    <w:name w:val="Body Text First Indent"/>
    <w:basedOn w:val="4"/>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6"/>
    <w:qFormat/>
    <w:uiPriority w:val="0"/>
    <w:rPr>
      <w:rFonts w:ascii="Times New Roman" w:hAnsi="Times New Roman" w:eastAsia="宋体" w:cs="Times New Roman"/>
      <w:kern w:val="2"/>
      <w:sz w:val="18"/>
      <w:szCs w:val="18"/>
    </w:rPr>
  </w:style>
  <w:style w:type="character" w:customStyle="1" w:styleId="21">
    <w:name w:val="页眉 字符"/>
    <w:basedOn w:val="15"/>
    <w:link w:val="8"/>
    <w:qFormat/>
    <w:uiPriority w:val="0"/>
    <w:rPr>
      <w:rFonts w:ascii="Times New Roman" w:hAnsi="Times New Roman" w:eastAsia="宋体" w:cs="Times New Roman"/>
      <w:kern w:val="2"/>
      <w:sz w:val="18"/>
      <w:szCs w:val="18"/>
    </w:rPr>
  </w:style>
  <w:style w:type="character" w:customStyle="1" w:styleId="22">
    <w:name w:val="批注文字 字符"/>
    <w:basedOn w:val="15"/>
    <w:link w:val="3"/>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28</Pages>
  <Words>3568</Words>
  <Characters>3796</Characters>
  <Lines>58</Lines>
  <Paragraphs>16</Paragraphs>
  <TotalTime>27</TotalTime>
  <ScaleCrop>false</ScaleCrop>
  <LinksUpToDate>false</LinksUpToDate>
  <CharactersWithSpaces>3801</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Administrator</cp:lastModifiedBy>
  <dcterms:modified xsi:type="dcterms:W3CDTF">2025-05-08T13:22:33Z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A075C2AEC1C54D1693797747003CB0A9_13</vt:lpwstr>
  </property>
  <property fmtid="{D5CDD505-2E9C-101B-9397-08002B2CF9AE}" pid="4" name="KSOTemplateDocerSaveRecord">
    <vt:lpwstr>eyJoZGlkIjoiNjZlYjc4Mjk3MGI2ZDAyYjhhNDFjZjdjNjkzNjhlMjQiLCJ1c2VySWQiOiIyOTE1MTQzNjgifQ==</vt:lpwstr>
  </property>
</Properties>
</file>