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298B65">
      <w:pPr>
        <w:tabs>
          <w:tab w:val="left" w:pos="1050"/>
        </w:tabs>
        <w:spacing w:line="540" w:lineRule="exact"/>
        <w:jc w:val="center"/>
        <w:rPr>
          <w:rFonts w:hint="default" w:ascii="Times New Roman" w:hAnsi="Times New Roman" w:eastAsia="华文中宋" w:cs="Times New Roman"/>
          <w:b/>
          <w:color w:val="auto"/>
          <w:kern w:val="0"/>
          <w:sz w:val="52"/>
          <w:szCs w:val="52"/>
          <w:highlight w:val="none"/>
        </w:rPr>
      </w:pPr>
    </w:p>
    <w:p w14:paraId="4571EDFE">
      <w:pPr>
        <w:spacing w:line="540" w:lineRule="exact"/>
        <w:rPr>
          <w:rFonts w:hint="default" w:ascii="Times New Roman" w:hAnsi="Times New Roman" w:eastAsia="华文中宋" w:cs="Times New Roman"/>
          <w:b/>
          <w:color w:val="auto"/>
          <w:kern w:val="0"/>
          <w:sz w:val="52"/>
          <w:szCs w:val="52"/>
          <w:highlight w:val="none"/>
        </w:rPr>
      </w:pPr>
    </w:p>
    <w:p w14:paraId="55896AF0">
      <w:pPr>
        <w:spacing w:line="540" w:lineRule="exact"/>
        <w:jc w:val="center"/>
        <w:rPr>
          <w:rFonts w:hint="default" w:ascii="Times New Roman" w:hAnsi="Times New Roman" w:eastAsia="华文中宋" w:cs="Times New Roman"/>
          <w:b/>
          <w:color w:val="auto"/>
          <w:kern w:val="0"/>
          <w:sz w:val="52"/>
          <w:szCs w:val="52"/>
          <w:highlight w:val="none"/>
        </w:rPr>
      </w:pPr>
    </w:p>
    <w:p w14:paraId="3297A008">
      <w:pPr>
        <w:spacing w:line="540" w:lineRule="exact"/>
        <w:jc w:val="center"/>
        <w:rPr>
          <w:rFonts w:hint="default" w:ascii="Times New Roman" w:hAnsi="Times New Roman" w:eastAsia="华文中宋" w:cs="Times New Roman"/>
          <w:b/>
          <w:color w:val="auto"/>
          <w:kern w:val="0"/>
          <w:sz w:val="52"/>
          <w:szCs w:val="52"/>
          <w:highlight w:val="none"/>
        </w:rPr>
      </w:pPr>
    </w:p>
    <w:p w14:paraId="0868FDC6">
      <w:pPr>
        <w:spacing w:line="540" w:lineRule="exact"/>
        <w:jc w:val="center"/>
        <w:rPr>
          <w:rFonts w:hint="default" w:eastAsia="方正小标宋_GBK" w:cs="Times New Roman"/>
          <w:color w:val="auto"/>
          <w:kern w:val="0"/>
          <w:sz w:val="48"/>
          <w:szCs w:val="48"/>
          <w:highlight w:val="none"/>
          <w:lang w:val="en-US" w:eastAsia="zh-CN"/>
        </w:rPr>
      </w:pPr>
      <w:r>
        <w:rPr>
          <w:rFonts w:hint="eastAsia" w:eastAsia="方正小标宋_GBK" w:cs="Times New Roman"/>
          <w:color w:val="auto"/>
          <w:kern w:val="0"/>
          <w:sz w:val="48"/>
          <w:szCs w:val="48"/>
          <w:highlight w:val="none"/>
          <w:lang w:val="en-US" w:eastAsia="zh-CN"/>
        </w:rPr>
        <w:t>关于五马场乡文化活动经费，中央政法纪检检查经费，“三影重叠”技术服务费，拨付五马场乡经费</w:t>
      </w:r>
      <w:r>
        <w:rPr>
          <w:rFonts w:hint="default" w:eastAsia="方正小标宋_GBK" w:cs="Times New Roman"/>
          <w:color w:val="auto"/>
          <w:kern w:val="0"/>
          <w:sz w:val="48"/>
          <w:szCs w:val="48"/>
          <w:highlight w:val="none"/>
          <w:lang w:val="en-US" w:eastAsia="zh-CN"/>
        </w:rPr>
        <w:t>项目支出绩效评价</w:t>
      </w:r>
    </w:p>
    <w:p w14:paraId="648EC6B3">
      <w:pPr>
        <w:spacing w:line="540" w:lineRule="exact"/>
        <w:jc w:val="center"/>
        <w:rPr>
          <w:rFonts w:hint="default" w:ascii="Times New Roman" w:hAnsi="Times New Roman" w:eastAsia="方正小标宋_GBK" w:cs="Times New Roman"/>
          <w:color w:val="auto"/>
          <w:kern w:val="0"/>
          <w:sz w:val="48"/>
          <w:szCs w:val="48"/>
          <w:highlight w:val="none"/>
        </w:rPr>
      </w:pPr>
      <w:r>
        <w:rPr>
          <w:rFonts w:hint="default" w:eastAsia="方正小标宋_GBK" w:cs="Times New Roman"/>
          <w:color w:val="auto"/>
          <w:kern w:val="0"/>
          <w:sz w:val="48"/>
          <w:szCs w:val="48"/>
          <w:highlight w:val="none"/>
          <w:lang w:val="en-US" w:eastAsia="zh-CN"/>
        </w:rPr>
        <w:t>报告</w:t>
      </w:r>
    </w:p>
    <w:p w14:paraId="4DE66117">
      <w:pPr>
        <w:spacing w:line="540" w:lineRule="exact"/>
        <w:jc w:val="center"/>
        <w:rPr>
          <w:rFonts w:hint="default" w:ascii="Times New Roman" w:hAnsi="Times New Roman" w:eastAsia="华文中宋" w:cs="Times New Roman"/>
          <w:b/>
          <w:color w:val="auto"/>
          <w:kern w:val="0"/>
          <w:sz w:val="52"/>
          <w:szCs w:val="52"/>
          <w:highlight w:val="none"/>
        </w:rPr>
      </w:pPr>
    </w:p>
    <w:p w14:paraId="3C111034">
      <w:pPr>
        <w:spacing w:line="540" w:lineRule="exact"/>
        <w:jc w:val="center"/>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（202</w:t>
      </w:r>
      <w:r>
        <w:rPr>
          <w:rFonts w:hint="default" w:ascii="Times New Roman" w:hAnsi="Times New Roman" w:eastAsia="仿宋_GB2312" w:cs="Times New Roman"/>
          <w:color w:val="auto"/>
          <w:kern w:val="0"/>
          <w:sz w:val="36"/>
          <w:szCs w:val="36"/>
          <w:highlight w:val="none"/>
          <w:lang w:val="en-US" w:eastAsia="zh-CN"/>
        </w:rPr>
        <w:t>4</w:t>
      </w:r>
      <w:r>
        <w:rPr>
          <w:rFonts w:hint="default" w:ascii="Times New Roman" w:hAnsi="Times New Roman" w:eastAsia="仿宋_GB2312" w:cs="Times New Roman"/>
          <w:color w:val="auto"/>
          <w:kern w:val="0"/>
          <w:sz w:val="36"/>
          <w:szCs w:val="36"/>
          <w:highlight w:val="none"/>
        </w:rPr>
        <w:t>年度）</w:t>
      </w:r>
    </w:p>
    <w:p w14:paraId="2C6368D7">
      <w:pPr>
        <w:spacing w:line="540" w:lineRule="exact"/>
        <w:jc w:val="center"/>
        <w:rPr>
          <w:rFonts w:hint="default" w:ascii="Times New Roman" w:hAnsi="Times New Roman" w:eastAsia="仿宋_GB2312" w:cs="Times New Roman"/>
          <w:color w:val="auto"/>
          <w:kern w:val="0"/>
          <w:sz w:val="30"/>
          <w:szCs w:val="30"/>
          <w:highlight w:val="none"/>
        </w:rPr>
      </w:pPr>
    </w:p>
    <w:p w14:paraId="2FF8CDDF">
      <w:pPr>
        <w:spacing w:line="540" w:lineRule="exact"/>
        <w:jc w:val="center"/>
        <w:rPr>
          <w:rFonts w:hint="default" w:ascii="Times New Roman" w:hAnsi="Times New Roman" w:eastAsia="仿宋_GB2312" w:cs="Times New Roman"/>
          <w:color w:val="auto"/>
          <w:kern w:val="0"/>
          <w:sz w:val="30"/>
          <w:szCs w:val="30"/>
          <w:highlight w:val="none"/>
        </w:rPr>
      </w:pPr>
    </w:p>
    <w:p w14:paraId="53E40E58">
      <w:pPr>
        <w:spacing w:line="540" w:lineRule="exact"/>
        <w:jc w:val="center"/>
        <w:rPr>
          <w:rFonts w:hint="default" w:ascii="Times New Roman" w:hAnsi="Times New Roman" w:eastAsia="仿宋_GB2312" w:cs="Times New Roman"/>
          <w:color w:val="auto"/>
          <w:kern w:val="0"/>
          <w:sz w:val="30"/>
          <w:szCs w:val="30"/>
          <w:highlight w:val="none"/>
        </w:rPr>
      </w:pPr>
    </w:p>
    <w:p w14:paraId="76D6697E">
      <w:pPr>
        <w:pStyle w:val="10"/>
        <w:rPr>
          <w:rFonts w:hint="default" w:ascii="Times New Roman" w:hAnsi="Times New Roman" w:cs="Times New Roman"/>
          <w:color w:val="auto"/>
          <w:highlight w:val="none"/>
        </w:rPr>
      </w:pPr>
    </w:p>
    <w:p w14:paraId="27646B33">
      <w:pPr>
        <w:spacing w:line="540" w:lineRule="exact"/>
        <w:jc w:val="center"/>
        <w:rPr>
          <w:rFonts w:hint="default" w:ascii="Times New Roman" w:hAnsi="Times New Roman" w:eastAsia="仿宋_GB2312" w:cs="Times New Roman"/>
          <w:color w:val="auto"/>
          <w:kern w:val="0"/>
          <w:sz w:val="30"/>
          <w:szCs w:val="30"/>
          <w:highlight w:val="none"/>
        </w:rPr>
      </w:pPr>
    </w:p>
    <w:p w14:paraId="49E24313">
      <w:pPr>
        <w:spacing w:line="540" w:lineRule="exact"/>
        <w:rPr>
          <w:rFonts w:hint="default" w:ascii="Times New Roman" w:hAnsi="Times New Roman" w:eastAsia="仿宋_GB2312" w:cs="Times New Roman"/>
          <w:color w:val="auto"/>
          <w:kern w:val="0"/>
          <w:sz w:val="30"/>
          <w:szCs w:val="30"/>
          <w:highlight w:val="none"/>
        </w:rPr>
      </w:pPr>
    </w:p>
    <w:p w14:paraId="698BBB5C">
      <w:pPr>
        <w:spacing w:line="700" w:lineRule="exact"/>
        <w:ind w:left="3270" w:leftChars="700" w:hanging="1800" w:hangingChars="500"/>
        <w:jc w:val="both"/>
        <w:rPr>
          <w:rFonts w:hint="eastAsia" w:ascii="Times New Roman" w:hAnsi="Times New Roman" w:eastAsia="仿宋_GB2312" w:cs="Times New Roman"/>
          <w:color w:val="auto"/>
          <w:kern w:val="0"/>
          <w:sz w:val="36"/>
          <w:szCs w:val="36"/>
          <w:highlight w:val="none"/>
          <w:lang w:val="en-US" w:eastAsia="zh-CN"/>
        </w:rPr>
      </w:pPr>
      <w:r>
        <w:rPr>
          <w:rFonts w:hint="default" w:ascii="Times New Roman" w:hAnsi="Times New Roman" w:eastAsia="仿宋_GB2312" w:cs="Times New Roman"/>
          <w:color w:val="auto"/>
          <w:kern w:val="0"/>
          <w:sz w:val="36"/>
          <w:szCs w:val="36"/>
          <w:highlight w:val="none"/>
        </w:rPr>
        <w:t>项目名称：</w:t>
      </w:r>
      <w:r>
        <w:rPr>
          <w:rFonts w:hint="eastAsia" w:ascii="Times New Roman" w:hAnsi="Times New Roman" w:eastAsia="仿宋_GB2312" w:cs="Times New Roman"/>
          <w:color w:val="auto"/>
          <w:kern w:val="0"/>
          <w:sz w:val="36"/>
          <w:szCs w:val="36"/>
          <w:highlight w:val="none"/>
          <w:lang w:val="en-US" w:eastAsia="zh-CN"/>
        </w:rPr>
        <w:t>关于五马场乡文化活动经费，中央政法纪检检查经费，“三影重叠”技术服务费，拨付五马场乡经费</w:t>
      </w:r>
    </w:p>
    <w:p w14:paraId="2BCF4A26">
      <w:pPr>
        <w:spacing w:line="700" w:lineRule="exact"/>
        <w:ind w:firstLine="1440" w:firstLineChars="400"/>
        <w:jc w:val="left"/>
        <w:rPr>
          <w:rFonts w:hint="eastAsia" w:eastAsia="仿宋_GB2312" w:cs="Times New Roman"/>
          <w:color w:val="auto"/>
          <w:kern w:val="0"/>
          <w:sz w:val="36"/>
          <w:szCs w:val="36"/>
          <w:highlight w:val="none"/>
          <w:lang w:val="en-US" w:eastAsia="zh-CN"/>
        </w:rPr>
      </w:pPr>
      <w:r>
        <w:rPr>
          <w:rFonts w:hint="default" w:ascii="Times New Roman" w:hAnsi="Times New Roman" w:eastAsia="仿宋_GB2312" w:cs="Times New Roman"/>
          <w:color w:val="auto"/>
          <w:kern w:val="0"/>
          <w:sz w:val="36"/>
          <w:szCs w:val="36"/>
          <w:highlight w:val="none"/>
        </w:rPr>
        <w:t>实施单位（公章）：</w:t>
      </w:r>
      <w:r>
        <w:rPr>
          <w:rFonts w:hint="eastAsia" w:eastAsia="仿宋_GB2312" w:cs="Times New Roman"/>
          <w:color w:val="auto"/>
          <w:kern w:val="0"/>
          <w:sz w:val="36"/>
          <w:szCs w:val="36"/>
          <w:highlight w:val="none"/>
          <w:lang w:val="en-US" w:eastAsia="zh-CN"/>
        </w:rPr>
        <w:t>奇台县五马场乡人民政府</w:t>
      </w:r>
    </w:p>
    <w:p w14:paraId="68D83E61">
      <w:pPr>
        <w:spacing w:line="700" w:lineRule="exact"/>
        <w:ind w:firstLine="1440" w:firstLineChars="400"/>
        <w:jc w:val="left"/>
        <w:rPr>
          <w:rFonts w:hint="eastAsia" w:eastAsia="仿宋_GB2312" w:cs="Times New Roman"/>
          <w:color w:val="auto"/>
          <w:kern w:val="0"/>
          <w:sz w:val="36"/>
          <w:szCs w:val="36"/>
          <w:highlight w:val="none"/>
          <w:lang w:val="en-US" w:eastAsia="zh-CN"/>
        </w:rPr>
      </w:pPr>
      <w:r>
        <w:rPr>
          <w:rFonts w:hint="default" w:ascii="Times New Roman" w:hAnsi="Times New Roman" w:eastAsia="仿宋_GB2312" w:cs="Times New Roman"/>
          <w:color w:val="auto"/>
          <w:kern w:val="0"/>
          <w:sz w:val="36"/>
          <w:szCs w:val="36"/>
          <w:highlight w:val="none"/>
        </w:rPr>
        <w:t>主管部门（公章）：</w:t>
      </w:r>
      <w:r>
        <w:rPr>
          <w:rFonts w:hint="eastAsia" w:eastAsia="仿宋_GB2312" w:cs="Times New Roman"/>
          <w:color w:val="auto"/>
          <w:kern w:val="0"/>
          <w:sz w:val="36"/>
          <w:szCs w:val="36"/>
          <w:highlight w:val="none"/>
          <w:lang w:val="en-US" w:eastAsia="zh-CN"/>
        </w:rPr>
        <w:t>奇台县人民政府</w:t>
      </w:r>
    </w:p>
    <w:p w14:paraId="4368E6A0">
      <w:pPr>
        <w:spacing w:line="700" w:lineRule="exact"/>
        <w:ind w:firstLine="1440" w:firstLineChars="400"/>
        <w:jc w:val="left"/>
        <w:rPr>
          <w:rFonts w:hint="eastAsia" w:eastAsia="仿宋_GB2312" w:cs="Times New Roman"/>
          <w:color w:val="auto"/>
          <w:kern w:val="0"/>
          <w:sz w:val="36"/>
          <w:szCs w:val="36"/>
          <w:highlight w:val="none"/>
          <w:lang w:val="en-US" w:eastAsia="zh-CN"/>
        </w:rPr>
      </w:pPr>
      <w:r>
        <w:rPr>
          <w:rFonts w:hint="default" w:ascii="Times New Roman" w:hAnsi="Times New Roman" w:eastAsia="仿宋_GB2312" w:cs="Times New Roman"/>
          <w:color w:val="auto"/>
          <w:kern w:val="0"/>
          <w:sz w:val="36"/>
          <w:szCs w:val="36"/>
          <w:highlight w:val="none"/>
        </w:rPr>
        <w:t>项目负责人（签章）：</w:t>
      </w:r>
      <w:r>
        <w:rPr>
          <w:rFonts w:hint="eastAsia" w:eastAsia="仿宋_GB2312" w:cs="Times New Roman"/>
          <w:color w:val="auto"/>
          <w:kern w:val="0"/>
          <w:sz w:val="36"/>
          <w:szCs w:val="36"/>
          <w:highlight w:val="none"/>
          <w:lang w:val="en-US" w:eastAsia="zh-CN"/>
        </w:rPr>
        <w:t>马英杰</w:t>
      </w:r>
    </w:p>
    <w:p w14:paraId="3BC2BE7A">
      <w:pPr>
        <w:spacing w:line="700" w:lineRule="exact"/>
        <w:ind w:firstLine="1440" w:firstLineChars="400"/>
        <w:jc w:val="left"/>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填报时间：</w:t>
      </w:r>
      <w:r>
        <w:rPr>
          <w:rFonts w:hint="eastAsia" w:eastAsia="仿宋_GB2312" w:cs="Times New Roman"/>
          <w:color w:val="auto"/>
          <w:kern w:val="0"/>
          <w:sz w:val="36"/>
          <w:szCs w:val="36"/>
          <w:highlight w:val="none"/>
          <w:lang w:val="en-US" w:eastAsia="zh-CN"/>
        </w:rPr>
        <w:t>2025</w:t>
      </w:r>
      <w:r>
        <w:rPr>
          <w:rFonts w:hint="default" w:ascii="Times New Roman" w:hAnsi="Times New Roman" w:eastAsia="仿宋_GB2312" w:cs="Times New Roman"/>
          <w:color w:val="auto"/>
          <w:kern w:val="0"/>
          <w:sz w:val="36"/>
          <w:szCs w:val="36"/>
          <w:highlight w:val="none"/>
        </w:rPr>
        <w:t>年</w:t>
      </w:r>
      <w:r>
        <w:rPr>
          <w:rFonts w:hint="eastAsia" w:eastAsia="仿宋_GB2312" w:cs="Times New Roman"/>
          <w:color w:val="auto"/>
          <w:kern w:val="0"/>
          <w:sz w:val="36"/>
          <w:szCs w:val="36"/>
          <w:highlight w:val="none"/>
          <w:lang w:val="en-US" w:eastAsia="zh-CN"/>
        </w:rPr>
        <w:t>5</w:t>
      </w:r>
      <w:r>
        <w:rPr>
          <w:rFonts w:hint="default" w:ascii="Times New Roman" w:hAnsi="Times New Roman" w:eastAsia="仿宋_GB2312" w:cs="Times New Roman"/>
          <w:color w:val="auto"/>
          <w:kern w:val="0"/>
          <w:sz w:val="36"/>
          <w:szCs w:val="36"/>
          <w:highlight w:val="none"/>
        </w:rPr>
        <w:t>月</w:t>
      </w:r>
      <w:r>
        <w:rPr>
          <w:rFonts w:hint="eastAsia" w:eastAsia="仿宋_GB2312" w:cs="Times New Roman"/>
          <w:color w:val="auto"/>
          <w:kern w:val="0"/>
          <w:sz w:val="36"/>
          <w:szCs w:val="36"/>
          <w:highlight w:val="none"/>
          <w:lang w:val="en-US" w:eastAsia="zh-CN"/>
        </w:rPr>
        <w:t>6</w:t>
      </w:r>
      <w:r>
        <w:rPr>
          <w:rFonts w:hint="default" w:ascii="Times New Roman" w:hAnsi="Times New Roman" w:eastAsia="仿宋_GB2312" w:cs="Times New Roman"/>
          <w:color w:val="auto"/>
          <w:kern w:val="0"/>
          <w:sz w:val="36"/>
          <w:szCs w:val="36"/>
          <w:highlight w:val="none"/>
        </w:rPr>
        <w:t>日</w:t>
      </w:r>
    </w:p>
    <w:p w14:paraId="59FCC758">
      <w:pPr>
        <w:spacing w:line="560" w:lineRule="exact"/>
        <w:rPr>
          <w:rFonts w:hint="default" w:ascii="Times New Roman" w:hAnsi="Times New Roman" w:eastAsia="黑体" w:cs="Times New Roman"/>
          <w:bCs/>
          <w:color w:val="auto"/>
          <w:sz w:val="32"/>
          <w:szCs w:val="32"/>
          <w:highlight w:val="none"/>
        </w:rPr>
        <w:sectPr>
          <w:pgSz w:w="11906" w:h="16838"/>
          <w:pgMar w:top="1440" w:right="1558" w:bottom="1440" w:left="1800" w:header="851" w:footer="992" w:gutter="0"/>
          <w:cols w:space="425" w:num="1"/>
          <w:docGrid w:type="lines" w:linePitch="312" w:charSpace="0"/>
        </w:sectPr>
      </w:pPr>
    </w:p>
    <w:p w14:paraId="38AC369E">
      <w:pPr>
        <w:spacing w:line="560" w:lineRule="exact"/>
        <w:ind w:firstLine="640" w:firstLineChars="200"/>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一、基本情况</w:t>
      </w:r>
    </w:p>
    <w:p w14:paraId="2F53D09B">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（一）项目概况</w:t>
      </w:r>
    </w:p>
    <w:p w14:paraId="2C30C7D9">
      <w:pPr>
        <w:spacing w:line="560" w:lineRule="exact"/>
        <w:ind w:firstLine="643" w:firstLineChars="200"/>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rPr>
        <w:t>项目背景</w:t>
      </w:r>
    </w:p>
    <w:p w14:paraId="069F15BD">
      <w:pPr>
        <w:pStyle w:val="10"/>
        <w:numPr>
          <w:ilvl w:val="0"/>
          <w:numId w:val="0"/>
        </w:numPr>
        <w:spacing w:before="0" w:after="0" w:line="560" w:lineRule="exact"/>
        <w:ind w:firstLine="640" w:firstLineChars="200"/>
        <w:jc w:val="both"/>
        <w:rPr>
          <w:rFonts w:hint="default"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1.昌州财教[2024]2号2024年中央补助地方公共文化服务体系建设补助资金-社火、村晚、文化集市等其他文化活动补助经费，总投资1万元。2、奇乡财[2024]37号2023年奇台县五马场乡实施地下水位下降整治实现“三影重叠”实测工作技术服务费，总投资3.49万元。3、昌州财办行[2024]6号-2024年中央政法纪检监察转移支付资金，总投资2万元。4、奇乡财【2024】46号关于拨付五马场乡经费支付乡政府取暖费及暖气抢修工程，总投资67万元。</w:t>
      </w:r>
    </w:p>
    <w:p w14:paraId="4D4C204E">
      <w:pPr>
        <w:pStyle w:val="10"/>
        <w:numPr>
          <w:ilvl w:val="0"/>
          <w:numId w:val="0"/>
        </w:numPr>
        <w:spacing w:before="0" w:after="0" w:line="560" w:lineRule="exact"/>
        <w:ind w:firstLine="643" w:firstLineChars="200"/>
        <w:jc w:val="both"/>
        <w:rPr>
          <w:rFonts w:hint="default" w:ascii="Times New Roman" w:hAnsi="Times New Roman" w:eastAsia="仿宋_GB2312" w:cs="Times New Roman"/>
          <w:color w:val="auto"/>
          <w:kern w:val="2"/>
          <w:highlight w:val="none"/>
        </w:rPr>
      </w:pPr>
      <w:r>
        <w:rPr>
          <w:rFonts w:hint="default" w:ascii="Times New Roman" w:hAnsi="Times New Roman" w:eastAsia="仿宋_GB2312" w:cs="Times New Roman"/>
          <w:color w:val="auto"/>
          <w:kern w:val="2"/>
          <w:highlight w:val="none"/>
          <w:lang w:val="en-US" w:eastAsia="zh-CN"/>
        </w:rPr>
        <w:t>2.</w:t>
      </w:r>
      <w:r>
        <w:rPr>
          <w:rFonts w:hint="default" w:ascii="Times New Roman" w:hAnsi="Times New Roman" w:eastAsia="仿宋_GB2312" w:cs="Times New Roman"/>
          <w:color w:val="auto"/>
          <w:kern w:val="2"/>
          <w:highlight w:val="none"/>
        </w:rPr>
        <w:t>项目主要内容：</w:t>
      </w:r>
    </w:p>
    <w:p w14:paraId="225642A6">
      <w:pPr>
        <w:shd w:val="clear"/>
        <w:spacing w:line="600" w:lineRule="exact"/>
        <w:ind w:firstLine="640" w:firstLineChars="200"/>
        <w:outlineLvl w:val="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我单位组织人员103人参加2024年2月24日开展元宵节社火大赛，全力营造浓厚的中华传统节日氛围，将会为人民群众送去欢乐和文明，保障人民群众精神文化活动。2、通过我县“三调”和14个乡镇“三影重叠”数据成果，对扣除农经确权地和退耕地还林地以外的国有农用地进行全面摸排，明确所在村组、地块编号、实际面积、发包信息、使用情况等，将会形成详细的国有农用地管理档案，使农村资产的管理更加规范。3、</w:t>
      </w:r>
      <w:r>
        <w:rPr>
          <w:rFonts w:hint="eastAsia" w:ascii="Times New Roman" w:hAnsi="Times New Roman" w:eastAsia="仿宋_GB2312" w:cs="Times New Roman"/>
          <w:color w:val="auto"/>
          <w:sz w:val="32"/>
          <w:szCs w:val="32"/>
          <w:highlight w:val="none"/>
          <w:lang w:val="en-US" w:eastAsia="zh-CN"/>
        </w:rPr>
        <w:t>根据昌州财办[2024]6号2024年内容为开展办案业务工作所需要办案经费和业务装备经费。</w:t>
      </w:r>
      <w:r>
        <w:rPr>
          <w:rFonts w:hint="eastAsia" w:ascii="仿宋_GB2312" w:hAnsi="仿宋_GB2312" w:eastAsia="仿宋_GB2312" w:cs="仿宋_GB2312"/>
          <w:b w:val="0"/>
          <w:bCs w:val="0"/>
          <w:color w:val="auto"/>
          <w:kern w:val="2"/>
          <w:sz w:val="32"/>
          <w:szCs w:val="32"/>
          <w:highlight w:val="none"/>
          <w:lang w:val="en-US" w:eastAsia="zh-CN" w:bidi="ar-SA"/>
        </w:rPr>
        <w:t>4、关于拨付五马场乡经费的通知支付乡政府取暖费及暖气抢修工程，保障乡镇的基本生活和健康安全。</w:t>
      </w:r>
    </w:p>
    <w:p w14:paraId="066964A3">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项目实施情况：</w:t>
      </w:r>
      <w:r>
        <w:rPr>
          <w:rFonts w:hint="eastAsia" w:ascii="Times New Roman" w:hAnsi="Times New Roman" w:eastAsia="仿宋_GB2312" w:cs="Times New Roman"/>
          <w:color w:val="auto"/>
          <w:sz w:val="32"/>
          <w:szCs w:val="32"/>
          <w:highlight w:val="none"/>
          <w:lang w:val="en-US" w:eastAsia="zh-CN"/>
        </w:rPr>
        <w:t>截止2024年12月31日</w:t>
      </w:r>
      <w:r>
        <w:rPr>
          <w:rFonts w:hint="default" w:ascii="Times New Roman" w:hAnsi="Times New Roman" w:eastAsia="仿宋_GB2312" w:cs="Times New Roman"/>
          <w:color w:val="auto"/>
          <w:sz w:val="32"/>
          <w:szCs w:val="32"/>
          <w:highlight w:val="none"/>
        </w:rPr>
        <w:t>我单位开展元宵节社火大赛参赛人数103人，</w:t>
      </w:r>
      <w:r>
        <w:rPr>
          <w:rFonts w:hint="eastAsia" w:eastAsia="仿宋_GB2312" w:cs="Times New Roman"/>
          <w:color w:val="auto"/>
          <w:sz w:val="32"/>
          <w:szCs w:val="32"/>
          <w:highlight w:val="none"/>
          <w:lang w:val="en-US" w:eastAsia="zh-CN"/>
        </w:rPr>
        <w:t>花费</w:t>
      </w:r>
      <w:r>
        <w:rPr>
          <w:rFonts w:hint="default" w:ascii="Times New Roman" w:hAnsi="Times New Roman" w:eastAsia="仿宋_GB2312" w:cs="Times New Roman"/>
          <w:color w:val="auto"/>
          <w:sz w:val="32"/>
          <w:szCs w:val="32"/>
          <w:highlight w:val="none"/>
        </w:rPr>
        <w:t>文化经费1万元，全力营造浓厚的中华传统节日氛围，将会为人民群众送去欢乐和文明，参赛及时率达100%，观看群众满意度达95%。有效保障人民群众精神文化活动。2、通过我县“三调”和14个乡镇“三影重叠”数据成果，由三方出具“三影重叠”报告，上图入库涉及村庄数7个，报告费3.49万元。3、开展办案业务工作所需要办案经费和业务装备经费申请设备购置费2万元，购置设备5台，设备验收合格率达100%。4、乡政府取暖费及暖气抢修工程经费67万元，暖气设备抢修及时率100%，有效的保障乡镇的基本生活和健康安全。</w:t>
      </w:r>
    </w:p>
    <w:p w14:paraId="43D3783D">
      <w:pPr>
        <w:spacing w:line="560" w:lineRule="exact"/>
        <w:ind w:firstLine="643" w:firstLineChars="200"/>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3</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rPr>
        <w:t>资金投入和使用情况</w:t>
      </w:r>
    </w:p>
    <w:p w14:paraId="611331CB">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（1）资金投入情况</w:t>
      </w:r>
    </w:p>
    <w:p w14:paraId="083752CC">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73.49</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73.49</w:t>
      </w:r>
      <w:r>
        <w:rPr>
          <w:rFonts w:hint="default" w:ascii="Times New Roman" w:hAnsi="Times New Roman" w:eastAsia="仿宋_GB2312" w:cs="Times New Roman"/>
          <w:color w:val="auto"/>
          <w:sz w:val="32"/>
          <w:szCs w:val="32"/>
          <w:highlight w:val="none"/>
          <w:lang w:val="en-US" w:eastAsia="zh-CN"/>
        </w:rPr>
        <w:t>万元</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，该项目资金已全部落实到位，资金来源为</w:t>
      </w:r>
      <w:r>
        <w:rPr>
          <w:rFonts w:hint="eastAsia" w:ascii="Times New Roman" w:hAnsi="Times New Roman"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en-US" w:eastAsia="zh-CN"/>
        </w:rPr>
        <w:t>。</w:t>
      </w:r>
    </w:p>
    <w:p w14:paraId="7D095269">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（2）资金使用情况</w:t>
      </w:r>
    </w:p>
    <w:p w14:paraId="24A418DB">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73.49</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73.49</w:t>
      </w:r>
      <w:r>
        <w:rPr>
          <w:rFonts w:hint="default"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全年执行数</w:t>
      </w:r>
      <w:r>
        <w:rPr>
          <w:rFonts w:hint="eastAsia" w:ascii="Times New Roman" w:hAnsi="Times New Roman" w:eastAsia="仿宋_GB2312" w:cs="Times New Roman"/>
          <w:color w:val="auto"/>
          <w:sz w:val="32"/>
          <w:szCs w:val="32"/>
          <w:highlight w:val="none"/>
          <w:lang w:val="en-US" w:eastAsia="zh-CN"/>
        </w:rPr>
        <w:t>73.49</w:t>
      </w:r>
      <w:r>
        <w:rPr>
          <w:rFonts w:hint="default" w:ascii="Times New Roman" w:hAnsi="Times New Roman" w:eastAsia="仿宋_GB2312" w:cs="Times New Roman"/>
          <w:color w:val="auto"/>
          <w:sz w:val="32"/>
          <w:szCs w:val="32"/>
          <w:highlight w:val="none"/>
          <w:lang w:val="en-US" w:eastAsia="zh-CN"/>
        </w:rPr>
        <w:t>万元，预算执行率为</w:t>
      </w:r>
      <w:r>
        <w:rPr>
          <w:rFonts w:hint="eastAsia"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%，主要用于：</w:t>
      </w:r>
      <w:r>
        <w:rPr>
          <w:rFonts w:hint="eastAsia" w:ascii="Times New Roman" w:hAnsi="Times New Roman" w:eastAsia="仿宋_GB2312" w:cs="Times New Roman"/>
          <w:color w:val="auto"/>
          <w:sz w:val="32"/>
          <w:szCs w:val="32"/>
          <w:highlight w:val="none"/>
          <w:lang w:val="en-US" w:eastAsia="zh-CN"/>
        </w:rPr>
        <w:t>参加</w:t>
      </w:r>
      <w:r>
        <w:rPr>
          <w:rFonts w:hint="default" w:ascii="Times New Roman" w:hAnsi="Times New Roman" w:eastAsia="仿宋_GB2312" w:cs="Times New Roman"/>
          <w:color w:val="auto"/>
          <w:sz w:val="32"/>
          <w:szCs w:val="32"/>
          <w:highlight w:val="none"/>
          <w:lang w:val="en-US" w:eastAsia="zh-CN"/>
        </w:rPr>
        <w:t>宵节社火</w:t>
      </w:r>
      <w:r>
        <w:rPr>
          <w:rFonts w:hint="eastAsia" w:ascii="Times New Roman" w:hAnsi="Times New Roman" w:eastAsia="仿宋_GB2312" w:cs="Times New Roman"/>
          <w:color w:val="auto"/>
          <w:sz w:val="32"/>
          <w:szCs w:val="32"/>
          <w:highlight w:val="none"/>
          <w:lang w:val="en-US" w:eastAsia="zh-CN"/>
        </w:rPr>
        <w:t>大赛、实施地下水位下降整治实现“三影重叠”实测工作、纪检开展办案业务工作所需要办案经费和业务装备经费、支付乡政府取暖费及暖气抢修工程</w:t>
      </w:r>
      <w:r>
        <w:rPr>
          <w:rFonts w:hint="default" w:ascii="Times New Roman" w:hAnsi="Times New Roman" w:eastAsia="仿宋_GB2312" w:cs="Times New Roman"/>
          <w:color w:val="auto"/>
          <w:sz w:val="32"/>
          <w:szCs w:val="32"/>
          <w:highlight w:val="none"/>
          <w:lang w:val="en-US" w:eastAsia="zh-CN"/>
        </w:rPr>
        <w:t>。</w:t>
      </w:r>
    </w:p>
    <w:p w14:paraId="4EEE12E6">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（二）项目绩效目标</w:t>
      </w:r>
    </w:p>
    <w:p w14:paraId="2CBA3AB5">
      <w:pPr>
        <w:keepNext w:val="0"/>
        <w:keepLines w:val="0"/>
        <w:pageBreakBefore w:val="0"/>
        <w:widowControl w:val="0"/>
        <w:kinsoku/>
        <w:wordWrap/>
        <w:overflowPunct/>
        <w:topLinePunct w:val="0"/>
        <w:autoSpaceDE/>
        <w:autoSpaceDN/>
        <w:bidi w:val="0"/>
        <w:adjustRightInd w:val="0"/>
        <w:snapToGrid w:val="0"/>
        <w:spacing w:line="560" w:lineRule="exact"/>
        <w:ind w:left="638" w:leftChars="304" w:firstLine="0" w:firstLineChars="0"/>
        <w:jc w:val="both"/>
        <w:textAlignment w:val="auto"/>
        <w:rPr>
          <w:rFonts w:hint="default" w:ascii="Times New Roman" w:hAnsi="Times New Roman" w:eastAsia="仿宋_GB2312" w:cs="Times New Roman"/>
          <w:color w:val="auto"/>
          <w:sz w:val="30"/>
          <w:szCs w:val="30"/>
          <w:highlight w:val="none"/>
          <w:lang w:val="en-US" w:eastAsia="zh-CN"/>
        </w:rPr>
      </w:pPr>
      <w:r>
        <w:rPr>
          <w:rFonts w:hint="default" w:ascii="Times New Roman" w:hAnsi="Times New Roman" w:eastAsia="仿宋_GB2312" w:cs="Times New Roman"/>
          <w:color w:val="auto"/>
          <w:sz w:val="32"/>
          <w:szCs w:val="32"/>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总体目标</w:t>
      </w:r>
    </w:p>
    <w:p w14:paraId="341FB868">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为进一步传承和弘扬中华优秀传统文化，丰富人民群众精神文化生活，我单位组织103人参加2024年2月24日开展元宵节社火大赛1次，全力营造浓厚的中华传统节日氛围，将会为人民群众送去欢乐和文明，保障人民群众精神文化活动。2、通过我县“三调”和14个乡镇“三影重叠”数据成果，将会对扣除农经确权地和退耕地还林地以外的国有农用地进行全面摸排，明确所在村组、地块编号、实际面积、发包信息、使用情况等，将会形成详细的国有农用地管理档案，将会对农村资产的管理更加规范。3、申请开展办案业务工作所需要办案经费和业务装备经费，将会对纪委开展工作有较大的提升。4、关于拨付五马场乡经费的通知支付乡政府取暖费及暖气抢修工程，为保障乡镇的基本生活和健康安全。</w:t>
      </w:r>
    </w:p>
    <w:p w14:paraId="679D9571">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阶段性目标</w:t>
      </w:r>
    </w:p>
    <w:p w14:paraId="64365413">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eastAsia="仿宋_GB2312" w:cs="Times New Roman"/>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val="en-US" w:eastAsia="zh-CN"/>
        </w:rPr>
        <w:t>我单位组织103人参加2024年2月24日开展元宵节社火大赛1次，全力营造浓厚的中华传统节日氛围，将会为人民群众送去欢乐和文明，保障人民群众精神文化活动。2、通过我县“三调”和14个乡镇“三影重叠”数据成果，将会对扣除农经确权地和退耕地还林地以外的国有农用地进行全面摸排，明确所在村组、地块编号、实际面积、发包信息、使用情况等，将会形成详细的国有农用地管理档案，将会对农村资产的管理更加规范。3、申请开展办案业务工作所需要办案经费和业务装备经费，将会对纪委开展工作有较大的提升。4、关于拨付五马场乡经费的通知支付乡政府取暖费及暖气抢修工程，为保障乡镇的基本生活和健康安全。</w:t>
      </w:r>
    </w:p>
    <w:p w14:paraId="35BDD95B">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00" w:firstLineChars="200"/>
        <w:jc w:val="both"/>
        <w:textAlignment w:val="auto"/>
        <w:rPr>
          <w:rFonts w:hint="default" w:ascii="Times New Roman" w:hAnsi="Times New Roman" w:eastAsia="仿宋_GB2312" w:cs="Times New Roman"/>
          <w:color w:val="auto"/>
          <w:sz w:val="30"/>
          <w:szCs w:val="30"/>
          <w:highlight w:val="none"/>
          <w:lang w:val="en-US" w:eastAsia="zh-CN"/>
        </w:rPr>
      </w:pPr>
    </w:p>
    <w:p w14:paraId="36BA0E4B">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二、绩效评价工作开展情况</w:t>
      </w:r>
    </w:p>
    <w:p w14:paraId="311D4E94">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（一）绩效评价目的、对象和范围</w:t>
      </w:r>
    </w:p>
    <w:p w14:paraId="54059D7C">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val="en-US" w:eastAsia="zh-CN"/>
        </w:rPr>
      </w:pPr>
      <w:r>
        <w:rPr>
          <w:rFonts w:hint="default" w:ascii="Times New Roman" w:hAnsi="Times New Roman" w:eastAsia="仿宋_GB2312" w:cs="Times New Roman"/>
          <w:b w:val="0"/>
          <w:bCs w:val="0"/>
          <w:color w:val="auto"/>
          <w:highlight w:val="none"/>
          <w:lang w:val="en-US" w:eastAsia="zh-CN"/>
        </w:rPr>
        <w:t>1.绩效评价完整性</w:t>
      </w:r>
    </w:p>
    <w:p w14:paraId="485A1973">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37CED06E">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14:paraId="67AAEF3E">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7CED1BFC">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4F06E9FA">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6C5E2A0B">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绩效评价的目的</w:t>
      </w:r>
    </w:p>
    <w:p w14:paraId="4182A4D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（1）评估项目实施效果</w:t>
      </w:r>
    </w:p>
    <w:p w14:paraId="13F6712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通过对项目预算执行情况及各项绩效目标达成程度的系统性分析，全面、客观地评估项目在预定周期内的实施效果，包括社会效益维度指标，为项目后续的改进与优化提供科学依据。</w:t>
      </w:r>
    </w:p>
    <w:p w14:paraId="5C558B3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69D497A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4ECC9B3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1603A68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1DACBF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4BCF62C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09F4435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0FEC2CF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4F4614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481B4F7C">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val="en-US" w:eastAsia="zh-CN"/>
        </w:rPr>
        <w:t>3</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绩效评价的对象</w:t>
      </w:r>
    </w:p>
    <w:p w14:paraId="3850CB6E">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both"/>
        <w:textAlignment w:val="auto"/>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color w:val="auto"/>
          <w:sz w:val="32"/>
          <w:szCs w:val="32"/>
          <w:highlight w:val="none"/>
        </w:rPr>
        <w:t>本项目预算绩效评价报告的评价对象是</w:t>
      </w:r>
      <w:r>
        <w:rPr>
          <w:rFonts w:hint="eastAsia" w:ascii="Times New Roman" w:hAnsi="Times New Roman" w:eastAsia="仿宋_GB2312" w:cs="Times New Roman"/>
          <w:color w:val="auto"/>
          <w:sz w:val="32"/>
          <w:szCs w:val="32"/>
          <w:highlight w:val="none"/>
          <w:lang w:val="en-US" w:eastAsia="zh-CN"/>
        </w:rPr>
        <w:t>关于五马场乡文化活动经费，中央政法纪检检查经费，“三影重叠”技术服务费，拨付五马场乡经费项目</w:t>
      </w:r>
      <w:r>
        <w:rPr>
          <w:rFonts w:hint="default" w:ascii="Times New Roman" w:hAnsi="Times New Roman" w:eastAsia="仿宋_GB2312" w:cs="Times New Roman"/>
          <w:color w:val="auto"/>
          <w:sz w:val="32"/>
          <w:szCs w:val="32"/>
          <w:highlight w:val="none"/>
        </w:rPr>
        <w:t>及其预算执行情况。该项目由</w:t>
      </w:r>
      <w:r>
        <w:rPr>
          <w:rFonts w:hint="eastAsia" w:ascii="Times New Roman" w:hAnsi="Times New Roman" w:eastAsia="仿宋_GB2312" w:cs="Times New Roman"/>
          <w:color w:val="auto"/>
          <w:sz w:val="32"/>
          <w:szCs w:val="32"/>
          <w:highlight w:val="none"/>
          <w:lang w:eastAsia="zh-CN"/>
        </w:rPr>
        <w:t>五马场乡人民政府</w:t>
      </w:r>
      <w:r>
        <w:rPr>
          <w:rFonts w:hint="default" w:ascii="Times New Roman" w:hAnsi="Times New Roman" w:eastAsia="仿宋_GB2312" w:cs="Times New Roman"/>
          <w:color w:val="auto"/>
          <w:sz w:val="32"/>
          <w:szCs w:val="32"/>
          <w:highlight w:val="none"/>
        </w:rPr>
        <w:t>负责实施，旨在</w:t>
      </w:r>
      <w:r>
        <w:rPr>
          <w:rFonts w:hint="eastAsia" w:ascii="仿宋_GB2312" w:hAnsi="仿宋_GB2312" w:eastAsia="仿宋_GB2312" w:cs="仿宋_GB2312"/>
          <w:color w:val="auto"/>
          <w:sz w:val="32"/>
          <w:szCs w:val="32"/>
          <w:highlight w:val="none"/>
          <w:lang w:val="en-US" w:eastAsia="zh-CN"/>
        </w:rPr>
        <w:t>1、为进一步传承和弘扬中华优秀传统文化，丰富人民群众精神文化生活，我单位组织103人参加2024年2月24日开展元宵节社火大赛1次，全力营造浓厚的中华传统节日氛围，将会为人民群众送去欢乐和文明，保障人民群众精神文化活动。2、通过我县“三调”和14个乡镇“三影重叠”数据成果，将会对扣除农经确权地和退耕地还林地以外的国有农用地进行全面摸排，明确所在村组、地块编号、实际面积、发包信息、使用情况等，将会形成详细的国有农用地管理档案，将会对农村资产的管理更加规范。3、申请开展办案业务工作所需要办案经费和业务装备经费，将会对纪委开展工作有较大的提升。4、关于拨付五马场乡经费的通知支付乡政府取暖费及暖气抢修工程，为保障乡镇的基本生活和健康安全。</w:t>
      </w:r>
      <w:r>
        <w:rPr>
          <w:rFonts w:hint="default" w:ascii="Times New Roman" w:hAnsi="Times New Roman" w:eastAsia="仿宋_GB2312" w:cs="Times New Roman"/>
          <w:color w:val="auto"/>
          <w:sz w:val="32"/>
          <w:szCs w:val="32"/>
          <w:highlight w:val="none"/>
        </w:rPr>
        <w:t>项目预算涵盖从</w:t>
      </w:r>
      <w:r>
        <w:rPr>
          <w:rFonts w:hint="eastAsia" w:ascii="Times New Roman" w:hAnsi="Times New Roman" w:eastAsia="仿宋_GB2312" w:cs="Times New Roman"/>
          <w:color w:val="auto"/>
          <w:sz w:val="32"/>
          <w:szCs w:val="32"/>
          <w:highlight w:val="none"/>
        </w:rPr>
        <w:t>2024-01-01</w:t>
      </w:r>
      <w:r>
        <w:rPr>
          <w:rFonts w:hint="default" w:ascii="Times New Roman" w:hAnsi="Times New Roman" w:eastAsia="仿宋_GB2312" w:cs="Times New Roman"/>
          <w:color w:val="auto"/>
          <w:sz w:val="32"/>
          <w:szCs w:val="32"/>
          <w:highlight w:val="none"/>
        </w:rPr>
        <w:t>至</w:t>
      </w:r>
      <w:r>
        <w:rPr>
          <w:rFonts w:hint="eastAsia" w:ascii="Times New Roman" w:hAnsi="Times New Roman" w:eastAsia="仿宋_GB2312" w:cs="Times New Roman"/>
          <w:color w:val="auto"/>
          <w:sz w:val="32"/>
          <w:szCs w:val="32"/>
          <w:highlight w:val="none"/>
        </w:rPr>
        <w:t>2024-12-31</w:t>
      </w:r>
      <w:r>
        <w:rPr>
          <w:rFonts w:hint="default" w:ascii="Times New Roman" w:hAnsi="Times New Roman" w:eastAsia="仿宋_GB2312" w:cs="Times New Roman"/>
          <w:color w:val="auto"/>
          <w:sz w:val="32"/>
          <w:szCs w:val="32"/>
          <w:highlight w:val="none"/>
        </w:rPr>
        <w:t>的全部资金投入与支出，涉及资金总额为</w:t>
      </w:r>
      <w:r>
        <w:rPr>
          <w:rFonts w:hint="eastAsia" w:ascii="Times New Roman" w:hAnsi="Times New Roman" w:eastAsia="仿宋_GB2312" w:cs="Times New Roman"/>
          <w:color w:val="auto"/>
          <w:sz w:val="32"/>
          <w:szCs w:val="32"/>
          <w:highlight w:val="none"/>
          <w:lang w:val="en-US" w:eastAsia="zh-CN"/>
        </w:rPr>
        <w:t>73.49</w:t>
      </w:r>
      <w:r>
        <w:rPr>
          <w:rFonts w:hint="default" w:ascii="Times New Roman" w:hAnsi="Times New Roman" w:eastAsia="仿宋_GB2312" w:cs="Times New Roman"/>
          <w:color w:val="auto"/>
          <w:sz w:val="32"/>
          <w:szCs w:val="32"/>
          <w:highlight w:val="none"/>
          <w:lang w:val="en-US" w:eastAsia="zh-CN"/>
        </w:rPr>
        <w:t>万</w:t>
      </w:r>
      <w:r>
        <w:rPr>
          <w:rFonts w:hint="default" w:ascii="Times New Roman" w:hAnsi="Times New Roman" w:eastAsia="仿宋_GB2312" w:cs="Times New Roman"/>
          <w:color w:val="auto"/>
          <w:sz w:val="32"/>
          <w:szCs w:val="32"/>
          <w:highlight w:val="none"/>
        </w:rPr>
        <w:t>元。</w:t>
      </w:r>
    </w:p>
    <w:p w14:paraId="34D3EA3A">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val="en-US" w:eastAsia="zh-CN"/>
        </w:rPr>
        <w:t>4.</w:t>
      </w:r>
      <w:r>
        <w:rPr>
          <w:rFonts w:hint="default" w:ascii="Times New Roman" w:hAnsi="Times New Roman" w:eastAsia="仿宋_GB2312" w:cs="Times New Roman"/>
          <w:b w:val="0"/>
          <w:bCs w:val="0"/>
          <w:color w:val="auto"/>
          <w:highlight w:val="none"/>
        </w:rPr>
        <w:t>绩效评价的范围</w:t>
      </w:r>
    </w:p>
    <w:p w14:paraId="6186449C">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本项目预算绩效评价报告的评价范围广泛而全面，涵盖了从项目立项至评价时点期间的所有关键预算活动和财务流程。具体而言，评价范围包括但不限于以下几个方面：</w:t>
      </w:r>
    </w:p>
    <w:p w14:paraId="77C50ED8">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项目预算编制与执行：全面审视项目预算的编制依据、合理性、科学性以及实际执行情况，包括预算调整的原因和效果。</w:t>
      </w:r>
    </w:p>
    <w:p w14:paraId="12A6F8C6">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资金管理：深入分析项目资金的分配、使用和监管情况，确保资金使用的合规性、高效性和透明度。</w:t>
      </w:r>
    </w:p>
    <w:p w14:paraId="4D5BF875">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项目实施进度与产出：评估项目是否按照既定计划顺利推进，各项任务是否按时完成，以及项目产出的数量、质量和时效性是否符合预期。</w:t>
      </w:r>
    </w:p>
    <w:p w14:paraId="18F281FC">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社会影响：考察项目对社会方面的影响。</w:t>
      </w:r>
    </w:p>
    <w:p w14:paraId="2E726412">
      <w:pPr>
        <w:spacing w:line="560" w:lineRule="exact"/>
        <w:ind w:firstLine="643" w:firstLineChars="200"/>
        <w:rPr>
          <w:rFonts w:hint="default" w:ascii="Times New Roman" w:hAnsi="Times New Roman" w:cs="Times New Roman"/>
          <w:color w:val="auto"/>
          <w:highlight w:val="none"/>
        </w:rPr>
      </w:pPr>
      <w:r>
        <w:rPr>
          <w:rFonts w:hint="default" w:ascii="Times New Roman" w:hAnsi="Times New Roman" w:eastAsia="楷体_GB2312" w:cs="Times New Roman"/>
          <w:b/>
          <w:bCs/>
          <w:color w:val="auto"/>
          <w:sz w:val="32"/>
          <w:szCs w:val="32"/>
          <w:highlight w:val="none"/>
        </w:rPr>
        <w:t>（二）绩效评价原则、评价指标体系（详情见表1）、评价方法、评价标准。</w:t>
      </w:r>
    </w:p>
    <w:p w14:paraId="47BDC047">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绩效评价原则</w:t>
      </w:r>
    </w:p>
    <w:p w14:paraId="5135E90D">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本次项目绩效评价遵循以下基本原则：</w:t>
      </w:r>
    </w:p>
    <w:p w14:paraId="4CD532C1">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（1）科学公正。绩效评价应当运用科学合理的方法，按照规范的程序，对项目绩效进行客观、公正的反映。</w:t>
      </w:r>
    </w:p>
    <w:p w14:paraId="1C99A66B">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（2）统筹兼顾。单位自评、部门评价和财政评价应职责明确，各有侧重，相互衔接。单位自评应由项目单位自主实施，即“谁支出、谁自评”。部门评价和财政评价应在单位自评的基础上开展。</w:t>
      </w:r>
    </w:p>
    <w:p w14:paraId="28435B29">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（3）激励约束。绩效评价结果应与预算安排、政策调整、改进管理实质性挂钩，体现奖优罚劣和激励相容导向，有效要安排、低效要压减、无效要问责。</w:t>
      </w:r>
    </w:p>
    <w:p w14:paraId="48808B49">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（4）公开透明。绩效评价结果应依法依规公开，并自觉接受社会监督。</w:t>
      </w:r>
    </w:p>
    <w:p w14:paraId="7B79A414">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2</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评价指标体系</w:t>
      </w:r>
    </w:p>
    <w:p w14:paraId="1DB18E48">
      <w:pPr>
        <w:spacing w:line="560" w:lineRule="exact"/>
        <w:ind w:firstLine="708" w:firstLineChars="200"/>
        <w:rPr>
          <w:rFonts w:hint="default" w:ascii="Times New Roman" w:hAnsi="Times New Roman"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09BE3888">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（1）确定评价指标</w:t>
      </w:r>
    </w:p>
    <w:p w14:paraId="2D316369">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56DCD770">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（2）确定权重</w:t>
      </w:r>
    </w:p>
    <w:p w14:paraId="54717112">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18A519DF">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（3）确定指标标准值</w:t>
      </w:r>
    </w:p>
    <w:p w14:paraId="5A4AA7D4">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14:paraId="5255F432">
      <w:pPr>
        <w:pStyle w:val="10"/>
        <w:spacing w:before="0" w:after="0" w:line="560" w:lineRule="exact"/>
        <w:ind w:firstLine="708" w:firstLineChars="200"/>
        <w:jc w:val="both"/>
        <w:rPr>
          <w:rFonts w:hint="default" w:ascii="Times New Roman" w:hAnsi="Times New Roman" w:eastAsia="仿宋_GB2312" w:cs="Times New Roman"/>
          <w:b w:val="0"/>
          <w:bCs w:val="0"/>
          <w:color w:val="auto"/>
          <w:spacing w:val="17"/>
          <w:kern w:val="2"/>
          <w:highlight w:val="none"/>
        </w:rPr>
      </w:pPr>
      <w:r>
        <w:rPr>
          <w:rFonts w:hint="default" w:ascii="Times New Roman" w:hAnsi="Times New Roman" w:eastAsia="仿宋_GB2312" w:cs="Times New Roman"/>
          <w:b w:val="0"/>
          <w:bCs w:val="0"/>
          <w:color w:val="auto"/>
          <w:spacing w:val="17"/>
          <w:kern w:val="2"/>
          <w:highlight w:val="none"/>
        </w:rPr>
        <w:t>绩效评价总分值100分，根据综合评分结果，90（含）-100分为优、80（含）-90分为良、60（含）-80分为中、60分以下为差。</w:t>
      </w:r>
    </w:p>
    <w:p w14:paraId="63EAB8D5">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auto"/>
          <w:spacing w:val="17"/>
          <w:highlight w:val="none"/>
        </w:rPr>
      </w:pPr>
      <w:r>
        <w:rPr>
          <w:rFonts w:hint="default" w:ascii="Times New Roman" w:hAnsi="Times New Roman" w:eastAsia="仿宋_GB2312" w:cs="Times New Roman"/>
          <w:b w:val="0"/>
          <w:bCs w:val="0"/>
          <w:color w:val="auto"/>
          <w:spacing w:val="17"/>
          <w:highlight w:val="none"/>
        </w:rPr>
        <w:t>具体评价指标体系详情见附件1</w:t>
      </w:r>
    </w:p>
    <w:p w14:paraId="7FD59252">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3</w:t>
      </w:r>
      <w:r>
        <w:rPr>
          <w:rFonts w:hint="default" w:ascii="Times New Roman" w:hAnsi="Times New Roman" w:eastAsia="仿宋_GB2312" w:cs="Times New Roman"/>
          <w:b w:val="0"/>
          <w:bCs w:val="0"/>
          <w:color w:val="auto"/>
          <w:highlight w:val="none"/>
          <w:lang w:val="en-US" w:eastAsia="zh-CN"/>
        </w:rPr>
        <w:t>.</w:t>
      </w:r>
      <w:r>
        <w:rPr>
          <w:rFonts w:hint="default" w:ascii="Times New Roman" w:hAnsi="Times New Roman" w:eastAsia="仿宋_GB2312" w:cs="Times New Roman"/>
          <w:b w:val="0"/>
          <w:bCs w:val="0"/>
          <w:color w:val="auto"/>
          <w:highlight w:val="none"/>
        </w:rPr>
        <w:t>绩效评价方法</w:t>
      </w:r>
    </w:p>
    <w:p w14:paraId="5261C872">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绩效评价从项目决策、项目过程、项目产出、项目效益四个维度进行评价。评价对象为项目目标实施情况，评价核心为资金的支出完成情况和项目的产出效益。</w:t>
      </w:r>
    </w:p>
    <w:p w14:paraId="4696FD26">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38DA1609">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 xml:space="preserve">（一）成本效益分析法。是指将投入与产出、效益进行关联性分析的方法。 </w:t>
      </w:r>
    </w:p>
    <w:p w14:paraId="7999C929">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ins w:id="0" w:author="Galagalala" w:date="2025-05-08T18:36:56Z">
        <w:r>
          <w:rPr>
            <w:rFonts w:hint="eastAsia" w:eastAsia="仿宋_GB2312" w:cs="Times New Roman"/>
            <w:color w:val="auto"/>
            <w:spacing w:val="17"/>
            <w:sz w:val="32"/>
            <w:szCs w:val="32"/>
            <w:highlight w:val="none"/>
            <w:lang w:val="en-US" w:eastAsia="zh-CN"/>
          </w:rPr>
          <w:t>二</w:t>
        </w:r>
      </w:ins>
      <w:r>
        <w:rPr>
          <w:rFonts w:hint="default" w:ascii="Times New Roman" w:hAnsi="Times New Roman" w:eastAsia="仿宋_GB2312" w:cs="Times New Roman"/>
          <w:color w:val="auto"/>
          <w:spacing w:val="17"/>
          <w:sz w:val="32"/>
          <w:szCs w:val="32"/>
          <w:highlight w:val="none"/>
        </w:rPr>
        <w:t>）因素分析法。是指综合分析影响绩效目标实现、实施效果的内外部因素的方法。</w:t>
      </w:r>
    </w:p>
    <w:p w14:paraId="472C2447">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ins w:id="1" w:author="Galagalala" w:date="2025-05-08T18:36:59Z">
        <w:r>
          <w:rPr>
            <w:rFonts w:hint="eastAsia" w:eastAsia="仿宋_GB2312" w:cs="Times New Roman"/>
            <w:color w:val="auto"/>
            <w:spacing w:val="17"/>
            <w:sz w:val="32"/>
            <w:szCs w:val="32"/>
            <w:highlight w:val="none"/>
            <w:lang w:val="en-US" w:eastAsia="zh-CN"/>
          </w:rPr>
          <w:t>三</w:t>
        </w:r>
      </w:ins>
      <w:r>
        <w:rPr>
          <w:rFonts w:hint="default" w:ascii="Times New Roman" w:hAnsi="Times New Roman" w:eastAsia="仿宋_GB2312" w:cs="Times New Roman"/>
          <w:color w:val="auto"/>
          <w:spacing w:val="17"/>
          <w:sz w:val="32"/>
          <w:szCs w:val="32"/>
          <w:highlight w:val="none"/>
        </w:rPr>
        <w:t>）公众评判法。是指通过专家评估、公众问卷及抽样调查等方式进行评判的方法。</w:t>
      </w:r>
    </w:p>
    <w:p w14:paraId="5B273CA0">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4</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评价标准</w:t>
      </w:r>
    </w:p>
    <w:p w14:paraId="1310CB02">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color w:val="auto"/>
          <w:highlight w:val="none"/>
          <w:lang w:val="en-US" w:eastAsia="zh-CN"/>
        </w:rPr>
        <w:t>计划</w:t>
      </w:r>
      <w:r>
        <w:rPr>
          <w:rFonts w:hint="default" w:ascii="Times New Roman" w:hAnsi="Times New Roman" w:eastAsia="仿宋_GB2312" w:cs="Times New Roman"/>
          <w:b w:val="0"/>
          <w:bCs w:val="0"/>
          <w:color w:val="auto"/>
          <w:highlight w:val="none"/>
        </w:rPr>
        <w:t>标准。</w:t>
      </w:r>
    </w:p>
    <w:p w14:paraId="558A72DC">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lang w:val="en-US" w:eastAsia="zh-CN"/>
        </w:rPr>
        <w:t>1</w:t>
      </w:r>
      <w:r>
        <w:rPr>
          <w:rFonts w:hint="default"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rPr>
        <w:t>计划标准。指以预先制定的目标、计划、预算、定额等作为评价标准。</w:t>
      </w:r>
    </w:p>
    <w:p w14:paraId="4A874413">
      <w:pPr>
        <w:pStyle w:val="10"/>
        <w:numPr>
          <w:ilvl w:val="0"/>
          <w:numId w:val="2"/>
        </w:numPr>
        <w:spacing w:before="0" w:after="0" w:line="560" w:lineRule="exact"/>
        <w:ind w:firstLine="711" w:firstLineChars="200"/>
        <w:jc w:val="both"/>
        <w:rPr>
          <w:rFonts w:hint="default" w:ascii="Times New Roman" w:hAnsi="Times New Roman" w:eastAsia="楷体" w:cs="Times New Roman"/>
          <w:color w:val="auto"/>
          <w:spacing w:val="17"/>
          <w:highlight w:val="none"/>
        </w:rPr>
      </w:pPr>
      <w:r>
        <w:rPr>
          <w:rFonts w:hint="default" w:ascii="Times New Roman" w:hAnsi="Times New Roman" w:eastAsia="楷体" w:cs="Times New Roman"/>
          <w:color w:val="auto"/>
          <w:spacing w:val="17"/>
          <w:highlight w:val="none"/>
        </w:rPr>
        <w:t>绩效评价工作过程</w:t>
      </w:r>
    </w:p>
    <w:p w14:paraId="437963C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前期准备与规划</w:t>
      </w:r>
    </w:p>
    <w:p w14:paraId="3F4F9A2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47A523C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eastAsia="zh-CN"/>
        </w:rPr>
        <w:t>）指标体系构建</w:t>
      </w:r>
    </w:p>
    <w:p w14:paraId="7C47E5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auto"/>
          <w:spacing w:val="17"/>
          <w:sz w:val="32"/>
          <w:szCs w:val="32"/>
          <w:highlight w:val="none"/>
        </w:rPr>
        <w:t>项目决策、项目过程、项目产出、项目效益四个维度</w:t>
      </w:r>
      <w:r>
        <w:rPr>
          <w:rFonts w:hint="default" w:ascii="Times New Roman" w:hAnsi="Times New Roman" w:eastAsia="仿宋_GB2312" w:cs="Times New Roman"/>
          <w:color w:val="auto"/>
          <w:sz w:val="32"/>
          <w:szCs w:val="32"/>
          <w:highlight w:val="none"/>
          <w:lang w:eastAsia="zh-CN"/>
        </w:rPr>
        <w:t>，选取了具有代表性和可衡量性的关键指标，并为每个指标设定了明确的评价标准与权重，确保评价结果能够全面、准确地反映项目的绩效状况。</w:t>
      </w:r>
    </w:p>
    <w:p w14:paraId="7B9449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eastAsia="zh-CN"/>
        </w:rPr>
        <w:t>）数据收集与整理</w:t>
      </w:r>
    </w:p>
    <w:p w14:paraId="110CD14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62C592F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eastAsia="zh-CN"/>
        </w:rPr>
        <w:t>）数据分析与评估</w:t>
      </w:r>
    </w:p>
    <w:p w14:paraId="5599050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07C200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eastAsia="zh-CN"/>
        </w:rPr>
        <w:t>）报告撰写与反馈</w:t>
      </w:r>
    </w:p>
    <w:p w14:paraId="6C3F130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61B2AE8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eastAsia="zh-CN"/>
        </w:rPr>
        <w:t>）后续跟踪与改进</w:t>
      </w:r>
    </w:p>
    <w:p w14:paraId="716E71F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1D0F8691">
      <w:pPr>
        <w:numPr>
          <w:ilvl w:val="0"/>
          <w:numId w:val="3"/>
        </w:num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综合评价情况及评价结论（附相关评分表）</w:t>
      </w:r>
    </w:p>
    <w:p w14:paraId="5D4CEA85">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highlight w:val="none"/>
          <w:lang w:val="en-US" w:eastAsia="zh-CN"/>
        </w:rPr>
      </w:pP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一</w:t>
      </w: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评价情况</w:t>
      </w:r>
    </w:p>
    <w:p w14:paraId="636A4C0A">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w:t>
      </w:r>
      <w:r>
        <w:rPr>
          <w:rFonts w:hint="eastAsia" w:ascii="Times New Roman" w:hAnsi="Times New Roman" w:eastAsia="仿宋_GB2312" w:cs="Times New Roman"/>
          <w:color w:val="auto"/>
          <w:sz w:val="32"/>
          <w:szCs w:val="32"/>
          <w:highlight w:val="none"/>
          <w:lang w:val="en-US" w:eastAsia="zh-CN"/>
        </w:rPr>
        <w:t>关于五马场乡文化活动经费，中央政法纪检检查经费，“三影重叠”技术服务费，拨付五马场乡经费项目</w:t>
      </w:r>
      <w:r>
        <w:rPr>
          <w:rFonts w:hint="default" w:ascii="Times New Roman" w:hAnsi="Times New Roman" w:eastAsia="仿宋_GB2312" w:cs="Times New Roman"/>
          <w:color w:val="auto"/>
          <w:sz w:val="32"/>
          <w:szCs w:val="32"/>
          <w:highlight w:val="none"/>
        </w:rPr>
        <w:t>在</w:t>
      </w:r>
      <w:r>
        <w:rPr>
          <w:rFonts w:hint="eastAsia" w:eastAsia="仿宋_GB2312" w:cs="Times New Roman"/>
          <w:color w:val="auto"/>
          <w:sz w:val="32"/>
          <w:szCs w:val="32"/>
          <w:highlight w:val="none"/>
          <w:lang w:val="en-US" w:eastAsia="zh-CN"/>
        </w:rPr>
        <w:t>暖气设备抢修及时率</w:t>
      </w:r>
      <w:r>
        <w:rPr>
          <w:rFonts w:hint="default" w:ascii="Times New Roman" w:hAnsi="Times New Roman" w:eastAsia="仿宋_GB2312" w:cs="Times New Roman"/>
          <w:color w:val="auto"/>
          <w:sz w:val="32"/>
          <w:szCs w:val="32"/>
          <w:highlight w:val="none"/>
        </w:rPr>
        <w:t>、“三影重叠”上图入库涉及村庄数等方面表现出色，达到了预期的标准与要求。同时，项目也在</w:t>
      </w:r>
      <w:r>
        <w:rPr>
          <w:rFonts w:hint="eastAsia" w:ascii="Times New Roman" w:hAnsi="Times New Roman" w:eastAsia="仿宋_GB2312" w:cs="Times New Roman"/>
          <w:color w:val="auto"/>
          <w:sz w:val="32"/>
          <w:szCs w:val="32"/>
          <w:highlight w:val="none"/>
          <w:lang w:val="en-US" w:eastAsia="zh-CN"/>
        </w:rPr>
        <w:t>开展办案业务工作和社火大赛</w:t>
      </w:r>
      <w:r>
        <w:rPr>
          <w:rFonts w:hint="default" w:ascii="Times New Roman" w:hAnsi="Times New Roman" w:eastAsia="仿宋_GB2312" w:cs="Times New Roman"/>
          <w:color w:val="auto"/>
          <w:sz w:val="32"/>
          <w:szCs w:val="32"/>
          <w:highlight w:val="none"/>
        </w:rPr>
        <w:t>取得了显著的成效取得了显著的成效，如保障人民群众精神文化活动、</w:t>
      </w:r>
      <w:r>
        <w:rPr>
          <w:rFonts w:hint="eastAsia" w:eastAsia="仿宋_GB2312" w:cs="Times New Roman"/>
          <w:color w:val="auto"/>
          <w:sz w:val="32"/>
          <w:szCs w:val="32"/>
          <w:highlight w:val="none"/>
          <w:lang w:val="en-US" w:eastAsia="zh-CN"/>
        </w:rPr>
        <w:t>提高了纪委办案工作效率</w:t>
      </w:r>
      <w:r>
        <w:rPr>
          <w:rFonts w:hint="default" w:ascii="Times New Roman" w:hAnsi="Times New Roman" w:eastAsia="仿宋_GB2312" w:cs="Times New Roman"/>
          <w:color w:val="auto"/>
          <w:sz w:val="32"/>
          <w:szCs w:val="32"/>
          <w:highlight w:val="none"/>
        </w:rPr>
        <w:t>等。</w:t>
      </w:r>
    </w:p>
    <w:p w14:paraId="4D423FA7">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eastAsia="仿宋_GB2312" w:cs="Times New Roman"/>
          <w:color w:val="auto"/>
          <w:sz w:val="32"/>
          <w:szCs w:val="32"/>
          <w:highlight w:val="none"/>
          <w:lang w:eastAsia="zh-CN"/>
        </w:rPr>
        <w:t>五马场乡人民政府</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36216460">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w:t>
      </w:r>
      <w:r>
        <w:rPr>
          <w:rFonts w:hint="eastAsia" w:eastAsia="仿宋_GB2312" w:cs="Times New Roman"/>
          <w:color w:val="auto"/>
          <w:sz w:val="32"/>
          <w:szCs w:val="32"/>
          <w:highlight w:val="none"/>
          <w:lang w:val="en-US" w:eastAsia="zh-CN"/>
        </w:rPr>
        <w:t>等</w:t>
      </w:r>
      <w:r>
        <w:rPr>
          <w:rFonts w:hint="default" w:ascii="Times New Roman" w:hAnsi="Times New Roman" w:eastAsia="仿宋_GB2312" w:cs="Times New Roman"/>
          <w:color w:val="auto"/>
          <w:sz w:val="32"/>
          <w:szCs w:val="32"/>
          <w:highlight w:val="none"/>
        </w:rPr>
        <w:t>方面产生了积极的影响。具体而言，</w:t>
      </w:r>
      <w:r>
        <w:rPr>
          <w:rFonts w:hint="eastAsia" w:eastAsia="仿宋_GB2312" w:cs="Times New Roman"/>
          <w:color w:val="auto"/>
          <w:sz w:val="32"/>
          <w:szCs w:val="32"/>
          <w:highlight w:val="none"/>
          <w:lang w:val="en-US" w:eastAsia="zh-CN"/>
        </w:rPr>
        <w:t>有效保障乡镇的基本生活和健康安全</w:t>
      </w:r>
      <w:r>
        <w:rPr>
          <w:rFonts w:hint="default" w:ascii="Times New Roman" w:hAnsi="Times New Roman" w:eastAsia="仿宋_GB2312" w:cs="Times New Roman"/>
          <w:color w:val="auto"/>
          <w:sz w:val="32"/>
          <w:szCs w:val="32"/>
          <w:highlight w:val="none"/>
        </w:rPr>
        <w:t>、保障人民群众精神文化活动效益1等方面的提升，为项目的利益相关者带来了实实在在的利益。</w:t>
      </w:r>
    </w:p>
    <w:p w14:paraId="02E1A6BF">
      <w:pPr>
        <w:spacing w:line="700" w:lineRule="exact"/>
        <w:jc w:val="both"/>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r>
        <w:rPr>
          <w:rFonts w:hint="eastAsia" w:eastAsia="仿宋_GB2312" w:cs="Times New Roman"/>
          <w:color w:val="auto"/>
          <w:sz w:val="32"/>
          <w:szCs w:val="32"/>
          <w:highlight w:val="none"/>
          <w:lang w:val="en-US" w:eastAsia="zh-CN"/>
        </w:rPr>
        <w:t>关于</w:t>
      </w:r>
      <w:r>
        <w:rPr>
          <w:rFonts w:hint="eastAsia" w:ascii="Times New Roman" w:hAnsi="Times New Roman" w:eastAsia="仿宋_GB2312" w:cs="Times New Roman"/>
          <w:color w:val="auto"/>
          <w:kern w:val="0"/>
          <w:sz w:val="32"/>
          <w:szCs w:val="32"/>
          <w:highlight w:val="none"/>
          <w:lang w:val="en-US" w:eastAsia="zh-CN" w:bidi="ar"/>
        </w:rPr>
        <w:t>五马场乡文化活动经费，中央政法纪检检查经费，“三影重叠”技术服务费，拨付五马场乡经费</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p>
    <w:p w14:paraId="22C8AF75">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highlight w:val="none"/>
          <w:lang w:val="en-US" w:eastAsia="zh-CN"/>
        </w:rPr>
      </w:pP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二</w:t>
      </w: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评价结论</w:t>
      </w:r>
    </w:p>
    <w:p w14:paraId="01668AE6">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 xml:space="preserve">分，属于“优”。其中，项目决策类指标权重为20分，得分为 </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 xml:space="preserve">分，得分率为 </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%。项目过程类指标权重为20分，得分为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%。项目产出类指标权重为40分，得分为</w:t>
      </w:r>
      <w:r>
        <w:rPr>
          <w:rFonts w:hint="eastAsia" w:ascii="Times New Roman" w:hAnsi="Times New Roman" w:eastAsia="仿宋_GB2312" w:cs="Times New Roman"/>
          <w:b w:val="0"/>
          <w:bCs w:val="0"/>
          <w:color w:val="auto"/>
          <w:highlight w:val="none"/>
          <w:lang w:val="en-US" w:eastAsia="zh-CN"/>
        </w:rPr>
        <w:t>40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%。项目效益类指标权重为20分，得分为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%。具体打分情况详见：附件1综合评分表</w:t>
      </w:r>
      <w:r>
        <w:rPr>
          <w:rFonts w:hint="default" w:ascii="Times New Roman" w:hAnsi="Times New Roman" w:eastAsia="仿宋_GB2312" w:cs="Times New Roman"/>
          <w:b w:val="0"/>
          <w:bCs w:val="0"/>
          <w:color w:val="auto"/>
          <w:highlight w:val="none"/>
          <w:lang w:eastAsia="zh-CN"/>
        </w:rPr>
        <w:t>。</w:t>
      </w:r>
    </w:p>
    <w:p w14:paraId="1B00AD91">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表1综合评分表</w:t>
      </w:r>
    </w:p>
    <w:tbl>
      <w:tblPr>
        <w:tblStyle w:val="14"/>
        <w:tblW w:w="8760" w:type="dxa"/>
        <w:jc w:val="center"/>
        <w:tblLayout w:type="fixed"/>
        <w:tblCellMar>
          <w:top w:w="0" w:type="dxa"/>
          <w:left w:w="108" w:type="dxa"/>
          <w:bottom w:w="0" w:type="dxa"/>
          <w:right w:w="108" w:type="dxa"/>
        </w:tblCellMar>
      </w:tblPr>
      <w:tblGrid>
        <w:gridCol w:w="2787"/>
        <w:gridCol w:w="1927"/>
        <w:gridCol w:w="2023"/>
        <w:gridCol w:w="2023"/>
      </w:tblGrid>
      <w:tr w14:paraId="358BFBE1">
        <w:tblPrEx>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77A2CE73">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275CD985">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66E1ECF1">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4B13FAF1">
            <w:pPr>
              <w:jc w:val="center"/>
              <w:rPr>
                <w:rFonts w:hint="eastAsia" w:ascii="Times New Roman" w:hAnsi="Times New Roman" w:eastAsia="仿宋_GB2312" w:cs="Times New Roman"/>
                <w:b/>
                <w:bCs/>
                <w:color w:val="auto"/>
                <w:sz w:val="21"/>
                <w:szCs w:val="21"/>
                <w:highlight w:val="none"/>
                <w:lang w:val="en-US" w:eastAsia="zh-CN"/>
              </w:rPr>
            </w:pPr>
            <w:r>
              <w:rPr>
                <w:rFonts w:hint="eastAsia" w:eastAsia="仿宋_GB2312" w:cs="Times New Roman"/>
                <w:b/>
                <w:bCs/>
                <w:color w:val="auto"/>
                <w:sz w:val="21"/>
                <w:szCs w:val="21"/>
                <w:highlight w:val="none"/>
                <w:lang w:val="en-US" w:eastAsia="zh-CN"/>
              </w:rPr>
              <w:t>得分率</w:t>
            </w:r>
          </w:p>
        </w:tc>
      </w:tr>
      <w:tr w14:paraId="4E46F2B4">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23E3CF70">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项目决策</w:t>
            </w:r>
          </w:p>
        </w:tc>
        <w:tc>
          <w:tcPr>
            <w:tcW w:w="1927" w:type="dxa"/>
            <w:tcBorders>
              <w:top w:val="nil"/>
              <w:left w:val="nil"/>
              <w:bottom w:val="single" w:color="auto" w:sz="4" w:space="0"/>
              <w:right w:val="single" w:color="auto" w:sz="4" w:space="0"/>
            </w:tcBorders>
            <w:shd w:val="clear" w:color="auto" w:fill="auto"/>
            <w:vAlign w:val="center"/>
          </w:tcPr>
          <w:p w14:paraId="246788E9">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2C2F49C8">
            <w:pPr>
              <w:jc w:val="center"/>
              <w:rPr>
                <w:rFonts w:hint="default"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15883301">
            <w:pPr>
              <w:jc w:val="center"/>
              <w:rPr>
                <w:rFonts w:hint="default" w:ascii="Times New Roman" w:hAnsi="Times New Roman" w:eastAsia="仿宋_GB2312" w:cs="Times New Roman"/>
                <w:color w:val="auto"/>
                <w:sz w:val="21"/>
                <w:szCs w:val="21"/>
                <w:highlight w:val="none"/>
              </w:rPr>
            </w:pPr>
            <w:r>
              <w:rPr>
                <w:rFonts w:hint="eastAsia" w:eastAsia="仿宋_GB2312" w:cs="Times New Roman"/>
                <w:color w:val="auto"/>
                <w:sz w:val="21"/>
                <w:szCs w:val="21"/>
                <w:highlight w:val="none"/>
                <w:lang w:val="en-US" w:eastAsia="zh-CN"/>
              </w:rPr>
              <w:t>100%</w:t>
            </w:r>
          </w:p>
        </w:tc>
      </w:tr>
      <w:tr w14:paraId="3E901C74">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4B066FE0">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项目过程</w:t>
            </w:r>
          </w:p>
        </w:tc>
        <w:tc>
          <w:tcPr>
            <w:tcW w:w="1927" w:type="dxa"/>
            <w:tcBorders>
              <w:top w:val="nil"/>
              <w:left w:val="nil"/>
              <w:bottom w:val="single" w:color="auto" w:sz="4" w:space="0"/>
              <w:right w:val="single" w:color="auto" w:sz="4" w:space="0"/>
            </w:tcBorders>
            <w:shd w:val="clear" w:color="auto" w:fill="auto"/>
            <w:vAlign w:val="center"/>
          </w:tcPr>
          <w:p w14:paraId="1556C47E">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0866C22B">
            <w:pPr>
              <w:jc w:val="center"/>
              <w:rPr>
                <w:rFonts w:hint="default" w:ascii="Times New Roman" w:hAnsi="Times New Roman" w:eastAsia="仿宋_GB2312" w:cs="Times New Roman"/>
                <w:color w:val="auto"/>
                <w:sz w:val="21"/>
                <w:szCs w:val="21"/>
                <w:highlight w:val="none"/>
              </w:rPr>
            </w:pPr>
            <w:r>
              <w:rPr>
                <w:rFonts w:hint="eastAsia"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7C38444A">
            <w:pPr>
              <w:jc w:val="center"/>
              <w:rPr>
                <w:rFonts w:hint="default" w:ascii="Times New Roman" w:hAnsi="Times New Roman" w:eastAsia="仿宋_GB2312" w:cs="Times New Roman"/>
                <w:color w:val="auto"/>
                <w:sz w:val="21"/>
                <w:szCs w:val="21"/>
                <w:highlight w:val="none"/>
              </w:rPr>
            </w:pPr>
            <w:r>
              <w:rPr>
                <w:rFonts w:hint="eastAsia" w:eastAsia="仿宋_GB2312" w:cs="Times New Roman"/>
                <w:color w:val="auto"/>
                <w:sz w:val="21"/>
                <w:szCs w:val="21"/>
                <w:highlight w:val="none"/>
                <w:lang w:val="en-US" w:eastAsia="zh-CN"/>
              </w:rPr>
              <w:t>100%</w:t>
            </w:r>
          </w:p>
        </w:tc>
      </w:tr>
      <w:tr w14:paraId="2EB31331">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17929F99">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项目产出</w:t>
            </w:r>
          </w:p>
        </w:tc>
        <w:tc>
          <w:tcPr>
            <w:tcW w:w="1927" w:type="dxa"/>
            <w:tcBorders>
              <w:top w:val="nil"/>
              <w:left w:val="nil"/>
              <w:bottom w:val="single" w:color="auto" w:sz="4" w:space="0"/>
              <w:right w:val="single" w:color="auto" w:sz="4" w:space="0"/>
            </w:tcBorders>
            <w:shd w:val="clear" w:color="auto" w:fill="auto"/>
            <w:vAlign w:val="center"/>
          </w:tcPr>
          <w:p w14:paraId="426C9E7F">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30E02D20">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6A9C9857">
            <w:pPr>
              <w:jc w:val="center"/>
              <w:rPr>
                <w:rFonts w:hint="default" w:ascii="Times New Roman" w:hAnsi="Times New Roman" w:eastAsia="仿宋_GB2312" w:cs="Times New Roman"/>
                <w:color w:val="auto"/>
                <w:sz w:val="21"/>
                <w:szCs w:val="21"/>
                <w:highlight w:val="none"/>
              </w:rPr>
            </w:pPr>
            <w:r>
              <w:rPr>
                <w:rFonts w:hint="eastAsia" w:eastAsia="仿宋_GB2312" w:cs="Times New Roman"/>
                <w:color w:val="auto"/>
                <w:sz w:val="21"/>
                <w:szCs w:val="21"/>
                <w:highlight w:val="none"/>
                <w:lang w:val="en-US" w:eastAsia="zh-CN"/>
              </w:rPr>
              <w:t>100%</w:t>
            </w:r>
          </w:p>
        </w:tc>
      </w:tr>
      <w:tr w14:paraId="0B2E8C3B">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2104E40A">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项目效益</w:t>
            </w:r>
          </w:p>
        </w:tc>
        <w:tc>
          <w:tcPr>
            <w:tcW w:w="1927" w:type="dxa"/>
            <w:tcBorders>
              <w:top w:val="nil"/>
              <w:left w:val="nil"/>
              <w:bottom w:val="single" w:color="auto" w:sz="4" w:space="0"/>
              <w:right w:val="single" w:color="auto" w:sz="4" w:space="0"/>
            </w:tcBorders>
            <w:shd w:val="clear" w:color="auto" w:fill="auto"/>
            <w:vAlign w:val="center"/>
          </w:tcPr>
          <w:p w14:paraId="64E62C08">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4FE1E4B3">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6D6F40DA">
            <w:pPr>
              <w:jc w:val="center"/>
              <w:rPr>
                <w:rFonts w:hint="default" w:ascii="Times New Roman" w:hAnsi="Times New Roman" w:eastAsia="仿宋_GB2312" w:cs="Times New Roman"/>
                <w:color w:val="auto"/>
                <w:sz w:val="21"/>
                <w:szCs w:val="21"/>
                <w:highlight w:val="none"/>
              </w:rPr>
            </w:pPr>
            <w:r>
              <w:rPr>
                <w:rFonts w:hint="eastAsia" w:eastAsia="仿宋_GB2312" w:cs="Times New Roman"/>
                <w:color w:val="auto"/>
                <w:sz w:val="21"/>
                <w:szCs w:val="21"/>
                <w:highlight w:val="none"/>
                <w:lang w:val="en-US" w:eastAsia="zh-CN"/>
              </w:rPr>
              <w:t>100%</w:t>
            </w:r>
          </w:p>
        </w:tc>
      </w:tr>
      <w:tr w14:paraId="0529E641">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0A4D6140">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合计</w:t>
            </w:r>
          </w:p>
        </w:tc>
        <w:tc>
          <w:tcPr>
            <w:tcW w:w="1927" w:type="dxa"/>
            <w:tcBorders>
              <w:top w:val="nil"/>
              <w:left w:val="nil"/>
              <w:bottom w:val="single" w:color="auto" w:sz="4" w:space="0"/>
              <w:right w:val="single" w:color="auto" w:sz="4" w:space="0"/>
            </w:tcBorders>
            <w:shd w:val="clear" w:color="auto" w:fill="auto"/>
            <w:vAlign w:val="center"/>
          </w:tcPr>
          <w:p w14:paraId="7999D474">
            <w:pPr>
              <w:jc w:val="center"/>
              <w:rPr>
                <w:rFonts w:hint="default" w:ascii="Times New Roman" w:hAnsi="Times New Roman" w:eastAsia="仿宋_GB2312" w:cs="Times New Roman"/>
                <w:b/>
                <w:bCs/>
                <w:color w:val="auto"/>
                <w:sz w:val="21"/>
                <w:szCs w:val="21"/>
                <w:highlight w:val="none"/>
                <w:lang w:val="en-US" w:eastAsia="zh-CN"/>
              </w:rPr>
            </w:pPr>
            <w:r>
              <w:rPr>
                <w:rFonts w:hint="default" w:ascii="Times New Roman" w:hAnsi="Times New Roman" w:eastAsia="仿宋_GB2312" w:cs="Times New Roman"/>
                <w:b/>
                <w:bCs/>
                <w:color w:val="auto"/>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48191782">
            <w:pPr>
              <w:jc w:val="center"/>
              <w:rPr>
                <w:rFonts w:hint="default" w:ascii="Times New Roman" w:hAnsi="Times New Roman" w:eastAsia="仿宋_GB2312" w:cs="Times New Roman"/>
                <w:b/>
                <w:bCs/>
                <w:color w:val="auto"/>
                <w:sz w:val="21"/>
                <w:szCs w:val="21"/>
                <w:highlight w:val="none"/>
                <w:lang w:val="en-US" w:eastAsia="zh-CN"/>
              </w:rPr>
            </w:pPr>
            <w:r>
              <w:rPr>
                <w:rFonts w:hint="eastAsia" w:eastAsia="仿宋_GB2312" w:cs="Times New Roman"/>
                <w:b/>
                <w:bCs/>
                <w:color w:val="auto"/>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7FDE719B">
            <w:pPr>
              <w:jc w:val="center"/>
              <w:rPr>
                <w:rFonts w:hint="default" w:ascii="Times New Roman" w:hAnsi="Times New Roman" w:eastAsia="仿宋_GB2312" w:cs="Times New Roman"/>
                <w:b/>
                <w:bCs/>
                <w:color w:val="auto"/>
                <w:sz w:val="21"/>
                <w:szCs w:val="21"/>
                <w:highlight w:val="none"/>
              </w:rPr>
            </w:pPr>
            <w:r>
              <w:rPr>
                <w:rFonts w:hint="eastAsia" w:eastAsia="仿宋_GB2312" w:cs="Times New Roman"/>
                <w:color w:val="auto"/>
                <w:sz w:val="21"/>
                <w:szCs w:val="21"/>
                <w:highlight w:val="none"/>
                <w:lang w:val="en-US" w:eastAsia="zh-CN"/>
              </w:rPr>
              <w:t>100%</w:t>
            </w:r>
          </w:p>
        </w:tc>
      </w:tr>
    </w:tbl>
    <w:p w14:paraId="6FBF4C83">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四、绩效评价指标分析</w:t>
      </w:r>
    </w:p>
    <w:p w14:paraId="66E6ABAB">
      <w:pPr>
        <w:pStyle w:val="10"/>
        <w:spacing w:before="0" w:after="0" w:line="560" w:lineRule="exact"/>
        <w:ind w:firstLine="643" w:firstLineChars="200"/>
        <w:jc w:val="both"/>
        <w:rPr>
          <w:rFonts w:hint="default" w:ascii="Times New Roman" w:hAnsi="Times New Roman" w:eastAsia="楷体_GB2312" w:cs="Times New Roman"/>
          <w:color w:val="auto"/>
          <w:highlight w:val="none"/>
        </w:rPr>
      </w:pPr>
      <w:r>
        <w:rPr>
          <w:rFonts w:hint="default" w:ascii="Times New Roman" w:hAnsi="Times New Roman" w:eastAsia="楷体_GB2312" w:cs="Times New Roman"/>
          <w:color w:val="auto"/>
          <w:highlight w:val="none"/>
        </w:rPr>
        <w:t>（一）项目决策情况</w:t>
      </w:r>
    </w:p>
    <w:p w14:paraId="65A6B084">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341EB89F">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1.项目立项</w:t>
      </w:r>
    </w:p>
    <w:p w14:paraId="158E067A">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（1）立项依据充分性</w:t>
      </w:r>
    </w:p>
    <w:p w14:paraId="13D437FD">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6F88595B">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（2）立项程序规范性</w:t>
      </w:r>
    </w:p>
    <w:p w14:paraId="2B55B2EA">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项目申请、设立过程符合相关要求，</w:t>
      </w:r>
      <w:r>
        <w:rPr>
          <w:rFonts w:hint="default" w:ascii="Times New Roman" w:hAnsi="Times New Roman" w:eastAsia="仿宋_GB2312" w:cs="Times New Roman"/>
          <w:color w:val="auto"/>
          <w:sz w:val="32"/>
          <w:szCs w:val="32"/>
          <w:highlight w:val="none"/>
          <w:lang w:eastAsia="zh-Hans"/>
        </w:rPr>
        <w:t>严格按照审批流程准备符合要求的文件、材料；</w:t>
      </w:r>
      <w:r>
        <w:rPr>
          <w:rFonts w:hint="default" w:ascii="Times New Roman" w:hAnsi="Times New Roman" w:eastAsia="仿宋_GB2312" w:cs="Times New Roman"/>
          <w:color w:val="auto"/>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5C0FF5F8">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2.绩效目标</w:t>
      </w:r>
    </w:p>
    <w:p w14:paraId="52FBDA16">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（1）绩效目标合理性</w:t>
      </w:r>
    </w:p>
    <w:p w14:paraId="62873A89">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Hans"/>
        </w:rPr>
        <w:t>年初结合实际工作内容</w:t>
      </w:r>
      <w:r>
        <w:rPr>
          <w:rFonts w:hint="default" w:ascii="Times New Roman" w:hAnsi="Times New Roman" w:eastAsia="仿宋_GB2312" w:cs="Times New Roman"/>
          <w:color w:val="auto"/>
          <w:sz w:val="32"/>
          <w:szCs w:val="32"/>
          <w:highlight w:val="none"/>
          <w:lang w:val="en-US" w:eastAsia="zh-CN"/>
        </w:rPr>
        <w:t>设定绩效目标</w:t>
      </w:r>
      <w:r>
        <w:rPr>
          <w:rFonts w:hint="default" w:ascii="Times New Roman" w:hAnsi="Times New Roman" w:eastAsia="仿宋_GB2312" w:cs="Times New Roman"/>
          <w:color w:val="auto"/>
          <w:sz w:val="32"/>
          <w:szCs w:val="32"/>
          <w:highlight w:val="none"/>
          <w:lang w:val="en-US" w:eastAsia="zh-Hans"/>
        </w:rPr>
        <w:t>，绩效目标</w:t>
      </w:r>
      <w:r>
        <w:rPr>
          <w:rFonts w:hint="default" w:ascii="Times New Roman" w:hAnsi="Times New Roman" w:eastAsia="仿宋_GB2312" w:cs="Times New Roman"/>
          <w:color w:val="auto"/>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2DE23EAE">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（2）绩效指标明确性</w:t>
      </w:r>
    </w:p>
    <w:p w14:paraId="29A27442">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14:paraId="2D2C7268">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3.资金投入</w:t>
      </w:r>
    </w:p>
    <w:p w14:paraId="68832C04">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（1）预算编制科学性</w:t>
      </w:r>
    </w:p>
    <w:p w14:paraId="3365E3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64CC0791">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在预算编制过程中，</w:t>
      </w:r>
      <w:r>
        <w:rPr>
          <w:rFonts w:hint="default" w:ascii="Times New Roman" w:hAnsi="Times New Roman" w:eastAsia="仿宋_GB2312" w:cs="Times New Roman"/>
          <w:color w:val="auto"/>
          <w:sz w:val="32"/>
          <w:szCs w:val="32"/>
          <w:highlight w:val="none"/>
          <w:lang w:val="en-US" w:eastAsia="zh-CN"/>
        </w:rPr>
        <w:t>还</w:t>
      </w:r>
      <w:r>
        <w:rPr>
          <w:rFonts w:hint="default" w:ascii="Times New Roman" w:hAnsi="Times New Roman" w:eastAsia="仿宋_GB2312" w:cs="Times New Roman"/>
          <w:color w:val="auto"/>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708AD547">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（2）资金分配合理性</w:t>
      </w:r>
    </w:p>
    <w:p w14:paraId="0D642C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42084B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228BA0A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0729E7A">
      <w:pPr>
        <w:pStyle w:val="10"/>
        <w:numPr>
          <w:ilvl w:val="0"/>
          <w:numId w:val="4"/>
        </w:numPr>
        <w:spacing w:before="0" w:after="0" w:line="560" w:lineRule="exact"/>
        <w:ind w:firstLine="643" w:firstLineChars="200"/>
        <w:jc w:val="both"/>
        <w:rPr>
          <w:rFonts w:hint="default" w:ascii="Times New Roman" w:hAnsi="Times New Roman" w:eastAsia="楷体" w:cs="Times New Roman"/>
          <w:color w:val="auto"/>
          <w:highlight w:val="none"/>
        </w:rPr>
      </w:pPr>
      <w:r>
        <w:rPr>
          <w:rFonts w:hint="default" w:ascii="Times New Roman" w:hAnsi="Times New Roman" w:eastAsia="楷体" w:cs="Times New Roman"/>
          <w:color w:val="auto"/>
          <w:highlight w:val="none"/>
        </w:rPr>
        <w:t>项目过程情况</w:t>
      </w:r>
    </w:p>
    <w:p w14:paraId="4B1935A6">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6D0A8291">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1.资金管理</w:t>
      </w:r>
    </w:p>
    <w:p w14:paraId="3C324DA5">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（1）资金到位率</w:t>
      </w:r>
    </w:p>
    <w:p w14:paraId="736D1E9F">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本项目总投资</w:t>
      </w:r>
      <w:r>
        <w:rPr>
          <w:rFonts w:hint="eastAsia" w:eastAsia="仿宋_GB2312" w:cs="Times New Roman"/>
          <w:color w:val="auto"/>
          <w:sz w:val="32"/>
          <w:szCs w:val="32"/>
          <w:highlight w:val="none"/>
          <w:lang w:val="en-US" w:eastAsia="zh-CN"/>
        </w:rPr>
        <w:t>73.49</w:t>
      </w:r>
      <w:r>
        <w:rPr>
          <w:rFonts w:hint="default" w:ascii="Times New Roman" w:hAnsi="Times New Roman" w:eastAsia="仿宋_GB2312" w:cs="Times New Roman"/>
          <w:color w:val="auto"/>
          <w:sz w:val="32"/>
          <w:szCs w:val="32"/>
          <w:highlight w:val="none"/>
          <w:lang w:val="en-US" w:eastAsia="zh-CN"/>
        </w:rPr>
        <w:t>万元，财政资金及时足额到位，到位率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%，预算资金按计划进度执行。</w:t>
      </w:r>
    </w:p>
    <w:p w14:paraId="5E802368">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（2）预算执行率</w:t>
      </w:r>
    </w:p>
    <w:p w14:paraId="1F7F1E3B">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预算编制较为详细，项目资金支出总体能够按照预算执行，预算资金支出</w:t>
      </w:r>
      <w:r>
        <w:rPr>
          <w:rFonts w:hint="eastAsia" w:eastAsia="仿宋_GB2312" w:cs="Times New Roman"/>
          <w:color w:val="auto"/>
          <w:sz w:val="32"/>
          <w:szCs w:val="32"/>
          <w:highlight w:val="none"/>
          <w:lang w:val="en-US" w:eastAsia="zh-CN"/>
        </w:rPr>
        <w:t>73.49</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01BB3652">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（3）资金使用合规性</w:t>
      </w:r>
    </w:p>
    <w:p w14:paraId="5E3112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146EA3C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493044A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35DE3DDD">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2.组织实施</w:t>
      </w:r>
    </w:p>
    <w:p w14:paraId="58D0F177">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（1）管理制度健全性</w:t>
      </w:r>
    </w:p>
    <w:p w14:paraId="241A79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6944B2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在制度设计上，我们注重了制度的科学性与可操作性，确保制度能够切实指导项目的执行与管理。</w:t>
      </w:r>
    </w:p>
    <w:p w14:paraId="7F0506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6B21D18C">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1254F622">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（2）制度执行有效性</w:t>
      </w:r>
    </w:p>
    <w:p w14:paraId="46157D9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重视制度执行的重要性，通过明确责任分工、制定详细执行计划、加强监督考核等措施，确保了各项管理制度能够得到有效执行。</w:t>
      </w:r>
    </w:p>
    <w:p w14:paraId="16EE80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31F9618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综上所述，本项目的管理制度在执行过程中表现出了高度的有效性，既确保了项目的顺利进行，又实现了项目目标的有效达成。</w:t>
      </w:r>
    </w:p>
    <w:p w14:paraId="018DC8F9">
      <w:pPr>
        <w:pStyle w:val="12"/>
        <w:numPr>
          <w:ilvl w:val="0"/>
          <w:numId w:val="4"/>
        </w:numPr>
        <w:spacing w:line="560" w:lineRule="exact"/>
        <w:ind w:firstLine="643"/>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项目产出</w:t>
      </w:r>
      <w:r>
        <w:rPr>
          <w:rFonts w:hint="default" w:ascii="Times New Roman" w:hAnsi="Times New Roman" w:eastAsia="楷体_GB2312" w:cs="Times New Roman"/>
          <w:b/>
          <w:bCs/>
          <w:color w:val="auto"/>
          <w:sz w:val="32"/>
          <w:szCs w:val="32"/>
          <w:highlight w:val="none"/>
          <w:lang w:val="en-US" w:eastAsia="zh-CN"/>
        </w:rPr>
        <w:t>情况</w:t>
      </w:r>
    </w:p>
    <w:p w14:paraId="3040A7B8">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项目产出类指标包括产出数量、产出质量、产出时效、产出成本四方面的内容，由</w:t>
      </w:r>
      <w:r>
        <w:rPr>
          <w:rFonts w:hint="eastAsia" w:eastAsia="仿宋_GB2312" w:cs="Times New Roman"/>
          <w:color w:val="auto"/>
          <w:sz w:val="32"/>
          <w:szCs w:val="32"/>
          <w:highlight w:val="none"/>
          <w:lang w:val="en-US" w:eastAsia="zh-CN"/>
        </w:rPr>
        <w:t>10</w:t>
      </w:r>
      <w:r>
        <w:rPr>
          <w:rFonts w:hint="default" w:ascii="Times New Roman" w:hAnsi="Times New Roman" w:eastAsia="仿宋_GB2312" w:cs="Times New Roman"/>
          <w:color w:val="auto"/>
          <w:sz w:val="32"/>
          <w:szCs w:val="32"/>
          <w:highlight w:val="none"/>
          <w:lang w:val="en-US" w:eastAsia="zh-CN"/>
        </w:rPr>
        <w:t>个三级指标构成，权重分为</w:t>
      </w:r>
      <w:r>
        <w:rPr>
          <w:rFonts w:hint="eastAsia" w:eastAsia="仿宋_GB2312" w:cs="Times New Roman"/>
          <w:color w:val="auto"/>
          <w:sz w:val="32"/>
          <w:szCs w:val="32"/>
          <w:highlight w:val="none"/>
          <w:lang w:val="en-US" w:eastAsia="zh-CN"/>
        </w:rPr>
        <w:t>60</w:t>
      </w:r>
      <w:r>
        <w:rPr>
          <w:rFonts w:hint="default" w:ascii="Times New Roman" w:hAnsi="Times New Roman" w:eastAsia="仿宋_GB2312" w:cs="Times New Roman"/>
          <w:color w:val="auto"/>
          <w:sz w:val="32"/>
          <w:szCs w:val="32"/>
          <w:highlight w:val="none"/>
          <w:lang w:val="en-US" w:eastAsia="zh-CN"/>
        </w:rPr>
        <w:t>分，实际得分</w:t>
      </w:r>
      <w:r>
        <w:rPr>
          <w:rFonts w:hint="eastAsia" w:eastAsia="仿宋_GB2312" w:cs="Times New Roman"/>
          <w:color w:val="auto"/>
          <w:sz w:val="32"/>
          <w:szCs w:val="32"/>
          <w:highlight w:val="none"/>
          <w:lang w:val="en-US" w:eastAsia="zh-CN"/>
        </w:rPr>
        <w:t>60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%。具体产出指标完成情况如下：</w:t>
      </w:r>
    </w:p>
    <w:p w14:paraId="0C301123">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1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①</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数量指标：</w:t>
      </w:r>
    </w:p>
    <w:p w14:paraId="7AF5201D">
      <w:pPr>
        <w:shd w:val="clear"/>
        <w:spacing w:line="600" w:lineRule="exact"/>
        <w:ind w:firstLine="640" w:firstLineChars="200"/>
        <w:outlineLvl w:val="0"/>
        <w:rPr>
          <w:rFonts w:hint="eastAsia"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指标1：比赛参赛人数（人），指标值：=</w:t>
      </w:r>
      <w:r>
        <w:rPr>
          <w:rFonts w:hint="eastAsia" w:eastAsia="仿宋_GB2312" w:cs="Times New Roman"/>
          <w:color w:val="auto"/>
          <w:sz w:val="32"/>
          <w:szCs w:val="32"/>
          <w:highlight w:val="none"/>
          <w:lang w:val="en-US" w:eastAsia="zh-CN"/>
        </w:rPr>
        <w:t>103人</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103人</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w:t>
      </w:r>
    </w:p>
    <w:p w14:paraId="529BDD9F">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：“三影重叠”上图入库涉及村庄数，指标值：=7个，实际完成值：=7个，指标完成率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w:t>
      </w:r>
    </w:p>
    <w:p w14:paraId="4DA1C635">
      <w:pPr>
        <w:shd w:val="clear"/>
        <w:spacing w:line="600" w:lineRule="exact"/>
        <w:ind w:firstLine="640" w:firstLineChars="200"/>
        <w:outlineLvl w:val="0"/>
        <w:rPr>
          <w:rFonts w:hint="eastAsia"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：购买办公设备数量，指标值：=5台，实际完成值：=5台，指标完成率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w:t>
      </w:r>
    </w:p>
    <w:p w14:paraId="6A628AA1">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2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②</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质量指标：</w:t>
      </w:r>
    </w:p>
    <w:p w14:paraId="28AD919F">
      <w:pPr>
        <w:shd w:val="clear"/>
        <w:spacing w:line="600" w:lineRule="exact"/>
        <w:ind w:firstLine="640" w:firstLineChars="200"/>
        <w:outlineLvl w:val="0"/>
        <w:rPr>
          <w:rFonts w:hint="eastAsia"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：设备验收合格率（%），指标值：=100%，实际完成值：=100%，指标完成率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w:t>
      </w:r>
    </w:p>
    <w:p w14:paraId="1D52E5F7">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3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③</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时效指标：</w:t>
      </w:r>
    </w:p>
    <w:p w14:paraId="00D5F1F4">
      <w:pPr>
        <w:shd w:val="clear"/>
        <w:spacing w:line="600" w:lineRule="exact"/>
        <w:ind w:firstLine="640" w:firstLineChars="200"/>
        <w:outlineLvl w:val="0"/>
        <w:rPr>
          <w:rFonts w:hint="eastAsia"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：参赛及时率（%），指标值：=100%，实际完成值：=100%，指标完成率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w:t>
      </w:r>
    </w:p>
    <w:p w14:paraId="77E03D97">
      <w:pPr>
        <w:shd w:val="clear"/>
        <w:spacing w:line="600" w:lineRule="exact"/>
        <w:ind w:firstLine="640" w:firstLineChars="200"/>
        <w:outlineLvl w:val="0"/>
        <w:rPr>
          <w:rFonts w:hint="eastAsia"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：暖气设备抢修及时率（%），指标值：=100%，实际完成值：=100%，指标完成率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w:t>
      </w:r>
    </w:p>
    <w:p w14:paraId="1CA77571">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4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④</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成本指标：</w:t>
      </w:r>
    </w:p>
    <w:p w14:paraId="5268DE7D">
      <w:pPr>
        <w:shd w:val="clear"/>
        <w:spacing w:line="600" w:lineRule="exact"/>
        <w:ind w:firstLine="640" w:firstLineChars="200"/>
        <w:outlineLvl w:val="0"/>
        <w:rPr>
          <w:rFonts w:hint="eastAsia"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：购置设备经费金额，指标值：=2万元，实际完成值：=1万元，指标完成率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w:t>
      </w:r>
    </w:p>
    <w:p w14:paraId="043BA3C1">
      <w:pPr>
        <w:shd w:val="clear"/>
        <w:spacing w:line="600" w:lineRule="exact"/>
        <w:ind w:firstLine="640" w:firstLineChars="200"/>
        <w:outlineLvl w:val="0"/>
        <w:rPr>
          <w:rFonts w:hint="eastAsia"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：文化活动经费金额，指标值：=1万元，实际完成值：=1万元，指标完成率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w:t>
      </w:r>
    </w:p>
    <w:p w14:paraId="3EA12A4E">
      <w:pPr>
        <w:shd w:val="clear"/>
        <w:spacing w:line="600" w:lineRule="exact"/>
        <w:ind w:firstLine="640" w:firstLineChars="200"/>
        <w:outlineLvl w:val="0"/>
        <w:rPr>
          <w:rFonts w:hint="eastAsia"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：“三影重叠”报告费，指标值：=3.49万元，实际完成值：=3.49万元，指标完成率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w:t>
      </w:r>
    </w:p>
    <w:p w14:paraId="29F7B9D8">
      <w:pPr>
        <w:shd w:val="clear"/>
        <w:spacing w:line="600" w:lineRule="exact"/>
        <w:ind w:firstLine="640" w:firstLineChars="200"/>
        <w:outlineLvl w:val="0"/>
        <w:rPr>
          <w:rFonts w:hint="eastAsia"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：取暖费和暖气抢修经费金额，指标值：=67万</w:t>
      </w:r>
      <w:r>
        <w:rPr>
          <w:rFonts w:hint="eastAsia" w:eastAsia="仿宋_GB2312" w:cs="Times New Roman"/>
          <w:color w:val="auto"/>
          <w:sz w:val="32"/>
          <w:szCs w:val="32"/>
          <w:highlight w:val="none"/>
          <w:lang w:val="en-US" w:eastAsia="zh-CN"/>
        </w:rPr>
        <w:t>元</w:t>
      </w:r>
      <w:r>
        <w:rPr>
          <w:rFonts w:hint="default" w:ascii="Times New Roman" w:hAnsi="Times New Roman" w:eastAsia="仿宋_GB2312" w:cs="Times New Roman"/>
          <w:color w:val="auto"/>
          <w:sz w:val="32"/>
          <w:szCs w:val="32"/>
          <w:highlight w:val="none"/>
        </w:rPr>
        <w:t>，实际完成值：=67万</w:t>
      </w:r>
      <w:r>
        <w:rPr>
          <w:rFonts w:hint="eastAsia" w:eastAsia="仿宋_GB2312" w:cs="Times New Roman"/>
          <w:color w:val="auto"/>
          <w:sz w:val="32"/>
          <w:szCs w:val="32"/>
          <w:highlight w:val="none"/>
          <w:lang w:val="en-US" w:eastAsia="zh-CN"/>
        </w:rPr>
        <w:t>元</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w:t>
      </w:r>
    </w:p>
    <w:p w14:paraId="7516742A">
      <w:pPr>
        <w:pStyle w:val="12"/>
        <w:numPr>
          <w:ilvl w:val="0"/>
          <w:numId w:val="4"/>
        </w:numPr>
        <w:spacing w:line="560" w:lineRule="exact"/>
        <w:ind w:firstLine="643"/>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项目效益情况</w:t>
      </w:r>
    </w:p>
    <w:p w14:paraId="503C069A">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项目效益类指标包括项目实施效益和满意度两方面的内容，由</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US" w:eastAsia="zh-CN"/>
        </w:rPr>
        <w:t>个三级指标构成，权重分为</w:t>
      </w:r>
      <w:r>
        <w:rPr>
          <w:rFonts w:hint="eastAsia" w:eastAsia="仿宋_GB2312" w:cs="Times New Roman"/>
          <w:color w:val="auto"/>
          <w:sz w:val="32"/>
          <w:szCs w:val="32"/>
          <w:highlight w:val="none"/>
          <w:lang w:val="en-US" w:eastAsia="zh-CN"/>
        </w:rPr>
        <w:t>30</w:t>
      </w:r>
      <w:r>
        <w:rPr>
          <w:rFonts w:hint="default" w:ascii="Times New Roman" w:hAnsi="Times New Roman" w:eastAsia="仿宋_GB2312" w:cs="Times New Roman"/>
          <w:color w:val="auto"/>
          <w:sz w:val="32"/>
          <w:szCs w:val="32"/>
          <w:highlight w:val="none"/>
          <w:lang w:val="en-US" w:eastAsia="zh-CN"/>
        </w:rPr>
        <w:t>分，实际得分</w:t>
      </w:r>
      <w:r>
        <w:rPr>
          <w:rFonts w:hint="eastAsia" w:eastAsia="仿宋_GB2312" w:cs="Times New Roman"/>
          <w:color w:val="auto"/>
          <w:sz w:val="32"/>
          <w:szCs w:val="32"/>
          <w:highlight w:val="none"/>
          <w:lang w:val="en-US" w:eastAsia="zh-CN"/>
        </w:rPr>
        <w:t>30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%。具体效益指标及满意度指标完成情况如下：</w:t>
      </w:r>
    </w:p>
    <w:p w14:paraId="767318F8">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1.实施效益</w:t>
      </w:r>
    </w:p>
    <w:p w14:paraId="5EF82BFF">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①</w:t>
      </w:r>
      <w:r>
        <w:rPr>
          <w:rFonts w:hint="default" w:ascii="Times New Roman" w:hAnsi="Times New Roman" w:eastAsia="仿宋_GB2312" w:cs="Times New Roman"/>
          <w:color w:val="auto"/>
          <w:sz w:val="32"/>
          <w:szCs w:val="32"/>
          <w:highlight w:val="none"/>
        </w:rPr>
        <w:t>社会效益指标：</w:t>
      </w:r>
    </w:p>
    <w:p w14:paraId="628602CC">
      <w:pPr>
        <w:shd w:val="clear"/>
        <w:spacing w:line="600" w:lineRule="exact"/>
        <w:ind w:firstLine="640" w:firstLineChars="200"/>
        <w:outlineLvl w:val="0"/>
        <w:rPr>
          <w:rFonts w:hint="eastAsia"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：保障人民群众精神文化生活，指标值：有效保障，实际完成值：有效保障，指标完成率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w:t>
      </w:r>
    </w:p>
    <w:p w14:paraId="1546E7B5">
      <w:pPr>
        <w:shd w:val="clear"/>
        <w:spacing w:line="600" w:lineRule="exact"/>
        <w:ind w:firstLine="640" w:firstLineChars="200"/>
        <w:outlineLvl w:val="0"/>
        <w:rPr>
          <w:rFonts w:hint="eastAsia"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：保障乡镇的基本生活和健康安全，指标值：有效保障，实际完成值：有效保障，指标完成率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w:t>
      </w:r>
    </w:p>
    <w:p w14:paraId="2FCB378A">
      <w:pPr>
        <w:shd w:val="clear"/>
        <w:spacing w:line="600" w:lineRule="exact"/>
        <w:ind w:firstLine="640" w:firstLineChars="200"/>
        <w:outlineLvl w:val="0"/>
        <w:rPr>
          <w:rFonts w:hint="eastAsia"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2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②</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满意度指标</w:t>
      </w:r>
      <w:r>
        <w:rPr>
          <w:rFonts w:hint="eastAsia" w:eastAsia="仿宋_GB2312" w:cs="Times New Roman"/>
          <w:color w:val="auto"/>
          <w:sz w:val="32"/>
          <w:szCs w:val="32"/>
          <w:highlight w:val="none"/>
          <w:lang w:eastAsia="zh-CN"/>
        </w:rPr>
        <w:t>：</w:t>
      </w:r>
    </w:p>
    <w:p w14:paraId="5DFE871E">
      <w:pPr>
        <w:shd w:val="clear"/>
        <w:spacing w:line="600" w:lineRule="exact"/>
        <w:ind w:firstLine="640" w:firstLineChars="200"/>
        <w:outlineLvl w:val="0"/>
        <w:rPr>
          <w:rFonts w:hint="eastAsia"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：观看群众满意度（%）指标值：&gt;=95%</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实际完成值：=95%，指标完成率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w:t>
      </w:r>
    </w:p>
    <w:p w14:paraId="5A92CE14">
      <w:pPr>
        <w:spacing w:line="560" w:lineRule="exact"/>
        <w:ind w:firstLine="643" w:firstLineChars="200"/>
        <w:rPr>
          <w:rFonts w:hint="default" w:ascii="Times New Roman" w:hAnsi="Times New Roman" w:eastAsia="楷体_GB2312" w:cs="Times New Roman"/>
          <w:b/>
          <w:bCs/>
          <w:color w:val="auto"/>
          <w:sz w:val="32"/>
          <w:szCs w:val="32"/>
          <w:highlight w:val="none"/>
          <w:lang w:val="en-US" w:eastAsia="zh-Hans"/>
        </w:rPr>
      </w:pPr>
      <w:r>
        <w:rPr>
          <w:rFonts w:hint="default" w:ascii="Times New Roman" w:hAnsi="Times New Roman" w:eastAsia="楷体_GB2312" w:cs="Times New Roman"/>
          <w:b/>
          <w:bCs/>
          <w:color w:val="auto"/>
          <w:sz w:val="32"/>
          <w:szCs w:val="32"/>
          <w:highlight w:val="none"/>
          <w:lang w:val="en-US" w:eastAsia="zh-CN"/>
        </w:rPr>
        <w:t>（五）</w:t>
      </w:r>
      <w:r>
        <w:rPr>
          <w:rFonts w:hint="default" w:ascii="Times New Roman" w:hAnsi="Times New Roman" w:eastAsia="楷体_GB2312" w:cs="Times New Roman"/>
          <w:b/>
          <w:bCs/>
          <w:color w:val="auto"/>
          <w:sz w:val="32"/>
          <w:szCs w:val="32"/>
          <w:highlight w:val="none"/>
          <w:lang w:val="en-US" w:eastAsia="zh-Hans"/>
        </w:rPr>
        <w:t>预算执行进度与绩效指标总体完成率偏差</w:t>
      </w:r>
    </w:p>
    <w:p w14:paraId="7CF4176F">
      <w:pPr>
        <w:pStyle w:val="19"/>
        <w:spacing w:line="560" w:lineRule="exact"/>
        <w:ind w:firstLine="640"/>
        <w:rPr>
          <w:rFonts w:hint="eastAsia" w:ascii="Times New Roman" w:hAnsi="Times New Roman" w:eastAsia="宋体" w:cs="Times New Roman"/>
          <w:color w:val="auto"/>
          <w:sz w:val="32"/>
          <w:szCs w:val="32"/>
          <w:highlight w:val="none"/>
          <w:lang w:eastAsia="zh-CN"/>
        </w:rPr>
      </w:pPr>
      <w:r>
        <w:rPr>
          <w:rFonts w:hint="eastAsia" w:ascii="Times New Roman" w:hAnsi="Times New Roman" w:eastAsia="仿宋_GB2312" w:cs="Times New Roman"/>
          <w:color w:val="auto"/>
          <w:kern w:val="2"/>
          <w:sz w:val="32"/>
          <w:szCs w:val="32"/>
          <w:highlight w:val="none"/>
          <w:lang w:val="en-US" w:eastAsia="zh-CN" w:bidi="ar-SA"/>
        </w:rPr>
        <w:t>关于五马场乡文化活动经费，中央政法纪检检查经费，“三影重叠”技术服务费，拨付五马场乡经费</w:t>
      </w:r>
      <w:r>
        <w:rPr>
          <w:rFonts w:hint="default" w:ascii="Times New Roman" w:hAnsi="Times New Roman" w:eastAsia="方正仿宋_GBK" w:cs="Times New Roman"/>
          <w:color w:val="auto"/>
          <w:sz w:val="32"/>
          <w:szCs w:val="32"/>
          <w:highlight w:val="none"/>
        </w:rPr>
        <w:t>项目年初预算</w:t>
      </w:r>
      <w:r>
        <w:rPr>
          <w:rFonts w:hint="eastAsia" w:eastAsia="方正仿宋_GBK" w:cs="Times New Roman"/>
          <w:color w:val="auto"/>
          <w:sz w:val="32"/>
          <w:szCs w:val="32"/>
          <w:highlight w:val="none"/>
          <w:lang w:val="en-US" w:eastAsia="zh-CN"/>
        </w:rPr>
        <w:t>73.49</w:t>
      </w:r>
      <w:r>
        <w:rPr>
          <w:rFonts w:hint="default" w:ascii="Times New Roman" w:hAnsi="Times New Roman" w:eastAsia="方正仿宋_GBK" w:cs="Times New Roman"/>
          <w:color w:val="auto"/>
          <w:sz w:val="32"/>
          <w:szCs w:val="32"/>
          <w:highlight w:val="none"/>
        </w:rPr>
        <w:t>万元，全年预算</w:t>
      </w:r>
      <w:r>
        <w:rPr>
          <w:rFonts w:hint="eastAsia" w:eastAsia="方正仿宋_GBK" w:cs="Times New Roman"/>
          <w:color w:val="auto"/>
          <w:sz w:val="32"/>
          <w:szCs w:val="32"/>
          <w:highlight w:val="none"/>
          <w:lang w:val="en-US" w:eastAsia="zh-CN"/>
        </w:rPr>
        <w:t>73.49</w:t>
      </w:r>
      <w:r>
        <w:rPr>
          <w:rFonts w:hint="default" w:ascii="Times New Roman" w:hAnsi="Times New Roman" w:eastAsia="方正仿宋_GBK" w:cs="Times New Roman"/>
          <w:color w:val="auto"/>
          <w:sz w:val="32"/>
          <w:szCs w:val="32"/>
          <w:highlight w:val="none"/>
        </w:rPr>
        <w:t>万元，实际支出</w:t>
      </w:r>
      <w:r>
        <w:rPr>
          <w:rFonts w:hint="eastAsia" w:eastAsia="方正仿宋_GBK" w:cs="Times New Roman"/>
          <w:color w:val="auto"/>
          <w:sz w:val="32"/>
          <w:szCs w:val="32"/>
          <w:highlight w:val="none"/>
          <w:lang w:val="en-US" w:eastAsia="zh-CN"/>
        </w:rPr>
        <w:t>73.49</w:t>
      </w:r>
      <w:r>
        <w:rPr>
          <w:rFonts w:hint="default" w:ascii="Times New Roman" w:hAnsi="Times New Roman" w:eastAsia="方正仿宋_GBK" w:cs="Times New Roman"/>
          <w:color w:val="auto"/>
          <w:sz w:val="32"/>
          <w:szCs w:val="32"/>
          <w:highlight w:val="none"/>
        </w:rPr>
        <w:t>万元，预算执行率为</w:t>
      </w:r>
      <w:r>
        <w:rPr>
          <w:rFonts w:hint="eastAsia" w:eastAsia="方正仿宋_GBK" w:cs="Times New Roman"/>
          <w:color w:val="auto"/>
          <w:sz w:val="32"/>
          <w:szCs w:val="32"/>
          <w:highlight w:val="none"/>
          <w:lang w:val="en-US" w:eastAsia="zh-CN"/>
        </w:rPr>
        <w:t>100</w:t>
      </w:r>
      <w:r>
        <w:rPr>
          <w:rFonts w:hint="default" w:ascii="Times New Roman" w:hAnsi="Times New Roman" w:eastAsia="方正仿宋_GBK" w:cs="Times New Roman"/>
          <w:color w:val="auto"/>
          <w:sz w:val="32"/>
          <w:szCs w:val="32"/>
          <w:highlight w:val="none"/>
        </w:rPr>
        <w:t>%，项目绩效指标总体完成率为</w:t>
      </w:r>
      <w:r>
        <w:rPr>
          <w:rFonts w:hint="eastAsia" w:eastAsia="方正仿宋_GBK" w:cs="Times New Roman"/>
          <w:color w:val="auto"/>
          <w:sz w:val="32"/>
          <w:szCs w:val="32"/>
          <w:highlight w:val="none"/>
          <w:lang w:val="en-US" w:eastAsia="zh-CN"/>
        </w:rPr>
        <w:t>100</w:t>
      </w:r>
      <w:r>
        <w:rPr>
          <w:rFonts w:hint="default" w:ascii="Times New Roman" w:hAnsi="Times New Roman" w:eastAsia="方正仿宋_GBK" w:cs="Times New Roman"/>
          <w:color w:val="auto"/>
          <w:sz w:val="32"/>
          <w:szCs w:val="32"/>
          <w:highlight w:val="none"/>
        </w:rPr>
        <w:t>%</w:t>
      </w:r>
      <w:r>
        <w:rPr>
          <w:rFonts w:hint="eastAsia" w:cs="Times New Roman"/>
          <w:color w:val="auto"/>
          <w:highlight w:val="none"/>
          <w:lang w:eastAsia="zh-CN"/>
        </w:rPr>
        <w:t>。</w:t>
      </w:r>
    </w:p>
    <w:p w14:paraId="69A3D46E">
      <w:pPr>
        <w:spacing w:line="560" w:lineRule="exact"/>
        <w:ind w:firstLine="640" w:firstLineChars="200"/>
        <w:rPr>
          <w:rStyle w:val="18"/>
          <w:rFonts w:hint="default" w:ascii="Times New Roman" w:hAnsi="Times New Roman" w:cs="Times New Roman"/>
          <w:color w:val="auto"/>
          <w:highlight w:val="none"/>
        </w:rPr>
      </w:pPr>
      <w:r>
        <w:rPr>
          <w:rFonts w:hint="eastAsia" w:eastAsia="黑体" w:cs="Times New Roman"/>
          <w:color w:val="auto"/>
          <w:sz w:val="32"/>
          <w:szCs w:val="32"/>
          <w:highlight w:val="none"/>
          <w:lang w:val="en-US" w:eastAsia="zh-CN"/>
        </w:rPr>
        <w:t>五、</w:t>
      </w:r>
      <w:r>
        <w:rPr>
          <w:rFonts w:hint="default" w:ascii="Times New Roman" w:hAnsi="Times New Roman" w:eastAsia="黑体" w:cs="Times New Roman"/>
          <w:color w:val="auto"/>
          <w:sz w:val="32"/>
          <w:szCs w:val="32"/>
          <w:highlight w:val="none"/>
        </w:rPr>
        <w:t>主要经验及做法、存在的问题及原因分析</w:t>
      </w:r>
    </w:p>
    <w:p w14:paraId="06EE1FFB">
      <w:pPr>
        <w:spacing w:line="560" w:lineRule="exact"/>
        <w:ind w:firstLine="627" w:firstLineChars="200"/>
        <w:rPr>
          <w:rFonts w:hint="default" w:ascii="Times New Roman" w:hAnsi="Times New Roman" w:eastAsia="楷体" w:cs="Times New Roman"/>
          <w:b/>
          <w:color w:val="auto"/>
          <w:spacing w:val="-4"/>
          <w:sz w:val="32"/>
          <w:szCs w:val="32"/>
          <w:highlight w:val="none"/>
        </w:rPr>
      </w:pPr>
      <w:r>
        <w:rPr>
          <w:rFonts w:hint="default" w:ascii="Times New Roman" w:hAnsi="Times New Roman" w:eastAsia="楷体" w:cs="Times New Roman"/>
          <w:b/>
          <w:color w:val="auto"/>
          <w:spacing w:val="-4"/>
          <w:sz w:val="32"/>
          <w:szCs w:val="32"/>
          <w:highlight w:val="none"/>
        </w:rPr>
        <w:t>（一）主要经验及做法</w:t>
      </w:r>
    </w:p>
    <w:p w14:paraId="6E941E12">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13DBCA7B">
      <w:pPr>
        <w:pStyle w:val="10"/>
        <w:spacing w:before="0" w:after="0" w:line="560" w:lineRule="exact"/>
        <w:ind w:firstLine="640" w:firstLineChars="200"/>
        <w:jc w:val="left"/>
        <w:rPr>
          <w:rFonts w:hint="default" w:ascii="Times New Roman" w:hAnsi="Times New Roman" w:eastAsia="仿宋_GB2312" w:cs="Times New Roman"/>
          <w:b w:val="0"/>
          <w:bCs w:val="0"/>
          <w:color w:val="auto"/>
          <w:kern w:val="2"/>
          <w:highlight w:val="none"/>
        </w:rPr>
      </w:pPr>
      <w:r>
        <w:rPr>
          <w:rFonts w:hint="default" w:ascii="Times New Roman" w:hAnsi="Times New Roman" w:eastAsia="仿宋_GB2312" w:cs="Times New Roman"/>
          <w:b w:val="0"/>
          <w:bCs w:val="0"/>
          <w:color w:val="auto"/>
          <w:kern w:val="2"/>
          <w:highlight w:val="none"/>
        </w:rPr>
        <w:t>严格坚持先做事、后验收、再拨付的原则，</w:t>
      </w:r>
      <w:r>
        <w:rPr>
          <w:rFonts w:hint="eastAsia" w:ascii="Times New Roman" w:hAnsi="Times New Roman" w:eastAsia="仿宋_GB2312" w:cs="Times New Roman"/>
          <w:b w:val="0"/>
          <w:bCs w:val="0"/>
          <w:color w:val="auto"/>
          <w:kern w:val="2"/>
          <w:highlight w:val="none"/>
          <w:lang w:eastAsia="zh-CN"/>
        </w:rPr>
        <w:t>杜绝</w:t>
      </w:r>
      <w:r>
        <w:rPr>
          <w:rFonts w:hint="default" w:ascii="Times New Roman" w:hAnsi="Times New Roman" w:eastAsia="仿宋_GB2312" w:cs="Times New Roman"/>
          <w:b w:val="0"/>
          <w:bCs w:val="0"/>
          <w:color w:val="auto"/>
          <w:kern w:val="2"/>
          <w:highlight w:val="none"/>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5165BC22">
      <w:pPr>
        <w:keepNext/>
        <w:keepLines/>
        <w:numPr>
          <w:ilvl w:val="0"/>
          <w:numId w:val="5"/>
        </w:num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存在的问题及原因分析</w:t>
      </w:r>
    </w:p>
    <w:p w14:paraId="73ACE786">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3B27109C">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2.因轮岗、调动</w:t>
      </w:r>
      <w:r>
        <w:rPr>
          <w:rFonts w:hint="eastAsia" w:ascii="Times New Roman" w:hAnsi="Times New Roman" w:eastAsia="仿宋_GB2312" w:cs="Times New Roman"/>
          <w:color w:val="auto"/>
          <w:sz w:val="32"/>
          <w:szCs w:val="32"/>
          <w:highlight w:val="none"/>
          <w:lang w:val="en-US" w:eastAsia="zh-CN"/>
        </w:rPr>
        <w:t>等</w:t>
      </w:r>
      <w:r>
        <w:rPr>
          <w:rFonts w:hint="default" w:ascii="Times New Roman" w:hAnsi="Times New Roman" w:eastAsia="仿宋_GB2312" w:cs="Times New Roman"/>
          <w:color w:val="auto"/>
          <w:sz w:val="32"/>
          <w:szCs w:val="32"/>
          <w:highlight w:val="none"/>
          <w:lang w:val="en-US" w:eastAsia="zh-CN"/>
        </w:rPr>
        <w:t>因素使我单位绩效工作人员流动频繁，</w:t>
      </w:r>
      <w:r>
        <w:rPr>
          <w:rFonts w:hint="eastAsia" w:ascii="Times New Roman" w:hAnsi="Times New Roman" w:eastAsia="仿宋_GB2312" w:cs="Times New Roman"/>
          <w:color w:val="auto"/>
          <w:sz w:val="32"/>
          <w:szCs w:val="32"/>
          <w:highlight w:val="none"/>
          <w:lang w:val="en-US" w:eastAsia="zh-CN"/>
        </w:rPr>
        <w:t>造成</w:t>
      </w:r>
      <w:r>
        <w:rPr>
          <w:rFonts w:hint="default" w:ascii="Times New Roman" w:hAnsi="Times New Roman" w:eastAsia="仿宋_GB2312" w:cs="Times New Roman"/>
          <w:color w:val="auto"/>
          <w:sz w:val="32"/>
          <w:szCs w:val="32"/>
          <w:highlight w:val="none"/>
          <w:lang w:val="en-US" w:eastAsia="zh-CN"/>
        </w:rPr>
        <w:t>工作衔接不到位的情况。</w:t>
      </w:r>
    </w:p>
    <w:p w14:paraId="027BE950">
      <w:pPr>
        <w:spacing w:line="560" w:lineRule="exact"/>
        <w:ind w:firstLine="640" w:firstLineChars="200"/>
        <w:rPr>
          <w:rFonts w:hint="default" w:ascii="Times New Roman" w:hAnsi="Times New Roman" w:eastAsia="黑体" w:cs="Times New Roman"/>
          <w:color w:val="auto"/>
          <w:sz w:val="32"/>
          <w:szCs w:val="32"/>
          <w:highlight w:val="none"/>
        </w:rPr>
      </w:pPr>
      <w:r>
        <w:rPr>
          <w:rFonts w:hint="eastAsia" w:eastAsia="黑体" w:cs="Times New Roman"/>
          <w:color w:val="auto"/>
          <w:sz w:val="32"/>
          <w:szCs w:val="32"/>
          <w:highlight w:val="none"/>
          <w:lang w:val="en-US" w:eastAsia="zh-CN"/>
        </w:rPr>
        <w:t>六、</w:t>
      </w:r>
      <w:r>
        <w:rPr>
          <w:rFonts w:hint="default" w:ascii="Times New Roman" w:hAnsi="Times New Roman" w:eastAsia="黑体" w:cs="Times New Roman"/>
          <w:color w:val="auto"/>
          <w:sz w:val="32"/>
          <w:szCs w:val="32"/>
          <w:highlight w:val="none"/>
        </w:rPr>
        <w:t>有关建议</w:t>
      </w:r>
    </w:p>
    <w:p w14:paraId="3EB2CE3C">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1.多进行有关绩效管理工作方面的培训。积极组织第三方开展绩效管理工作培训，进一步夯实业务基础，提高我单位绩效人员水平。</w:t>
      </w:r>
    </w:p>
    <w:p w14:paraId="32005D75">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2.专门设定对绩效工作人员定职、定岗、定责等相关制度措施，进一步提升我单位绩效管理工作业务水平，扎实做好绩效管理工作。</w:t>
      </w:r>
    </w:p>
    <w:p w14:paraId="66FC839D">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4C1B6FE4">
      <w:pPr>
        <w:shd w:val="clear"/>
        <w:spacing w:line="600" w:lineRule="exact"/>
        <w:ind w:firstLine="640" w:firstLineChars="200"/>
        <w:outlineLvl w:val="0"/>
        <w:rPr>
          <w:rFonts w:hint="default" w:ascii="Times New Roman" w:hAnsi="Times New Roman" w:cs="Times New Roman"/>
          <w:color w:val="auto"/>
          <w:sz w:val="22"/>
          <w:szCs w:val="28"/>
          <w:highlight w:val="none"/>
        </w:rPr>
      </w:pPr>
      <w:r>
        <w:rPr>
          <w:rFonts w:hint="default" w:ascii="Times New Roman" w:hAnsi="Times New Roman" w:eastAsia="仿宋_GB2312" w:cs="Times New Roman"/>
          <w:color w:val="auto"/>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color w:val="auto"/>
          <w:sz w:val="36"/>
          <w:szCs w:val="32"/>
          <w:highlight w:val="none"/>
        </w:rPr>
        <w:t>。</w:t>
      </w:r>
    </w:p>
    <w:p w14:paraId="295B5D80">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0423D235">
      <w:pPr>
        <w:spacing w:line="560" w:lineRule="exact"/>
        <w:ind w:firstLine="640" w:firstLineChars="200"/>
        <w:rPr>
          <w:rFonts w:hint="default" w:ascii="Times New Roman" w:hAnsi="Times New Roman" w:eastAsia="黑体" w:cs="Times New Roman"/>
          <w:color w:val="auto"/>
          <w:sz w:val="32"/>
          <w:szCs w:val="32"/>
          <w:highlight w:val="none"/>
        </w:rPr>
      </w:pPr>
      <w:r>
        <w:rPr>
          <w:rFonts w:hint="eastAsia" w:eastAsia="黑体" w:cs="Times New Roman"/>
          <w:color w:val="auto"/>
          <w:sz w:val="32"/>
          <w:szCs w:val="32"/>
          <w:highlight w:val="none"/>
          <w:lang w:val="en-US" w:eastAsia="zh-CN"/>
        </w:rPr>
        <w:t>七、</w:t>
      </w:r>
      <w:r>
        <w:rPr>
          <w:rFonts w:hint="default" w:ascii="Times New Roman" w:hAnsi="Times New Roman" w:eastAsia="黑体" w:cs="Times New Roman"/>
          <w:color w:val="auto"/>
          <w:sz w:val="32"/>
          <w:szCs w:val="32"/>
          <w:highlight w:val="none"/>
        </w:rPr>
        <w:t>其他需要说</w:t>
      </w:r>
      <w:bookmarkStart w:id="0" w:name="page8"/>
      <w:bookmarkEnd w:id="0"/>
      <w:r>
        <w:rPr>
          <w:rFonts w:hint="default" w:ascii="Times New Roman" w:hAnsi="Times New Roman" w:eastAsia="黑体" w:cs="Times New Roman"/>
          <w:color w:val="auto"/>
          <w:sz w:val="32"/>
          <w:szCs w:val="32"/>
          <w:highlight w:val="none"/>
        </w:rPr>
        <w:t>明的问题</w:t>
      </w:r>
    </w:p>
    <w:p w14:paraId="1DC71808">
      <w:pPr>
        <w:pStyle w:val="13"/>
        <w:spacing w:after="0" w:line="560" w:lineRule="exact"/>
        <w:ind w:left="0" w:leftChars="0" w:firstLine="64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Hans"/>
        </w:rPr>
        <w:t>本项目无其他需说明的问题。</w:t>
      </w:r>
    </w:p>
    <w:p w14:paraId="71A74FB9">
      <w:pPr>
        <w:pStyle w:val="13"/>
        <w:spacing w:after="0" w:line="560" w:lineRule="exact"/>
        <w:ind w:left="0" w:leftChars="0" w:firstLine="640"/>
        <w:rPr>
          <w:rFonts w:hint="default" w:ascii="Times New Roman" w:hAnsi="Times New Roman" w:eastAsia="仿宋_GB2312" w:cs="Times New Roman"/>
          <w:color w:val="auto"/>
          <w:sz w:val="32"/>
          <w:szCs w:val="32"/>
          <w:highlight w:val="none"/>
        </w:rPr>
      </w:pPr>
    </w:p>
    <w:p w14:paraId="2DE26C5C">
      <w:pPr>
        <w:pStyle w:val="13"/>
        <w:spacing w:after="0" w:line="560" w:lineRule="exact"/>
        <w:ind w:left="0" w:leftChars="0" w:firstLine="0" w:firstLineChars="0"/>
        <w:rPr>
          <w:rFonts w:hint="default" w:ascii="Times New Roman" w:hAnsi="Times New Roman" w:eastAsia="仿宋_GB2312" w:cs="Times New Roman"/>
          <w:color w:val="auto"/>
          <w:sz w:val="32"/>
          <w:szCs w:val="32"/>
          <w:highlight w:val="none"/>
        </w:rPr>
      </w:pPr>
    </w:p>
    <w:p w14:paraId="62DFDF90">
      <w:pPr>
        <w:spacing w:line="600" w:lineRule="exact"/>
        <w:rPr>
          <w:rFonts w:hint="eastAsia" w:ascii="Times New Roman" w:hAnsi="Times New Roman" w:eastAsia="黑体" w:cs="Times New Roman"/>
          <w:color w:val="auto"/>
          <w:sz w:val="32"/>
          <w:szCs w:val="32"/>
          <w:highlight w:val="none"/>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bookmarkStart w:id="3" w:name="_GoBack"/>
      <w:bookmarkEnd w:id="3"/>
    </w:p>
    <w:p w14:paraId="14FACB6B">
      <w:pPr>
        <w:spacing w:line="600" w:lineRule="exact"/>
        <w:rPr>
          <w:rFonts w:hint="eastAsia"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附件</w:t>
      </w:r>
      <w:r>
        <w:rPr>
          <w:rFonts w:hint="eastAsia" w:eastAsia="黑体" w:cs="Times New Roman"/>
          <w:color w:val="auto"/>
          <w:sz w:val="32"/>
          <w:szCs w:val="32"/>
          <w:highlight w:val="none"/>
          <w:lang w:val="en-US" w:eastAsia="zh-CN"/>
        </w:rPr>
        <w:t>1</w:t>
      </w:r>
    </w:p>
    <w:p w14:paraId="2035A2D2">
      <w:pPr>
        <w:pStyle w:val="19"/>
        <w:ind w:firstLine="562"/>
        <w:jc w:val="center"/>
        <w:rPr>
          <w:rFonts w:hint="eastAsia" w:ascii="仿宋_GB2312" w:hAnsi="仿宋_GB2312" w:eastAsia="仿宋_GB2312" w:cs="仿宋_GB2312"/>
          <w:b/>
          <w:bCs/>
          <w:color w:val="auto"/>
          <w:sz w:val="28"/>
          <w:szCs w:val="40"/>
          <w:highlight w:val="none"/>
        </w:rPr>
      </w:pPr>
      <w:bookmarkStart w:id="1" w:name="_Toc26499_WPSOffice_Level2"/>
      <w:bookmarkStart w:id="2" w:name="_Toc30064_WPSOffice_Level1"/>
      <w:r>
        <w:rPr>
          <w:rFonts w:hint="eastAsia" w:ascii="仿宋_GB2312" w:hAnsi="仿宋_GB2312" w:eastAsia="仿宋_GB2312" w:cs="仿宋_GB2312"/>
          <w:b/>
          <w:bCs/>
          <w:color w:val="auto"/>
          <w:sz w:val="28"/>
          <w:szCs w:val="40"/>
          <w:highlight w:val="none"/>
          <w:lang w:val="en-US" w:eastAsia="zh-CN"/>
        </w:rPr>
        <w:t>关于五马场乡文化活动经费，中央政法纪检检查经费，“三影重叠”技术服务费，拨付五马场乡经费</w:t>
      </w:r>
      <w:r>
        <w:rPr>
          <w:rFonts w:hint="eastAsia" w:ascii="仿宋_GB2312" w:hAnsi="仿宋_GB2312" w:eastAsia="仿宋_GB2312" w:cs="仿宋_GB2312"/>
          <w:b/>
          <w:bCs/>
          <w:color w:val="auto"/>
          <w:sz w:val="28"/>
          <w:szCs w:val="40"/>
          <w:highlight w:val="none"/>
        </w:rPr>
        <w:t>项目绩效评价指标体系及综合评分表</w:t>
      </w:r>
      <w:bookmarkEnd w:id="1"/>
      <w:bookmarkEnd w:id="2"/>
    </w:p>
    <w:tbl>
      <w:tblPr>
        <w:tblStyle w:val="14"/>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65"/>
      </w:tblGrid>
      <w:tr w14:paraId="3603CE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14:paraId="5DE4ABC0">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一级指标</w:t>
            </w:r>
          </w:p>
        </w:tc>
        <w:tc>
          <w:tcPr>
            <w:tcW w:w="1000" w:type="dxa"/>
            <w:shd w:val="clear" w:color="auto" w:fill="FFFFFF"/>
            <w:vAlign w:val="center"/>
          </w:tcPr>
          <w:p w14:paraId="1386806D">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二级指标</w:t>
            </w:r>
          </w:p>
        </w:tc>
        <w:tc>
          <w:tcPr>
            <w:tcW w:w="1071" w:type="dxa"/>
            <w:shd w:val="clear" w:color="auto" w:fill="FFFFFF"/>
            <w:vAlign w:val="center"/>
          </w:tcPr>
          <w:p w14:paraId="0589D9B0">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三级指标</w:t>
            </w:r>
          </w:p>
        </w:tc>
        <w:tc>
          <w:tcPr>
            <w:tcW w:w="1725" w:type="dxa"/>
            <w:shd w:val="clear" w:color="auto" w:fill="FFFFFF"/>
            <w:vAlign w:val="center"/>
          </w:tcPr>
          <w:p w14:paraId="093EA46F">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指标解释</w:t>
            </w:r>
          </w:p>
        </w:tc>
        <w:tc>
          <w:tcPr>
            <w:tcW w:w="5216" w:type="dxa"/>
            <w:shd w:val="clear" w:color="auto" w:fill="FFFFFF"/>
            <w:vAlign w:val="center"/>
          </w:tcPr>
          <w:p w14:paraId="6C03CBA1">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指标说明</w:t>
            </w:r>
          </w:p>
        </w:tc>
        <w:tc>
          <w:tcPr>
            <w:tcW w:w="1304" w:type="dxa"/>
            <w:gridSpan w:val="2"/>
            <w:shd w:val="clear" w:color="auto" w:fill="FFFFFF"/>
            <w:vAlign w:val="center"/>
          </w:tcPr>
          <w:p w14:paraId="0610520A">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权重</w:t>
            </w:r>
          </w:p>
        </w:tc>
        <w:tc>
          <w:tcPr>
            <w:tcW w:w="1365" w:type="dxa"/>
            <w:shd w:val="clear" w:color="auto" w:fill="FFFFFF"/>
            <w:vAlign w:val="center"/>
          </w:tcPr>
          <w:p w14:paraId="3BB975D1">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得分</w:t>
            </w:r>
          </w:p>
        </w:tc>
      </w:tr>
      <w:tr w14:paraId="495CC9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14:paraId="469601DB">
            <w:pPr>
              <w:widowControl/>
              <w:spacing w:line="0" w:lineRule="atLeast"/>
              <w:jc w:val="center"/>
              <w:rPr>
                <w:rFonts w:hint="default" w:ascii="Times New Roman" w:hAnsi="Times New Roman" w:eastAsia="仿宋_GB2312" w:cs="Times New Roman"/>
                <w:color w:val="auto"/>
                <w:kern w:val="0"/>
                <w:sz w:val="18"/>
                <w:szCs w:val="18"/>
                <w:highlight w:val="none"/>
              </w:rPr>
            </w:pPr>
          </w:p>
          <w:p w14:paraId="5BB2C066">
            <w:pPr>
              <w:widowControl/>
              <w:spacing w:line="0" w:lineRule="atLeast"/>
              <w:jc w:val="center"/>
              <w:rPr>
                <w:rFonts w:hint="default" w:ascii="Times New Roman" w:hAnsi="Times New Roman" w:eastAsia="仿宋_GB2312" w:cs="Times New Roman"/>
                <w:color w:val="auto"/>
                <w:kern w:val="0"/>
                <w:sz w:val="18"/>
                <w:szCs w:val="18"/>
                <w:highlight w:val="none"/>
              </w:rPr>
            </w:pPr>
          </w:p>
          <w:p w14:paraId="32EDD2C1">
            <w:pPr>
              <w:widowControl/>
              <w:spacing w:line="0" w:lineRule="atLeast"/>
              <w:jc w:val="center"/>
              <w:rPr>
                <w:rFonts w:hint="default" w:ascii="Times New Roman" w:hAnsi="Times New Roman" w:eastAsia="仿宋_GB2312" w:cs="Times New Roman"/>
                <w:color w:val="auto"/>
                <w:kern w:val="0"/>
                <w:sz w:val="18"/>
                <w:szCs w:val="18"/>
                <w:highlight w:val="none"/>
              </w:rPr>
            </w:pPr>
          </w:p>
          <w:p w14:paraId="680412FE">
            <w:pPr>
              <w:widowControl/>
              <w:spacing w:line="0" w:lineRule="atLeast"/>
              <w:jc w:val="center"/>
              <w:rPr>
                <w:rFonts w:hint="default" w:ascii="Times New Roman" w:hAnsi="Times New Roman" w:eastAsia="仿宋_GB2312" w:cs="Times New Roman"/>
                <w:color w:val="auto"/>
                <w:kern w:val="0"/>
                <w:sz w:val="18"/>
                <w:szCs w:val="18"/>
                <w:highlight w:val="none"/>
              </w:rPr>
            </w:pPr>
          </w:p>
          <w:p w14:paraId="6AFC3331">
            <w:pPr>
              <w:widowControl/>
              <w:spacing w:line="0" w:lineRule="atLeast"/>
              <w:jc w:val="center"/>
              <w:rPr>
                <w:rFonts w:hint="default" w:ascii="Times New Roman" w:hAnsi="Times New Roman" w:eastAsia="仿宋_GB2312" w:cs="Times New Roman"/>
                <w:color w:val="auto"/>
                <w:kern w:val="0"/>
                <w:sz w:val="18"/>
                <w:szCs w:val="18"/>
                <w:highlight w:val="none"/>
              </w:rPr>
            </w:pPr>
          </w:p>
          <w:p w14:paraId="3D8991E9">
            <w:pPr>
              <w:widowControl/>
              <w:spacing w:line="0" w:lineRule="atLeast"/>
              <w:jc w:val="center"/>
              <w:rPr>
                <w:rFonts w:hint="default" w:ascii="Times New Roman" w:hAnsi="Times New Roman" w:eastAsia="仿宋_GB2312" w:cs="Times New Roman"/>
                <w:color w:val="auto"/>
                <w:kern w:val="0"/>
                <w:sz w:val="18"/>
                <w:szCs w:val="18"/>
                <w:highlight w:val="none"/>
              </w:rPr>
            </w:pPr>
          </w:p>
          <w:p w14:paraId="248DD64D">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决策　</w:t>
            </w:r>
          </w:p>
        </w:tc>
        <w:tc>
          <w:tcPr>
            <w:tcW w:w="1000" w:type="dxa"/>
            <w:vMerge w:val="restart"/>
            <w:shd w:val="clear" w:color="auto" w:fill="FFFFFF"/>
            <w:vAlign w:val="center"/>
          </w:tcPr>
          <w:p w14:paraId="43F6AE67">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项目立项　</w:t>
            </w:r>
          </w:p>
        </w:tc>
        <w:tc>
          <w:tcPr>
            <w:tcW w:w="1071" w:type="dxa"/>
            <w:shd w:val="clear" w:color="auto" w:fill="FFFFFF"/>
            <w:vAlign w:val="center"/>
          </w:tcPr>
          <w:p w14:paraId="0B86F899">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立项依据</w:t>
            </w:r>
          </w:p>
          <w:p w14:paraId="493659A7">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充分性</w:t>
            </w:r>
          </w:p>
        </w:tc>
        <w:tc>
          <w:tcPr>
            <w:tcW w:w="1725" w:type="dxa"/>
            <w:shd w:val="clear" w:color="auto" w:fill="FFFFFF"/>
            <w:vAlign w:val="center"/>
          </w:tcPr>
          <w:p w14:paraId="1C32AC32">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项目立项是否符合法律法规、相关政策、发展规划以及部门职责，用以反映和考核项目立项依据情况。</w:t>
            </w:r>
          </w:p>
        </w:tc>
        <w:tc>
          <w:tcPr>
            <w:tcW w:w="5216" w:type="dxa"/>
            <w:shd w:val="clear" w:color="auto" w:fill="FFFFFF"/>
            <w:vAlign w:val="center"/>
          </w:tcPr>
          <w:p w14:paraId="4665E4A8">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②项目立项是否符合行业发展规划和政策要求；</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③项目立项是否与部门职责范围相符，属于部门履职所需；</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⑤项目是否与相关部门同类项目或部门内部相关项目重复。</w:t>
            </w:r>
          </w:p>
        </w:tc>
        <w:tc>
          <w:tcPr>
            <w:tcW w:w="1304" w:type="dxa"/>
            <w:gridSpan w:val="2"/>
            <w:shd w:val="clear" w:color="auto" w:fill="FFFFFF"/>
            <w:vAlign w:val="center"/>
          </w:tcPr>
          <w:p w14:paraId="618BF33D">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1365" w:type="dxa"/>
            <w:shd w:val="clear" w:color="auto" w:fill="FFFFFF"/>
            <w:vAlign w:val="center"/>
          </w:tcPr>
          <w:p w14:paraId="3483890F">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14:paraId="4B5BD5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7B2A677D">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continue"/>
            <w:shd w:val="clear" w:color="auto" w:fill="FFFFFF"/>
            <w:vAlign w:val="center"/>
          </w:tcPr>
          <w:p w14:paraId="796ADE6E">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71" w:type="dxa"/>
            <w:shd w:val="clear" w:color="auto" w:fill="FFFFFF"/>
            <w:vAlign w:val="center"/>
          </w:tcPr>
          <w:p w14:paraId="361D44D5">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立项程序</w:t>
            </w:r>
          </w:p>
          <w:p w14:paraId="0E44B47F">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规范性</w:t>
            </w:r>
          </w:p>
        </w:tc>
        <w:tc>
          <w:tcPr>
            <w:tcW w:w="1725" w:type="dxa"/>
            <w:shd w:val="clear" w:color="auto" w:fill="FFFFFF"/>
            <w:vAlign w:val="center"/>
          </w:tcPr>
          <w:p w14:paraId="611E8CB5">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项目申请、设立过程是否符合相关要求，用以反映和考核项目立项的规范情况。</w:t>
            </w:r>
          </w:p>
        </w:tc>
        <w:tc>
          <w:tcPr>
            <w:tcW w:w="5216" w:type="dxa"/>
            <w:shd w:val="clear" w:color="auto" w:fill="FFFFFF"/>
            <w:vAlign w:val="center"/>
          </w:tcPr>
          <w:p w14:paraId="451C239A">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①项目是否按照规定的程序申请设立；</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②审批文件、材料是否符合相关要求；</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③事前是否已经过必要的可行性研究、专家论证、风险评估、绩效评估、集体决策。</w:t>
            </w:r>
          </w:p>
        </w:tc>
        <w:tc>
          <w:tcPr>
            <w:tcW w:w="1304" w:type="dxa"/>
            <w:gridSpan w:val="2"/>
            <w:shd w:val="clear" w:color="auto" w:fill="FFFFFF"/>
            <w:vAlign w:val="center"/>
          </w:tcPr>
          <w:p w14:paraId="743FB082">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1365" w:type="dxa"/>
            <w:shd w:val="clear" w:color="auto" w:fill="FFFFFF"/>
            <w:vAlign w:val="center"/>
          </w:tcPr>
          <w:p w14:paraId="0036BAEF">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14:paraId="1F2C3E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66962D8A">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restart"/>
            <w:shd w:val="clear" w:color="auto" w:fill="FFFFFF"/>
            <w:vAlign w:val="center"/>
          </w:tcPr>
          <w:p w14:paraId="17750DEE">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绩效目标　</w:t>
            </w:r>
          </w:p>
        </w:tc>
        <w:tc>
          <w:tcPr>
            <w:tcW w:w="1071" w:type="dxa"/>
            <w:shd w:val="clear" w:color="auto" w:fill="FFFFFF"/>
            <w:vAlign w:val="center"/>
          </w:tcPr>
          <w:p w14:paraId="2DC8C983">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绩效目标</w:t>
            </w:r>
          </w:p>
          <w:p w14:paraId="4444D747">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合理性</w:t>
            </w:r>
          </w:p>
        </w:tc>
        <w:tc>
          <w:tcPr>
            <w:tcW w:w="1725" w:type="dxa"/>
            <w:shd w:val="clear" w:color="000000" w:fill="FFFFFF"/>
            <w:vAlign w:val="center"/>
          </w:tcPr>
          <w:p w14:paraId="32BF1492">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项目所设定的绩效目标是否依据充分，是否符合客观实际，用以反映和考核项目绩效目标与项目实施的相符情况。</w:t>
            </w:r>
          </w:p>
        </w:tc>
        <w:tc>
          <w:tcPr>
            <w:tcW w:w="5216" w:type="dxa"/>
            <w:shd w:val="clear" w:color="000000" w:fill="FFFFFF"/>
            <w:vAlign w:val="center"/>
          </w:tcPr>
          <w:p w14:paraId="5F8897C4">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（如未设定预算绩效目标，也可考核其他工作任务目标）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①项目是否有绩效目标；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②项目绩效目标与实际工作内容是否具有相关性；</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③项目预期产出效益和效果是否符合正常的业绩水平；</w:t>
            </w:r>
          </w:p>
          <w:p w14:paraId="6F270C77">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④是否与预算确定的项目投资额或资金量相匹配。</w:t>
            </w:r>
          </w:p>
        </w:tc>
        <w:tc>
          <w:tcPr>
            <w:tcW w:w="1304" w:type="dxa"/>
            <w:gridSpan w:val="2"/>
            <w:shd w:val="clear" w:color="000000" w:fill="FFFFFF"/>
            <w:vAlign w:val="center"/>
          </w:tcPr>
          <w:p w14:paraId="3D0748A1">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1365" w:type="dxa"/>
            <w:shd w:val="clear" w:color="000000" w:fill="FFFFFF"/>
            <w:vAlign w:val="center"/>
          </w:tcPr>
          <w:p w14:paraId="05B3219F">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14:paraId="59F7C2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14:paraId="664B77B2">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continue"/>
            <w:shd w:val="clear" w:color="auto" w:fill="FFFFFF"/>
            <w:vAlign w:val="center"/>
          </w:tcPr>
          <w:p w14:paraId="2533AADB">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71" w:type="dxa"/>
            <w:shd w:val="clear" w:color="auto" w:fill="FFFFFF"/>
            <w:vAlign w:val="center"/>
          </w:tcPr>
          <w:p w14:paraId="69D2A2AA">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绩效指标</w:t>
            </w:r>
          </w:p>
          <w:p w14:paraId="7677516A">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明确性</w:t>
            </w:r>
          </w:p>
        </w:tc>
        <w:tc>
          <w:tcPr>
            <w:tcW w:w="1725" w:type="dxa"/>
            <w:shd w:val="clear" w:color="000000" w:fill="FFFFFF"/>
            <w:vAlign w:val="center"/>
          </w:tcPr>
          <w:p w14:paraId="07544C3B">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依据绩效目标设定的绩效指标是否清晰、细化、可衡量等，用以反映和考核项目绩效目标的明细化情况。</w:t>
            </w:r>
          </w:p>
        </w:tc>
        <w:tc>
          <w:tcPr>
            <w:tcW w:w="5216" w:type="dxa"/>
            <w:shd w:val="clear" w:color="000000" w:fill="FFFFFF"/>
            <w:vAlign w:val="center"/>
          </w:tcPr>
          <w:p w14:paraId="211417DD">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①是否将项目绩效目标细化分解为具体的绩效指标；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②是否通过清晰、可衡量的指标值予以体现；</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③是否与项目目标任务数或计划数相对应。</w:t>
            </w:r>
            <w:r>
              <w:rPr>
                <w:rFonts w:hint="default" w:ascii="Times New Roman" w:hAnsi="Times New Roman" w:eastAsia="仿宋_GB2312" w:cs="Times New Roman"/>
                <w:color w:val="auto"/>
                <w:kern w:val="0"/>
                <w:sz w:val="18"/>
                <w:szCs w:val="18"/>
                <w:highlight w:val="none"/>
              </w:rPr>
              <w:br w:type="textWrapping"/>
            </w:r>
          </w:p>
        </w:tc>
        <w:tc>
          <w:tcPr>
            <w:tcW w:w="1304" w:type="dxa"/>
            <w:gridSpan w:val="2"/>
            <w:shd w:val="clear" w:color="000000" w:fill="FFFFFF"/>
            <w:vAlign w:val="center"/>
          </w:tcPr>
          <w:p w14:paraId="084E2FC0">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1365" w:type="dxa"/>
            <w:shd w:val="clear" w:color="000000" w:fill="FFFFFF"/>
            <w:vAlign w:val="center"/>
          </w:tcPr>
          <w:p w14:paraId="3C3BD6F7">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14:paraId="27B42F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14:paraId="592BA990">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restart"/>
            <w:shd w:val="clear" w:color="auto" w:fill="FFFFFF"/>
            <w:vAlign w:val="center"/>
          </w:tcPr>
          <w:p w14:paraId="14F9F43A">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资金投入</w:t>
            </w:r>
          </w:p>
          <w:p w14:paraId="23A5AEB2">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1071" w:type="dxa"/>
            <w:shd w:val="clear" w:color="auto" w:fill="FFFFFF"/>
            <w:vAlign w:val="center"/>
          </w:tcPr>
          <w:p w14:paraId="6B29F55D">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预算编制</w:t>
            </w:r>
          </w:p>
          <w:p w14:paraId="5D2AF359">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科学性</w:t>
            </w:r>
          </w:p>
        </w:tc>
        <w:tc>
          <w:tcPr>
            <w:tcW w:w="1725" w:type="dxa"/>
            <w:shd w:val="clear" w:color="auto" w:fill="FFFFFF"/>
            <w:vAlign w:val="center"/>
          </w:tcPr>
          <w:p w14:paraId="23200340">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291087FA">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①预算编制是否经过科学论证；</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②预算内容与项目内容是否匹配；</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③预算额度测算依据是否充分，是否按照标准编制；</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④预算确定的项目投资额或资金量是否与工作任务相匹配。</w:t>
            </w:r>
          </w:p>
        </w:tc>
        <w:tc>
          <w:tcPr>
            <w:tcW w:w="1304" w:type="dxa"/>
            <w:gridSpan w:val="2"/>
            <w:shd w:val="clear" w:color="auto" w:fill="FFFFFF"/>
            <w:vAlign w:val="center"/>
          </w:tcPr>
          <w:p w14:paraId="14ABDC76">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1365" w:type="dxa"/>
            <w:shd w:val="clear" w:color="auto" w:fill="FFFFFF"/>
            <w:vAlign w:val="center"/>
          </w:tcPr>
          <w:p w14:paraId="6B24F13E">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7D24C5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14:paraId="4A9E6DE2">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continue"/>
            <w:shd w:val="clear" w:color="auto" w:fill="FFFFFF"/>
            <w:vAlign w:val="center"/>
          </w:tcPr>
          <w:p w14:paraId="10321067">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71" w:type="dxa"/>
            <w:shd w:val="clear" w:color="auto" w:fill="FFFFFF"/>
            <w:vAlign w:val="center"/>
          </w:tcPr>
          <w:p w14:paraId="2D3F2604">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资金分配</w:t>
            </w:r>
          </w:p>
          <w:p w14:paraId="0D8EF9E0">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合理性</w:t>
            </w:r>
          </w:p>
        </w:tc>
        <w:tc>
          <w:tcPr>
            <w:tcW w:w="1725" w:type="dxa"/>
            <w:shd w:val="clear" w:color="auto" w:fill="FFFFFF"/>
            <w:vAlign w:val="center"/>
          </w:tcPr>
          <w:p w14:paraId="6A2B5B14">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5DDADDCE">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①预算资金分配依据是否充分；</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②资金分配额度是否合理，与项目单位或地方实际是否相适应。</w:t>
            </w:r>
          </w:p>
        </w:tc>
        <w:tc>
          <w:tcPr>
            <w:tcW w:w="1304" w:type="dxa"/>
            <w:gridSpan w:val="2"/>
            <w:shd w:val="clear" w:color="auto" w:fill="FFFFFF"/>
            <w:vAlign w:val="center"/>
          </w:tcPr>
          <w:p w14:paraId="1313BE64">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1365" w:type="dxa"/>
            <w:shd w:val="clear" w:color="auto" w:fill="FFFFFF"/>
            <w:vAlign w:val="center"/>
          </w:tcPr>
          <w:p w14:paraId="4343AFFC">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6D962E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14:paraId="14D231D6">
            <w:pPr>
              <w:spacing w:line="0" w:lineRule="atLeast"/>
              <w:jc w:val="center"/>
              <w:rPr>
                <w:rFonts w:hint="default" w:ascii="Times New Roman" w:hAnsi="Times New Roman" w:eastAsia="仿宋_GB2312" w:cs="Times New Roman"/>
                <w:color w:val="auto"/>
                <w:kern w:val="0"/>
                <w:sz w:val="18"/>
                <w:szCs w:val="18"/>
                <w:highlight w:val="none"/>
              </w:rPr>
            </w:pPr>
          </w:p>
          <w:p w14:paraId="369C3B9C">
            <w:pPr>
              <w:spacing w:line="0" w:lineRule="atLeast"/>
              <w:jc w:val="center"/>
              <w:rPr>
                <w:rFonts w:hint="default" w:ascii="Times New Roman" w:hAnsi="Times New Roman" w:eastAsia="仿宋_GB2312" w:cs="Times New Roman"/>
                <w:color w:val="auto"/>
                <w:kern w:val="0"/>
                <w:sz w:val="18"/>
                <w:szCs w:val="18"/>
                <w:highlight w:val="none"/>
              </w:rPr>
            </w:pPr>
          </w:p>
          <w:p w14:paraId="7E3B7CDC">
            <w:pPr>
              <w:spacing w:line="0" w:lineRule="atLeast"/>
              <w:jc w:val="center"/>
              <w:rPr>
                <w:rFonts w:hint="default" w:ascii="Times New Roman" w:hAnsi="Times New Roman" w:eastAsia="仿宋_GB2312" w:cs="Times New Roman"/>
                <w:color w:val="auto"/>
                <w:kern w:val="0"/>
                <w:sz w:val="18"/>
                <w:szCs w:val="18"/>
                <w:highlight w:val="none"/>
              </w:rPr>
            </w:pPr>
          </w:p>
          <w:p w14:paraId="06AEAE5B">
            <w:pPr>
              <w:spacing w:line="0" w:lineRule="atLeast"/>
              <w:jc w:val="center"/>
              <w:rPr>
                <w:rFonts w:hint="default" w:ascii="Times New Roman" w:hAnsi="Times New Roman" w:eastAsia="仿宋_GB2312" w:cs="Times New Roman"/>
                <w:color w:val="auto"/>
                <w:kern w:val="0"/>
                <w:sz w:val="18"/>
                <w:szCs w:val="18"/>
                <w:highlight w:val="none"/>
              </w:rPr>
            </w:pPr>
          </w:p>
          <w:p w14:paraId="0F2E1E33">
            <w:pPr>
              <w:spacing w:line="0" w:lineRule="atLeast"/>
              <w:jc w:val="center"/>
              <w:rPr>
                <w:rFonts w:hint="default" w:ascii="Times New Roman" w:hAnsi="Times New Roman" w:eastAsia="仿宋_GB2312" w:cs="Times New Roman"/>
                <w:color w:val="auto"/>
                <w:kern w:val="0"/>
                <w:sz w:val="18"/>
                <w:szCs w:val="18"/>
                <w:highlight w:val="none"/>
              </w:rPr>
            </w:pPr>
          </w:p>
          <w:p w14:paraId="630D238F">
            <w:pPr>
              <w:spacing w:line="0" w:lineRule="atLeast"/>
              <w:jc w:val="center"/>
              <w:rPr>
                <w:rFonts w:hint="default" w:ascii="Times New Roman" w:hAnsi="Times New Roman" w:eastAsia="仿宋_GB2312" w:cs="Times New Roman"/>
                <w:color w:val="auto"/>
                <w:kern w:val="0"/>
                <w:sz w:val="18"/>
                <w:szCs w:val="18"/>
                <w:highlight w:val="none"/>
              </w:rPr>
            </w:pPr>
          </w:p>
          <w:p w14:paraId="622CC5E0">
            <w:pPr>
              <w:spacing w:line="0" w:lineRule="atLeast"/>
              <w:jc w:val="center"/>
              <w:rPr>
                <w:rFonts w:hint="default" w:ascii="Times New Roman" w:hAnsi="Times New Roman" w:eastAsia="仿宋_GB2312" w:cs="Times New Roman"/>
                <w:color w:val="auto"/>
                <w:kern w:val="0"/>
                <w:sz w:val="18"/>
                <w:szCs w:val="18"/>
                <w:highlight w:val="none"/>
              </w:rPr>
            </w:pPr>
          </w:p>
          <w:p w14:paraId="3D9AF04A">
            <w:pPr>
              <w:spacing w:line="0" w:lineRule="atLeast"/>
              <w:jc w:val="center"/>
              <w:rPr>
                <w:rFonts w:hint="default" w:ascii="Times New Roman" w:hAnsi="Times New Roman" w:eastAsia="仿宋_GB2312" w:cs="Times New Roman"/>
                <w:color w:val="auto"/>
                <w:kern w:val="0"/>
                <w:sz w:val="18"/>
                <w:szCs w:val="18"/>
                <w:highlight w:val="none"/>
              </w:rPr>
            </w:pPr>
          </w:p>
          <w:p w14:paraId="3797BC5C">
            <w:pPr>
              <w:spacing w:line="0" w:lineRule="atLeast"/>
              <w:jc w:val="center"/>
              <w:rPr>
                <w:rFonts w:hint="default" w:ascii="Times New Roman" w:hAnsi="Times New Roman" w:eastAsia="仿宋_GB2312" w:cs="Times New Roman"/>
                <w:color w:val="auto"/>
                <w:kern w:val="0"/>
                <w:sz w:val="18"/>
                <w:szCs w:val="18"/>
                <w:highlight w:val="none"/>
              </w:rPr>
            </w:pPr>
          </w:p>
          <w:p w14:paraId="0688746A">
            <w:pPr>
              <w:spacing w:line="0" w:lineRule="atLeast"/>
              <w:jc w:val="center"/>
              <w:rPr>
                <w:rFonts w:hint="default" w:ascii="Times New Roman" w:hAnsi="Times New Roman" w:eastAsia="仿宋_GB2312" w:cs="Times New Roman"/>
                <w:color w:val="auto"/>
                <w:kern w:val="0"/>
                <w:sz w:val="18"/>
                <w:szCs w:val="18"/>
                <w:highlight w:val="none"/>
              </w:rPr>
            </w:pPr>
          </w:p>
          <w:p w14:paraId="6A3D86D7">
            <w:pPr>
              <w:spacing w:line="0" w:lineRule="atLeast"/>
              <w:jc w:val="center"/>
              <w:rPr>
                <w:rFonts w:hint="default" w:ascii="Times New Roman" w:hAnsi="Times New Roman" w:eastAsia="仿宋_GB2312" w:cs="Times New Roman"/>
                <w:color w:val="auto"/>
                <w:kern w:val="0"/>
                <w:sz w:val="18"/>
                <w:szCs w:val="18"/>
                <w:highlight w:val="none"/>
              </w:rPr>
            </w:pPr>
          </w:p>
          <w:p w14:paraId="2A12603A">
            <w:pPr>
              <w:spacing w:line="0" w:lineRule="atLeast"/>
              <w:jc w:val="center"/>
              <w:rPr>
                <w:rFonts w:hint="default" w:ascii="Times New Roman" w:hAnsi="Times New Roman" w:eastAsia="仿宋_GB2312" w:cs="Times New Roman"/>
                <w:color w:val="auto"/>
                <w:kern w:val="0"/>
                <w:sz w:val="18"/>
                <w:szCs w:val="18"/>
                <w:highlight w:val="none"/>
              </w:rPr>
            </w:pPr>
          </w:p>
          <w:p w14:paraId="1DDF7553">
            <w:pPr>
              <w:spacing w:line="0" w:lineRule="atLeast"/>
              <w:jc w:val="center"/>
              <w:rPr>
                <w:rFonts w:hint="default" w:ascii="Times New Roman" w:hAnsi="Times New Roman" w:eastAsia="仿宋_GB2312" w:cs="Times New Roman"/>
                <w:color w:val="auto"/>
                <w:kern w:val="0"/>
                <w:sz w:val="18"/>
                <w:szCs w:val="18"/>
                <w:highlight w:val="none"/>
              </w:rPr>
            </w:pPr>
          </w:p>
          <w:p w14:paraId="0A2F41C3">
            <w:pPr>
              <w:spacing w:line="0" w:lineRule="atLeast"/>
              <w:jc w:val="center"/>
              <w:rPr>
                <w:rFonts w:hint="default" w:ascii="Times New Roman" w:hAnsi="Times New Roman" w:eastAsia="仿宋_GB2312" w:cs="Times New Roman"/>
                <w:color w:val="auto"/>
                <w:kern w:val="0"/>
                <w:sz w:val="18"/>
                <w:szCs w:val="18"/>
                <w:highlight w:val="none"/>
              </w:rPr>
            </w:pPr>
          </w:p>
          <w:p w14:paraId="27C3723C">
            <w:pPr>
              <w:spacing w:line="0" w:lineRule="atLeast"/>
              <w:jc w:val="center"/>
              <w:rPr>
                <w:rFonts w:hint="default" w:ascii="Times New Roman" w:hAnsi="Times New Roman" w:eastAsia="仿宋_GB2312" w:cs="Times New Roman"/>
                <w:color w:val="auto"/>
                <w:kern w:val="0"/>
                <w:sz w:val="18"/>
                <w:szCs w:val="18"/>
                <w:highlight w:val="none"/>
              </w:rPr>
            </w:pPr>
          </w:p>
          <w:p w14:paraId="0F3E2DDB">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过程</w:t>
            </w:r>
          </w:p>
          <w:p w14:paraId="0D052771">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1000" w:type="dxa"/>
            <w:vMerge w:val="restart"/>
            <w:shd w:val="clear" w:color="auto" w:fill="FFFFFF"/>
            <w:vAlign w:val="center"/>
          </w:tcPr>
          <w:p w14:paraId="0B50B5BF">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资金管理</w:t>
            </w:r>
          </w:p>
        </w:tc>
        <w:tc>
          <w:tcPr>
            <w:tcW w:w="1071" w:type="dxa"/>
            <w:shd w:val="clear" w:color="auto" w:fill="FFFFFF"/>
            <w:vAlign w:val="center"/>
          </w:tcPr>
          <w:p w14:paraId="1EE490E5">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资金到位率</w:t>
            </w:r>
          </w:p>
        </w:tc>
        <w:tc>
          <w:tcPr>
            <w:tcW w:w="1725" w:type="dxa"/>
            <w:shd w:val="clear" w:color="000000" w:fill="FFFFFF"/>
            <w:vAlign w:val="center"/>
          </w:tcPr>
          <w:p w14:paraId="77DBA0E0">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实际到位资金与预算资金的比率，用以反映和考核资金落实情况对项目实施的总体保障程度。</w:t>
            </w:r>
          </w:p>
        </w:tc>
        <w:tc>
          <w:tcPr>
            <w:tcW w:w="5216" w:type="dxa"/>
            <w:shd w:val="clear" w:color="000000" w:fill="FFFFFF"/>
            <w:vAlign w:val="center"/>
          </w:tcPr>
          <w:p w14:paraId="46F9E311">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资金到位率=（实际到位资金/预算资金）×100%。</w:t>
            </w:r>
          </w:p>
          <w:p w14:paraId="75FAE33F">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实际到位资金：一定时期（本年度或项目期）内落实到具体项目的资金。</w:t>
            </w:r>
          </w:p>
          <w:p w14:paraId="6FE01190">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预算资金：一定时期（本年度或项目期）内预算安排到具体项目的资金。</w:t>
            </w:r>
          </w:p>
        </w:tc>
        <w:tc>
          <w:tcPr>
            <w:tcW w:w="1304" w:type="dxa"/>
            <w:gridSpan w:val="2"/>
            <w:shd w:val="clear" w:color="000000" w:fill="FFFFFF"/>
            <w:vAlign w:val="center"/>
          </w:tcPr>
          <w:p w14:paraId="2F0B7614">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1365" w:type="dxa"/>
            <w:shd w:val="clear" w:color="000000" w:fill="FFFFFF"/>
            <w:vAlign w:val="center"/>
          </w:tcPr>
          <w:p w14:paraId="3D3C32FF">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2D1656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14:paraId="58E2B745">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continue"/>
            <w:shd w:val="clear" w:color="auto" w:fill="FFFFFF"/>
            <w:vAlign w:val="center"/>
          </w:tcPr>
          <w:p w14:paraId="7EC8F214">
            <w:pPr>
              <w:spacing w:line="0" w:lineRule="atLeast"/>
              <w:jc w:val="center"/>
              <w:rPr>
                <w:rFonts w:hint="default" w:ascii="Times New Roman" w:hAnsi="Times New Roman" w:eastAsia="仿宋_GB2312" w:cs="Times New Roman"/>
                <w:color w:val="auto"/>
                <w:kern w:val="0"/>
                <w:sz w:val="18"/>
                <w:szCs w:val="18"/>
                <w:highlight w:val="none"/>
              </w:rPr>
            </w:pPr>
          </w:p>
        </w:tc>
        <w:tc>
          <w:tcPr>
            <w:tcW w:w="1071" w:type="dxa"/>
            <w:shd w:val="clear" w:color="auto" w:fill="FFFFFF"/>
            <w:vAlign w:val="center"/>
          </w:tcPr>
          <w:p w14:paraId="2D110816">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预算执行率</w:t>
            </w:r>
          </w:p>
        </w:tc>
        <w:tc>
          <w:tcPr>
            <w:tcW w:w="1725" w:type="dxa"/>
            <w:shd w:val="clear" w:color="auto" w:fill="FFFFFF"/>
            <w:vAlign w:val="center"/>
          </w:tcPr>
          <w:p w14:paraId="3ECB64D6">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项目预算资金是否按照计划执行，用以反映或考核项目预算执行情况。</w:t>
            </w:r>
          </w:p>
        </w:tc>
        <w:tc>
          <w:tcPr>
            <w:tcW w:w="5216" w:type="dxa"/>
            <w:shd w:val="clear" w:color="auto" w:fill="FFFFFF"/>
            <w:vAlign w:val="center"/>
          </w:tcPr>
          <w:p w14:paraId="0FEF2835">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预算执行率=（实际支出资金/实际到位资金）×100%。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实际支出资金：一定时期（本年度或项目期）内项目实际拨付的资金。</w:t>
            </w:r>
          </w:p>
        </w:tc>
        <w:tc>
          <w:tcPr>
            <w:tcW w:w="1304" w:type="dxa"/>
            <w:gridSpan w:val="2"/>
            <w:shd w:val="clear" w:color="auto" w:fill="FFFFFF"/>
            <w:vAlign w:val="center"/>
          </w:tcPr>
          <w:p w14:paraId="2CEDA364">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1365" w:type="dxa"/>
            <w:shd w:val="clear" w:color="auto" w:fill="FFFFFF"/>
            <w:vAlign w:val="center"/>
          </w:tcPr>
          <w:p w14:paraId="734A0FBA">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02F9DA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5D07B6C2">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shd w:val="clear" w:color="auto" w:fill="FFFFFF"/>
            <w:vAlign w:val="center"/>
          </w:tcPr>
          <w:p w14:paraId="15DE35BC">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资金管理</w:t>
            </w:r>
          </w:p>
        </w:tc>
        <w:tc>
          <w:tcPr>
            <w:tcW w:w="1071" w:type="dxa"/>
            <w:shd w:val="clear" w:color="auto" w:fill="FFFFFF"/>
            <w:vAlign w:val="center"/>
          </w:tcPr>
          <w:p w14:paraId="629D1C01">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资金使用</w:t>
            </w:r>
          </w:p>
          <w:p w14:paraId="7CA587BE">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合规性</w:t>
            </w:r>
          </w:p>
        </w:tc>
        <w:tc>
          <w:tcPr>
            <w:tcW w:w="1725" w:type="dxa"/>
            <w:shd w:val="clear" w:color="000000" w:fill="FFFFFF"/>
            <w:vAlign w:val="center"/>
          </w:tcPr>
          <w:p w14:paraId="26996EEA">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项目资金使用是否符合相关的财务管理制度规定，用以反映和考核项目资金的规范运行情况。</w:t>
            </w:r>
          </w:p>
        </w:tc>
        <w:tc>
          <w:tcPr>
            <w:tcW w:w="5216" w:type="dxa"/>
            <w:shd w:val="clear" w:color="000000" w:fill="FFFFFF"/>
            <w:vAlign w:val="center"/>
          </w:tcPr>
          <w:p w14:paraId="2DD0FC23">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②资金的拨付是否有完整的审批程序和手续；</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③是否符合项目预算批复或合同规定的用途；</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④是否存在截留、挤占、挪用、虚列支出等情况。</w:t>
            </w:r>
          </w:p>
        </w:tc>
        <w:tc>
          <w:tcPr>
            <w:tcW w:w="1304" w:type="dxa"/>
            <w:gridSpan w:val="2"/>
            <w:shd w:val="clear" w:color="000000" w:fill="FFFFFF"/>
            <w:vAlign w:val="center"/>
          </w:tcPr>
          <w:p w14:paraId="100EBA1E">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1365" w:type="dxa"/>
            <w:shd w:val="clear" w:color="000000" w:fill="FFFFFF"/>
            <w:vAlign w:val="center"/>
          </w:tcPr>
          <w:p w14:paraId="43E8C85F">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36B2CD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14:paraId="0327EA88">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restart"/>
            <w:shd w:val="clear" w:color="auto" w:fill="FFFFFF"/>
            <w:vAlign w:val="center"/>
          </w:tcPr>
          <w:p w14:paraId="7A4F1856">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组织实施</w:t>
            </w:r>
          </w:p>
          <w:p w14:paraId="17EEF112">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1071" w:type="dxa"/>
            <w:shd w:val="clear" w:color="auto" w:fill="FFFFFF"/>
            <w:vAlign w:val="center"/>
          </w:tcPr>
          <w:p w14:paraId="4A9E06E1">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管理制度</w:t>
            </w:r>
          </w:p>
          <w:p w14:paraId="02C30C26">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健全性</w:t>
            </w:r>
          </w:p>
        </w:tc>
        <w:tc>
          <w:tcPr>
            <w:tcW w:w="1725" w:type="dxa"/>
            <w:shd w:val="clear" w:color="000000" w:fill="FFFFFF"/>
            <w:vAlign w:val="center"/>
          </w:tcPr>
          <w:p w14:paraId="24F2940D">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项目实施单位的财务和业务管理制度是否健全，用以反映和考核财务和业务管理制度对项目顺利实施的保障情况。</w:t>
            </w:r>
          </w:p>
        </w:tc>
        <w:tc>
          <w:tcPr>
            <w:tcW w:w="5216" w:type="dxa"/>
            <w:shd w:val="clear" w:color="000000" w:fill="FFFFFF"/>
            <w:vAlign w:val="center"/>
          </w:tcPr>
          <w:p w14:paraId="243B3A8B">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①是否已制定或具有相应的财务和业务管理制度；</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②财务和业务管理制度是否合法、合规、完整。</w:t>
            </w:r>
          </w:p>
        </w:tc>
        <w:tc>
          <w:tcPr>
            <w:tcW w:w="1304" w:type="dxa"/>
            <w:gridSpan w:val="2"/>
            <w:shd w:val="clear" w:color="000000" w:fill="FFFFFF"/>
            <w:vAlign w:val="center"/>
          </w:tcPr>
          <w:p w14:paraId="5E124E69">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1365" w:type="dxa"/>
            <w:shd w:val="clear" w:color="000000" w:fill="FFFFFF"/>
            <w:vAlign w:val="center"/>
          </w:tcPr>
          <w:p w14:paraId="318F1656">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70195E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14:paraId="75118747">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continue"/>
            <w:shd w:val="clear" w:color="auto" w:fill="FFFFFF"/>
            <w:vAlign w:val="center"/>
          </w:tcPr>
          <w:p w14:paraId="16DC4DBC">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71" w:type="dxa"/>
            <w:shd w:val="clear" w:color="auto" w:fill="FFFFFF"/>
            <w:vAlign w:val="center"/>
          </w:tcPr>
          <w:p w14:paraId="188548C3">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制度执行</w:t>
            </w:r>
          </w:p>
          <w:p w14:paraId="3887F118">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有效性</w:t>
            </w:r>
          </w:p>
        </w:tc>
        <w:tc>
          <w:tcPr>
            <w:tcW w:w="1725" w:type="dxa"/>
            <w:shd w:val="clear" w:color="000000" w:fill="FFFFFF"/>
            <w:vAlign w:val="center"/>
          </w:tcPr>
          <w:p w14:paraId="7E77288A">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项目实施是否符合相关管理规定，用以反映和考核相关管理制度的有效执行情况。</w:t>
            </w:r>
          </w:p>
        </w:tc>
        <w:tc>
          <w:tcPr>
            <w:tcW w:w="5216" w:type="dxa"/>
            <w:shd w:val="clear" w:color="000000" w:fill="FFFFFF"/>
            <w:vAlign w:val="center"/>
          </w:tcPr>
          <w:p w14:paraId="685A760D">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①是否遵守相关法律法规和相关管理规定；</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②项目调整及支出调整手续是否完备；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③项目合同书、验收报告、技术鉴定等资料是否齐全并及时归档；</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④项目实施的人员条件、场地设备、信息支撑等是否落实到位。</w:t>
            </w:r>
          </w:p>
        </w:tc>
        <w:tc>
          <w:tcPr>
            <w:tcW w:w="1304" w:type="dxa"/>
            <w:gridSpan w:val="2"/>
            <w:shd w:val="clear" w:color="000000" w:fill="FFFFFF"/>
            <w:vAlign w:val="center"/>
          </w:tcPr>
          <w:p w14:paraId="74A085FB">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1365" w:type="dxa"/>
            <w:shd w:val="clear" w:color="000000" w:fill="FFFFFF"/>
            <w:vAlign w:val="center"/>
          </w:tcPr>
          <w:p w14:paraId="77A29FD9">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3DA4B7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14:paraId="5D7B838E">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w:t>
            </w:r>
          </w:p>
        </w:tc>
        <w:tc>
          <w:tcPr>
            <w:tcW w:w="1000" w:type="dxa"/>
            <w:shd w:val="clear" w:color="auto" w:fill="FFFFFF"/>
            <w:vAlign w:val="center"/>
          </w:tcPr>
          <w:p w14:paraId="320F3621">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产出数量</w:t>
            </w:r>
          </w:p>
        </w:tc>
        <w:tc>
          <w:tcPr>
            <w:tcW w:w="1071" w:type="dxa"/>
            <w:shd w:val="clear" w:color="auto" w:fill="FFFFFF"/>
            <w:vAlign w:val="center"/>
          </w:tcPr>
          <w:p w14:paraId="1DB8C94E">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实际完成率</w:t>
            </w:r>
          </w:p>
        </w:tc>
        <w:tc>
          <w:tcPr>
            <w:tcW w:w="1725" w:type="dxa"/>
            <w:shd w:val="clear" w:color="000000" w:fill="FFFFFF"/>
            <w:vAlign w:val="center"/>
          </w:tcPr>
          <w:p w14:paraId="0854B4FB">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项目实施的实际产出数与计划产出数的比率，用以反映和考核项目产出数量目标的实现程度。</w:t>
            </w:r>
          </w:p>
        </w:tc>
        <w:tc>
          <w:tcPr>
            <w:tcW w:w="5216" w:type="dxa"/>
            <w:shd w:val="clear" w:color="000000" w:fill="FFFFFF"/>
            <w:vAlign w:val="center"/>
          </w:tcPr>
          <w:p w14:paraId="78BA1116">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实际完成率=（实际产出数/计划产出数）×100%。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计划产出数：项目绩效目标确定的在一定时期（本年度或项目期）内计划产出的产品或提供的服务数量。</w:t>
            </w:r>
          </w:p>
        </w:tc>
        <w:tc>
          <w:tcPr>
            <w:tcW w:w="1304" w:type="dxa"/>
            <w:gridSpan w:val="2"/>
            <w:shd w:val="clear" w:color="000000" w:fill="FFFFFF"/>
            <w:vAlign w:val="center"/>
          </w:tcPr>
          <w:p w14:paraId="0FCC5F32">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1365" w:type="dxa"/>
            <w:shd w:val="clear" w:color="000000" w:fill="FFFFFF"/>
            <w:vAlign w:val="center"/>
          </w:tcPr>
          <w:p w14:paraId="7E4B21BF">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540ED5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14:paraId="7AF84C39">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shd w:val="clear" w:color="auto" w:fill="FFFFFF"/>
            <w:vAlign w:val="center"/>
          </w:tcPr>
          <w:p w14:paraId="117F082F">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产出质量</w:t>
            </w:r>
          </w:p>
        </w:tc>
        <w:tc>
          <w:tcPr>
            <w:tcW w:w="1071" w:type="dxa"/>
            <w:shd w:val="clear" w:color="auto" w:fill="FFFFFF"/>
            <w:vAlign w:val="center"/>
          </w:tcPr>
          <w:p w14:paraId="46319A68">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质量达标率</w:t>
            </w:r>
          </w:p>
        </w:tc>
        <w:tc>
          <w:tcPr>
            <w:tcW w:w="1725" w:type="dxa"/>
            <w:shd w:val="clear" w:color="000000" w:fill="FFFFFF"/>
            <w:vAlign w:val="center"/>
          </w:tcPr>
          <w:p w14:paraId="689D9402">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项目完成的质量达标产出数与实际产出数的比率，用以反映和考核项目产出质量目标的实现程度。</w:t>
            </w:r>
          </w:p>
        </w:tc>
        <w:tc>
          <w:tcPr>
            <w:tcW w:w="5216" w:type="dxa"/>
            <w:shd w:val="clear" w:color="000000" w:fill="FFFFFF"/>
            <w:vAlign w:val="center"/>
          </w:tcPr>
          <w:p w14:paraId="3823C8FD">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质量达标率=（质量达标产出数/实际产出数）×100%。</w:t>
            </w:r>
          </w:p>
          <w:p w14:paraId="58279593">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14:paraId="0F90E644">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1365" w:type="dxa"/>
            <w:shd w:val="clear" w:color="000000" w:fill="FFFFFF"/>
            <w:vAlign w:val="center"/>
          </w:tcPr>
          <w:p w14:paraId="1E38A456">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61358E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14:paraId="283F98D1">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shd w:val="clear" w:color="auto" w:fill="FFFFFF"/>
            <w:vAlign w:val="center"/>
          </w:tcPr>
          <w:p w14:paraId="644A3B30">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产出时效</w:t>
            </w:r>
          </w:p>
        </w:tc>
        <w:tc>
          <w:tcPr>
            <w:tcW w:w="1071" w:type="dxa"/>
            <w:shd w:val="clear" w:color="auto" w:fill="FFFFFF"/>
            <w:vAlign w:val="center"/>
          </w:tcPr>
          <w:p w14:paraId="45231E75">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完成及时性</w:t>
            </w:r>
          </w:p>
        </w:tc>
        <w:tc>
          <w:tcPr>
            <w:tcW w:w="1725" w:type="dxa"/>
            <w:shd w:val="clear" w:color="000000" w:fill="FFFFFF"/>
            <w:vAlign w:val="center"/>
          </w:tcPr>
          <w:p w14:paraId="40E814CE">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项目实际完成时间与计划完成时间的比较，用以反映和考核项目产出时效目标的实现程度。</w:t>
            </w:r>
          </w:p>
        </w:tc>
        <w:tc>
          <w:tcPr>
            <w:tcW w:w="5216" w:type="dxa"/>
            <w:shd w:val="clear" w:color="000000" w:fill="FFFFFF"/>
            <w:vAlign w:val="center"/>
          </w:tcPr>
          <w:p w14:paraId="5DDAC1DC">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实际完成时间：项目实施单位完成该项目实际所耗用的时间。</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计划完成时间：按照项目实施计划或相关规定完成该项目所需的时间。</w:t>
            </w:r>
          </w:p>
        </w:tc>
        <w:tc>
          <w:tcPr>
            <w:tcW w:w="1304" w:type="dxa"/>
            <w:gridSpan w:val="2"/>
            <w:shd w:val="clear" w:color="000000" w:fill="FFFFFF"/>
            <w:vAlign w:val="center"/>
          </w:tcPr>
          <w:p w14:paraId="7C89538C">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1365" w:type="dxa"/>
            <w:shd w:val="clear" w:color="000000" w:fill="FFFFFF"/>
            <w:vAlign w:val="center"/>
          </w:tcPr>
          <w:p w14:paraId="6612A753">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027476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7889EB2A">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shd w:val="clear" w:color="auto" w:fill="FFFFFF"/>
            <w:vAlign w:val="center"/>
          </w:tcPr>
          <w:p w14:paraId="1B0D3648">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产出成本</w:t>
            </w:r>
          </w:p>
        </w:tc>
        <w:tc>
          <w:tcPr>
            <w:tcW w:w="1071" w:type="dxa"/>
            <w:shd w:val="clear" w:color="auto" w:fill="FFFFFF"/>
            <w:vAlign w:val="center"/>
          </w:tcPr>
          <w:p w14:paraId="2BE0D1D5">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成本节约率</w:t>
            </w:r>
          </w:p>
        </w:tc>
        <w:tc>
          <w:tcPr>
            <w:tcW w:w="1725" w:type="dxa"/>
            <w:shd w:val="clear" w:color="000000" w:fill="FFFFFF"/>
            <w:vAlign w:val="center"/>
          </w:tcPr>
          <w:p w14:paraId="07EA745A">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完成项目计划工作目标的实际节约成本与计划成本的比率，用以反映和考核项目的成本节约程度。</w:t>
            </w:r>
          </w:p>
        </w:tc>
        <w:tc>
          <w:tcPr>
            <w:tcW w:w="5216" w:type="dxa"/>
            <w:shd w:val="clear" w:color="000000" w:fill="FFFFFF"/>
            <w:vAlign w:val="center"/>
          </w:tcPr>
          <w:p w14:paraId="120FC7B2">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成本节约率=[（计划成本-实际成本）/计划成本]×100%。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计划成本：项目实施单位为完成工作目标计划安排的支出，一般以项目预算为参考。</w:t>
            </w:r>
          </w:p>
        </w:tc>
        <w:tc>
          <w:tcPr>
            <w:tcW w:w="1304" w:type="dxa"/>
            <w:gridSpan w:val="2"/>
            <w:shd w:val="clear" w:color="000000" w:fill="FFFFFF"/>
            <w:vAlign w:val="center"/>
          </w:tcPr>
          <w:p w14:paraId="44050BD3">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1365" w:type="dxa"/>
            <w:shd w:val="clear" w:color="000000" w:fill="FFFFFF"/>
            <w:vAlign w:val="center"/>
          </w:tcPr>
          <w:p w14:paraId="55DD3AF1">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4E0A04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14:paraId="490E8937">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效益　</w:t>
            </w:r>
          </w:p>
        </w:tc>
        <w:tc>
          <w:tcPr>
            <w:tcW w:w="1000" w:type="dxa"/>
            <w:vMerge w:val="restart"/>
            <w:shd w:val="clear" w:color="auto" w:fill="FFFFFF"/>
            <w:vAlign w:val="center"/>
          </w:tcPr>
          <w:p w14:paraId="1350A385">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项目效益　</w:t>
            </w:r>
          </w:p>
        </w:tc>
        <w:tc>
          <w:tcPr>
            <w:tcW w:w="1071" w:type="dxa"/>
            <w:shd w:val="clear" w:color="auto" w:fill="FFFFFF"/>
            <w:vAlign w:val="center"/>
          </w:tcPr>
          <w:p w14:paraId="2DF59F09">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实施效益</w:t>
            </w:r>
          </w:p>
        </w:tc>
        <w:tc>
          <w:tcPr>
            <w:tcW w:w="1725" w:type="dxa"/>
            <w:shd w:val="clear" w:color="auto" w:fill="FFFFFF"/>
            <w:vAlign w:val="center"/>
          </w:tcPr>
          <w:p w14:paraId="613C3717">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项目实施所产生的效益。</w:t>
            </w:r>
          </w:p>
        </w:tc>
        <w:tc>
          <w:tcPr>
            <w:tcW w:w="5216" w:type="dxa"/>
            <w:shd w:val="clear" w:color="auto" w:fill="FFFFFF"/>
            <w:vAlign w:val="center"/>
          </w:tcPr>
          <w:p w14:paraId="5B71AB40">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项目实施所产生的社会效益、经济效益、生态效益、可持续影响等。可根据项目实际情况有选择地设置和细化。</w:t>
            </w:r>
          </w:p>
        </w:tc>
        <w:tc>
          <w:tcPr>
            <w:tcW w:w="1304" w:type="dxa"/>
            <w:gridSpan w:val="2"/>
            <w:shd w:val="clear" w:color="auto" w:fill="FFFFFF"/>
            <w:vAlign w:val="center"/>
          </w:tcPr>
          <w:p w14:paraId="6301CBCC">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1365" w:type="dxa"/>
            <w:shd w:val="clear" w:color="auto" w:fill="FFFFFF"/>
            <w:vAlign w:val="center"/>
          </w:tcPr>
          <w:p w14:paraId="64E45029">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49FC2A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14:paraId="3E8EDE97">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continue"/>
            <w:shd w:val="clear" w:color="auto" w:fill="FFFFFF"/>
            <w:vAlign w:val="center"/>
          </w:tcPr>
          <w:p w14:paraId="33172105">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71" w:type="dxa"/>
            <w:shd w:val="clear" w:color="auto" w:fill="FFFFFF"/>
            <w:vAlign w:val="center"/>
          </w:tcPr>
          <w:p w14:paraId="06308401">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满意度</w:t>
            </w:r>
          </w:p>
        </w:tc>
        <w:tc>
          <w:tcPr>
            <w:tcW w:w="1725" w:type="dxa"/>
            <w:shd w:val="clear" w:color="000000" w:fill="FFFFFF"/>
            <w:vAlign w:val="center"/>
          </w:tcPr>
          <w:p w14:paraId="4002B954">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社会公众或服务对象对项目实施效果的满意程度。</w:t>
            </w:r>
          </w:p>
        </w:tc>
        <w:tc>
          <w:tcPr>
            <w:tcW w:w="5216" w:type="dxa"/>
            <w:shd w:val="clear" w:color="000000" w:fill="FFFFFF"/>
            <w:vAlign w:val="center"/>
          </w:tcPr>
          <w:p w14:paraId="3BD45366">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社会公众或服务对象是指因该项目实施而受到影响的部门（单位）、群体或个人。一般采取社会调查的方式。</w:t>
            </w:r>
          </w:p>
        </w:tc>
        <w:tc>
          <w:tcPr>
            <w:tcW w:w="1304" w:type="dxa"/>
            <w:gridSpan w:val="2"/>
            <w:shd w:val="clear" w:color="000000" w:fill="FFFFFF"/>
            <w:vAlign w:val="center"/>
          </w:tcPr>
          <w:p w14:paraId="2EE4B4CD">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1365" w:type="dxa"/>
            <w:shd w:val="clear" w:color="000000" w:fill="FFFFFF"/>
            <w:vAlign w:val="center"/>
          </w:tcPr>
          <w:p w14:paraId="08AA0490">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565284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14:paraId="524E40E6">
            <w:pPr>
              <w:widowControl/>
              <w:spacing w:line="0" w:lineRule="atLeast"/>
              <w:jc w:val="center"/>
              <w:rPr>
                <w:rFonts w:hint="eastAsia"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合计</w:t>
            </w:r>
          </w:p>
        </w:tc>
        <w:tc>
          <w:tcPr>
            <w:tcW w:w="1299" w:type="dxa"/>
            <w:shd w:val="clear" w:color="000000" w:fill="FFFFFF"/>
            <w:vAlign w:val="center"/>
          </w:tcPr>
          <w:p w14:paraId="12E334A4">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fldChar w:fldCharType="begin"/>
            </w:r>
            <w:r>
              <w:rPr>
                <w:rFonts w:hint="default" w:ascii="Times New Roman" w:hAnsi="Times New Roman" w:eastAsia="仿宋_GB2312" w:cs="Times New Roman"/>
                <w:b/>
                <w:bCs/>
                <w:color w:val="auto"/>
                <w:kern w:val="0"/>
                <w:sz w:val="18"/>
                <w:szCs w:val="18"/>
                <w:highlight w:val="none"/>
              </w:rPr>
              <w:instrText xml:space="preserve"> = sum(F2:F18) \* MERGEFORMAT </w:instrText>
            </w:r>
            <w:r>
              <w:rPr>
                <w:rFonts w:hint="default" w:ascii="Times New Roman" w:hAnsi="Times New Roman" w:eastAsia="仿宋_GB2312" w:cs="Times New Roman"/>
                <w:b/>
                <w:bCs/>
                <w:color w:val="auto"/>
                <w:kern w:val="0"/>
                <w:sz w:val="18"/>
                <w:szCs w:val="18"/>
                <w:highlight w:val="none"/>
              </w:rPr>
              <w:fldChar w:fldCharType="separate"/>
            </w:r>
            <w:r>
              <w:rPr>
                <w:rFonts w:hint="default" w:ascii="Times New Roman" w:hAnsi="Times New Roman" w:eastAsia="仿宋_GB2312" w:cs="Times New Roman"/>
                <w:b/>
                <w:bCs/>
                <w:color w:val="auto"/>
                <w:kern w:val="0"/>
                <w:sz w:val="18"/>
                <w:szCs w:val="18"/>
                <w:highlight w:val="none"/>
              </w:rPr>
              <w:t>100</w:t>
            </w:r>
            <w:r>
              <w:rPr>
                <w:rFonts w:hint="default" w:ascii="Times New Roman" w:hAnsi="Times New Roman" w:eastAsia="仿宋_GB2312" w:cs="Times New Roman"/>
                <w:b/>
                <w:bCs/>
                <w:color w:val="auto"/>
                <w:kern w:val="0"/>
                <w:sz w:val="18"/>
                <w:szCs w:val="18"/>
                <w:highlight w:val="none"/>
              </w:rPr>
              <w:fldChar w:fldCharType="end"/>
            </w:r>
          </w:p>
        </w:tc>
        <w:tc>
          <w:tcPr>
            <w:tcW w:w="1365" w:type="dxa"/>
            <w:shd w:val="clear" w:color="000000" w:fill="FFFFFF"/>
            <w:vAlign w:val="center"/>
          </w:tcPr>
          <w:p w14:paraId="341A0E79">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100</w:t>
            </w:r>
          </w:p>
        </w:tc>
      </w:tr>
    </w:tbl>
    <w:p w14:paraId="01795311">
      <w:pPr>
        <w:rPr>
          <w:rFonts w:hint="default" w:ascii="Times New Roman" w:hAnsi="Times New Roman" w:cs="Times New Roman"/>
          <w:color w:val="auto"/>
          <w:highlight w:val="none"/>
        </w:rPr>
        <w:sectPr>
          <w:pgSz w:w="16838" w:h="11906" w:orient="landscape"/>
          <w:pgMar w:top="1800" w:right="1440" w:bottom="1558" w:left="1440" w:header="851" w:footer="992" w:gutter="0"/>
          <w:cols w:space="425" w:num="1"/>
          <w:docGrid w:type="lines" w:linePitch="312" w:charSpace="0"/>
        </w:sectPr>
      </w:pPr>
    </w:p>
    <w:p w14:paraId="4BCDA90E">
      <w:pPr>
        <w:spacing w:line="600" w:lineRule="exact"/>
        <w:rPr>
          <w:rFonts w:hint="eastAsia"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附件</w:t>
      </w:r>
      <w:r>
        <w:rPr>
          <w:rFonts w:hint="eastAsia" w:eastAsia="黑体" w:cs="Times New Roman"/>
          <w:color w:val="auto"/>
          <w:sz w:val="32"/>
          <w:szCs w:val="32"/>
          <w:highlight w:val="none"/>
          <w:lang w:val="en-US" w:eastAsia="zh-CN"/>
        </w:rPr>
        <w:t>2</w:t>
      </w:r>
    </w:p>
    <w:p w14:paraId="1CEB9AF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auto"/>
          <w:kern w:val="0"/>
          <w:sz w:val="28"/>
          <w:szCs w:val="28"/>
          <w:highlight w:val="none"/>
          <w:u w:val="none"/>
          <w:lang w:val="en-US" w:eastAsia="zh-CN" w:bidi="ar"/>
        </w:rPr>
      </w:pPr>
      <w:r>
        <w:rPr>
          <w:rFonts w:hint="eastAsia" w:ascii="仿宋_GB2312" w:hAnsi="仿宋_GB2312" w:eastAsia="仿宋_GB2312" w:cs="仿宋_GB2312"/>
          <w:b/>
          <w:bCs/>
          <w:i w:val="0"/>
          <w:iCs w:val="0"/>
          <w:color w:val="auto"/>
          <w:kern w:val="0"/>
          <w:sz w:val="28"/>
          <w:szCs w:val="28"/>
          <w:highlight w:val="none"/>
          <w:u w:val="none"/>
          <w:lang w:val="en-US" w:eastAsia="zh-CN" w:bidi="ar"/>
        </w:rPr>
        <w:t>项目支出绩效自评表</w:t>
      </w:r>
    </w:p>
    <w:tbl>
      <w:tblPr>
        <w:tblStyle w:val="14"/>
        <w:tblpPr w:leftFromText="180" w:rightFromText="180" w:vertAnchor="text" w:horzAnchor="page" w:tblpX="1373" w:tblpY="306"/>
        <w:tblOverlap w:val="never"/>
        <w:tblW w:w="141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7"/>
        <w:gridCol w:w="1108"/>
        <w:gridCol w:w="1245"/>
        <w:gridCol w:w="1185"/>
        <w:gridCol w:w="1185"/>
        <w:gridCol w:w="1164"/>
        <w:gridCol w:w="924"/>
        <w:gridCol w:w="53"/>
        <w:gridCol w:w="784"/>
        <w:gridCol w:w="882"/>
        <w:gridCol w:w="53"/>
        <w:gridCol w:w="724"/>
        <w:gridCol w:w="1032"/>
        <w:gridCol w:w="830"/>
        <w:gridCol w:w="748"/>
        <w:gridCol w:w="1287"/>
        <w:gridCol w:w="53"/>
      </w:tblGrid>
      <w:tr w14:paraId="3B26F7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1" w:hRule="atLeast"/>
        </w:trPr>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9C8FDE">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项目名称</w:t>
            </w:r>
          </w:p>
        </w:tc>
        <w:tc>
          <w:tcPr>
            <w:tcW w:w="12149"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28844070">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关于五马场乡文化活动经费，中央政法纪检检查经费，“三影重叠”技术服务费，拨付五马场乡经费</w:t>
            </w:r>
          </w:p>
        </w:tc>
      </w:tr>
      <w:tr w14:paraId="7C389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90606E">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主管部门</w:t>
            </w:r>
          </w:p>
        </w:tc>
        <w:tc>
          <w:tcPr>
            <w:tcW w:w="575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758F7FD">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奇台县五马场哈萨克族乡人民政府</w:t>
            </w:r>
          </w:p>
        </w:tc>
        <w:tc>
          <w:tcPr>
            <w:tcW w:w="1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B9FC544">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实施单位</w:t>
            </w:r>
          </w:p>
        </w:tc>
        <w:tc>
          <w:tcPr>
            <w:tcW w:w="467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AD41918">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奇台县五马场哈萨克族乡人民政府</w:t>
            </w:r>
          </w:p>
        </w:tc>
      </w:tr>
      <w:tr w14:paraId="603290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3" w:type="dxa"/>
          <w:trHeight w:val="288" w:hRule="atLeast"/>
        </w:trPr>
        <w:tc>
          <w:tcPr>
            <w:tcW w:w="202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E7BC27">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项目资金</w:t>
            </w:r>
            <w:r>
              <w:rPr>
                <w:rFonts w:hint="eastAsia" w:ascii="仿宋_GB2312" w:hAnsi="仿宋_GB2312" w:eastAsia="仿宋_GB2312" w:cs="仿宋_GB2312"/>
                <w:i w:val="0"/>
                <w:iCs w:val="0"/>
                <w:color w:val="auto"/>
                <w:kern w:val="0"/>
                <w:sz w:val="18"/>
                <w:szCs w:val="18"/>
                <w:highlight w:val="none"/>
                <w:u w:val="none"/>
                <w:lang w:val="en-US" w:eastAsia="zh-CN" w:bidi="ar"/>
              </w:rPr>
              <w:br w:type="textWrapping"/>
            </w:r>
            <w:r>
              <w:rPr>
                <w:rFonts w:hint="eastAsia" w:ascii="仿宋_GB2312" w:hAnsi="仿宋_GB2312" w:eastAsia="仿宋_GB2312" w:cs="仿宋_GB2312"/>
                <w:i w:val="0"/>
                <w:iCs w:val="0"/>
                <w:color w:val="auto"/>
                <w:kern w:val="0"/>
                <w:sz w:val="18"/>
                <w:szCs w:val="18"/>
                <w:highlight w:val="none"/>
                <w:u w:val="none"/>
                <w:lang w:val="en-US" w:eastAsia="zh-CN" w:bidi="ar"/>
              </w:rPr>
              <w:t>（万元）</w:t>
            </w:r>
          </w:p>
        </w:tc>
        <w:tc>
          <w:tcPr>
            <w:tcW w:w="24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9078E9">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资金来源</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6FD18">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年初预算数</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041A01">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全年预算数</w:t>
            </w:r>
          </w:p>
        </w:tc>
        <w:tc>
          <w:tcPr>
            <w:tcW w:w="1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3C6E542">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全年执行数</w:t>
            </w:r>
          </w:p>
        </w:tc>
        <w:tc>
          <w:tcPr>
            <w:tcW w:w="18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BB0A6EC">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分值权重</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222E33">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执行率</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5D1A6">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得分</w:t>
            </w:r>
          </w:p>
        </w:tc>
      </w:tr>
      <w:tr w14:paraId="374A7A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3" w:type="dxa"/>
          <w:trHeight w:val="288" w:hRule="atLeast"/>
        </w:trPr>
        <w:tc>
          <w:tcPr>
            <w:tcW w:w="202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6FCA10">
            <w:pPr>
              <w:jc w:val="center"/>
              <w:rPr>
                <w:rFonts w:hint="eastAsia" w:ascii="仿宋_GB2312" w:hAnsi="仿宋_GB2312" w:eastAsia="仿宋_GB2312" w:cs="仿宋_GB2312"/>
                <w:i w:val="0"/>
                <w:iCs w:val="0"/>
                <w:color w:val="auto"/>
                <w:sz w:val="18"/>
                <w:szCs w:val="18"/>
                <w:highlight w:val="none"/>
                <w:u w:val="none"/>
              </w:rPr>
            </w:pPr>
          </w:p>
        </w:tc>
        <w:tc>
          <w:tcPr>
            <w:tcW w:w="24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30102B">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年度资金总额</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D340F">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73.49</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294223">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73.49</w:t>
            </w:r>
          </w:p>
        </w:tc>
        <w:tc>
          <w:tcPr>
            <w:tcW w:w="1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5CB31A8">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73.49</w:t>
            </w:r>
          </w:p>
        </w:tc>
        <w:tc>
          <w:tcPr>
            <w:tcW w:w="18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DAED2E7">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lang w:val="en-US" w:eastAsia="zh-CN"/>
              </w:rPr>
              <w:t>10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2585A3">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lang w:val="en-US" w:eastAsia="zh-CN"/>
              </w:rPr>
              <w:t>100%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F49C6">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lang w:val="en-US" w:eastAsia="zh-CN"/>
              </w:rPr>
              <w:t>10</w:t>
            </w:r>
          </w:p>
        </w:tc>
      </w:tr>
      <w:tr w14:paraId="24F549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3" w:type="dxa"/>
          <w:trHeight w:val="288" w:hRule="atLeast"/>
        </w:trPr>
        <w:tc>
          <w:tcPr>
            <w:tcW w:w="202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43EA65">
            <w:pPr>
              <w:jc w:val="center"/>
              <w:rPr>
                <w:rFonts w:hint="eastAsia" w:ascii="仿宋_GB2312" w:hAnsi="仿宋_GB2312" w:eastAsia="仿宋_GB2312" w:cs="仿宋_GB2312"/>
                <w:i w:val="0"/>
                <w:iCs w:val="0"/>
                <w:color w:val="auto"/>
                <w:sz w:val="18"/>
                <w:szCs w:val="18"/>
                <w:highlight w:val="none"/>
                <w:u w:val="none"/>
              </w:rPr>
            </w:pPr>
          </w:p>
        </w:tc>
        <w:tc>
          <w:tcPr>
            <w:tcW w:w="24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86BF5B">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其中：当年财政拨款</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9C550">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73.49</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EA35E1">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73.49</w:t>
            </w:r>
          </w:p>
        </w:tc>
        <w:tc>
          <w:tcPr>
            <w:tcW w:w="1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20CC725">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73.49</w:t>
            </w:r>
          </w:p>
        </w:tc>
        <w:tc>
          <w:tcPr>
            <w:tcW w:w="18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B434DF9">
            <w:pPr>
              <w:jc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683C15">
            <w:pPr>
              <w:jc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EF977">
            <w:pPr>
              <w:jc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w:t>
            </w:r>
          </w:p>
        </w:tc>
      </w:tr>
      <w:tr w14:paraId="02175D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3" w:type="dxa"/>
          <w:trHeight w:val="288" w:hRule="atLeast"/>
        </w:trPr>
        <w:tc>
          <w:tcPr>
            <w:tcW w:w="202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4F81E1">
            <w:pPr>
              <w:jc w:val="center"/>
              <w:rPr>
                <w:rFonts w:hint="eastAsia" w:ascii="仿宋_GB2312" w:hAnsi="仿宋_GB2312" w:eastAsia="仿宋_GB2312" w:cs="仿宋_GB2312"/>
                <w:i w:val="0"/>
                <w:iCs w:val="0"/>
                <w:color w:val="auto"/>
                <w:sz w:val="18"/>
                <w:szCs w:val="18"/>
                <w:highlight w:val="none"/>
                <w:u w:val="none"/>
              </w:rPr>
            </w:pPr>
          </w:p>
        </w:tc>
        <w:tc>
          <w:tcPr>
            <w:tcW w:w="2430" w:type="dxa"/>
            <w:gridSpan w:val="2"/>
            <w:tcBorders>
              <w:top w:val="single" w:color="000000" w:sz="4" w:space="0"/>
              <w:left w:val="single" w:color="000000" w:sz="4" w:space="0"/>
              <w:bottom w:val="nil"/>
              <w:right w:val="single" w:color="000000" w:sz="4" w:space="0"/>
            </w:tcBorders>
            <w:shd w:val="clear" w:color="auto" w:fill="auto"/>
            <w:vAlign w:val="center"/>
          </w:tcPr>
          <w:p w14:paraId="49DADD71">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其他资金</w:t>
            </w:r>
          </w:p>
        </w:tc>
        <w:tc>
          <w:tcPr>
            <w:tcW w:w="1185" w:type="dxa"/>
            <w:tcBorders>
              <w:top w:val="single" w:color="000000" w:sz="4" w:space="0"/>
              <w:left w:val="single" w:color="000000" w:sz="4" w:space="0"/>
              <w:bottom w:val="nil"/>
              <w:right w:val="single" w:color="000000" w:sz="4" w:space="0"/>
            </w:tcBorders>
            <w:shd w:val="clear" w:color="auto" w:fill="auto"/>
            <w:vAlign w:val="center"/>
          </w:tcPr>
          <w:p w14:paraId="4096A759">
            <w:pPr>
              <w:jc w:val="center"/>
              <w:rPr>
                <w:rFonts w:hint="eastAsia"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lang w:val="en-US" w:eastAsia="zh-CN"/>
              </w:rPr>
              <w:t>0</w:t>
            </w:r>
          </w:p>
        </w:tc>
        <w:tc>
          <w:tcPr>
            <w:tcW w:w="2088" w:type="dxa"/>
            <w:gridSpan w:val="2"/>
            <w:tcBorders>
              <w:top w:val="single" w:color="000000" w:sz="4" w:space="0"/>
              <w:left w:val="single" w:color="000000" w:sz="4" w:space="0"/>
              <w:bottom w:val="nil"/>
              <w:right w:val="single" w:color="000000" w:sz="4" w:space="0"/>
            </w:tcBorders>
            <w:shd w:val="clear" w:color="auto" w:fill="auto"/>
            <w:vAlign w:val="center"/>
          </w:tcPr>
          <w:p w14:paraId="5DDEF5D5">
            <w:pPr>
              <w:jc w:val="center"/>
              <w:rPr>
                <w:rFonts w:hint="eastAsia"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lang w:val="en-US" w:eastAsia="zh-CN"/>
              </w:rPr>
              <w:t>0</w:t>
            </w:r>
          </w:p>
        </w:tc>
        <w:tc>
          <w:tcPr>
            <w:tcW w:w="1719" w:type="dxa"/>
            <w:gridSpan w:val="3"/>
            <w:tcBorders>
              <w:top w:val="single" w:color="000000" w:sz="4" w:space="0"/>
              <w:left w:val="single" w:color="000000" w:sz="4" w:space="0"/>
              <w:bottom w:val="nil"/>
              <w:right w:val="single" w:color="000000" w:sz="4" w:space="0"/>
            </w:tcBorders>
            <w:shd w:val="clear" w:color="auto" w:fill="auto"/>
            <w:vAlign w:val="center"/>
          </w:tcPr>
          <w:p w14:paraId="53D124A8">
            <w:pPr>
              <w:jc w:val="center"/>
              <w:rPr>
                <w:rFonts w:hint="eastAsia" w:ascii="仿宋_GB2312" w:hAnsi="仿宋_GB2312" w:eastAsia="仿宋_GB2312" w:cs="仿宋_GB2312"/>
                <w:i w:val="0"/>
                <w:iCs w:val="0"/>
                <w:color w:val="auto"/>
                <w:sz w:val="18"/>
                <w:szCs w:val="18"/>
                <w:highlight w:val="none"/>
                <w:u w:val="none"/>
              </w:rPr>
            </w:pPr>
          </w:p>
        </w:tc>
        <w:tc>
          <w:tcPr>
            <w:tcW w:w="18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BA87AA3">
            <w:pPr>
              <w:jc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A57FAA">
            <w:pPr>
              <w:jc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778F0">
            <w:pPr>
              <w:jc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r>
      <w:tr w14:paraId="10B73A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46CE87">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年度总体目标</w:t>
            </w:r>
          </w:p>
        </w:tc>
        <w:tc>
          <w:tcPr>
            <w:tcW w:w="858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0C1122F">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总体目标</w:t>
            </w:r>
          </w:p>
        </w:tc>
        <w:tc>
          <w:tcPr>
            <w:tcW w:w="467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992E4E4">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总体目标完成情况</w:t>
            </w:r>
          </w:p>
        </w:tc>
      </w:tr>
      <w:tr w14:paraId="786211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DB14ED">
            <w:pPr>
              <w:jc w:val="center"/>
              <w:rPr>
                <w:rFonts w:hint="eastAsia" w:ascii="仿宋_GB2312" w:hAnsi="仿宋_GB2312" w:eastAsia="仿宋_GB2312" w:cs="仿宋_GB2312"/>
                <w:i w:val="0"/>
                <w:iCs w:val="0"/>
                <w:color w:val="auto"/>
                <w:sz w:val="18"/>
                <w:szCs w:val="18"/>
                <w:highlight w:val="none"/>
                <w:u w:val="none"/>
              </w:rPr>
            </w:pPr>
          </w:p>
        </w:tc>
        <w:tc>
          <w:tcPr>
            <w:tcW w:w="8583" w:type="dxa"/>
            <w:gridSpan w:val="10"/>
            <w:tcBorders>
              <w:top w:val="single" w:color="000000" w:sz="4" w:space="0"/>
              <w:left w:val="single" w:color="000000" w:sz="4" w:space="0"/>
              <w:bottom w:val="single" w:color="000000" w:sz="4" w:space="0"/>
              <w:right w:val="single" w:color="000000" w:sz="4" w:space="0"/>
            </w:tcBorders>
            <w:shd w:val="clear" w:color="auto" w:fill="auto"/>
            <w:vAlign w:val="top"/>
          </w:tcPr>
          <w:p w14:paraId="118078EA">
            <w:pPr>
              <w:rPr>
                <w:color w:val="auto"/>
                <w:highlight w:val="none"/>
              </w:rPr>
            </w:pPr>
            <w:r>
              <w:rPr>
                <w:rFonts w:ascii="宋体" w:hAnsi="宋体" w:eastAsia="宋体" w:cs="宋体"/>
                <w:color w:val="auto"/>
                <w:sz w:val="24"/>
                <w:szCs w:val="24"/>
                <w:highlight w:val="none"/>
                <w:u w:val="single"/>
              </w:rPr>
              <w:br w:type="textWrapping"/>
            </w:r>
            <w:r>
              <w:rPr>
                <w:rFonts w:hint="eastAsia" w:ascii="仿宋_GB2312" w:hAnsi="仿宋_GB2312" w:eastAsia="仿宋_GB2312" w:cs="仿宋_GB2312"/>
                <w:i w:val="0"/>
                <w:caps w:val="0"/>
                <w:color w:val="auto"/>
                <w:spacing w:val="0"/>
                <w:sz w:val="18"/>
                <w:szCs w:val="18"/>
                <w:highlight w:val="none"/>
                <w:u w:val="none"/>
                <w:shd w:val="clear"/>
              </w:rPr>
              <w:t>1、我单位开展元宵节社火大赛参赛人数103人，申请文化经费1万元，全力营造浓厚的中华传统节日氛围，将会为人民群众送去欢乐和文明，参赛及时率达100%，观看群众满意度达95%。有效保障人民群众精神文化活动。2、通过我县“三调”和14个乡镇“三影重叠”数据成果，由三方出具“三影重叠”报告，上图入库涉及村庄数7个，报告费3.49万元。3、开展办案业务工作所需要办案经费和业务装备经费申请设备购置费2万元，购置设备5台，设备验收合格率达100%。4、乡政府取暖费及暖气抢修工程经费67万元，暖气设备抢修及时率100%，有效的保障乡镇的基本生活和健康安全</w:t>
            </w:r>
            <w:r>
              <w:rPr>
                <w:rFonts w:hint="eastAsia" w:ascii="仿宋_GB2312" w:hAnsi="仿宋_GB2312" w:eastAsia="仿宋_GB2312" w:cs="仿宋_GB2312"/>
                <w:i w:val="0"/>
                <w:caps w:val="0"/>
                <w:color w:val="auto"/>
                <w:spacing w:val="0"/>
                <w:sz w:val="18"/>
                <w:szCs w:val="18"/>
                <w:highlight w:val="none"/>
                <w:u w:val="none"/>
                <w:shd w:val="clear"/>
                <w:lang w:eastAsia="zh-CN"/>
              </w:rPr>
              <w:t>。</w:t>
            </w:r>
          </w:p>
        </w:tc>
        <w:tc>
          <w:tcPr>
            <w:tcW w:w="467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7576A5D">
            <w:pPr>
              <w:jc w:val="left"/>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1、我单位开展元宵节社火大赛参赛人数103人，申请文化经费1万元，全力营造浓厚的中华传统节日氛围，将会为人民群众送去欢乐和文明，参赛及时率达100%，观看群众满意度达95%。有效保障人民群众精神文化活动。2、通过我县“三调”和14个乡镇“三影重叠”数据成果，由三方出具“三影重叠”报告，上图入库涉及村庄数7个，报告费3.49万元。3、开展办案业务工作所需要办案经费和业务装备经费申请设备购置费2万元，购置设备5台，设备验收合格率达100%。4、乡政府取暖费及暖气抢修工程经费67万元，暖气设备抢修及时率100%，有效的保障乡镇的基本生活和健康安全。</w:t>
            </w:r>
          </w:p>
        </w:tc>
      </w:tr>
      <w:tr w14:paraId="6E4B40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3" w:type="dxa"/>
          <w:trHeight w:val="600" w:hRule="atLeast"/>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554754">
            <w:pPr>
              <w:jc w:val="center"/>
              <w:rPr>
                <w:rFonts w:hint="eastAsia"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lang w:val="en-US" w:eastAsia="zh-CN"/>
              </w:rPr>
              <w:t>绩效指标</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411D5">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一级指标</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25DFB">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二级指标</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DE615">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三级指标</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BA52E">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指标值</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041BE">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指标值设置依据</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D8291">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上年完成值</w:t>
            </w:r>
          </w:p>
        </w:tc>
        <w:tc>
          <w:tcPr>
            <w:tcW w:w="8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ECB112">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指标分值权重</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DE621">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指标赋分规则</w:t>
            </w:r>
          </w:p>
        </w:tc>
        <w:tc>
          <w:tcPr>
            <w:tcW w:w="7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FD7E2C">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佐证资料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2EA87">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指标实际完成值</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E65CB">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完成率</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8D9E5">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指标得分</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B7A11">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偏差原因分析及改进措施</w:t>
            </w:r>
          </w:p>
        </w:tc>
      </w:tr>
      <w:tr w14:paraId="3269F5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3" w:type="dxa"/>
          <w:trHeight w:val="282"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F41212">
            <w:pPr>
              <w:jc w:val="center"/>
              <w:rPr>
                <w:rFonts w:hint="eastAsia" w:ascii="仿宋_GB2312" w:hAnsi="仿宋_GB2312" w:eastAsia="仿宋_GB2312" w:cs="仿宋_GB2312"/>
                <w:i w:val="0"/>
                <w:iCs w:val="0"/>
                <w:color w:val="auto"/>
                <w:sz w:val="18"/>
                <w:szCs w:val="18"/>
                <w:highlight w:val="none"/>
                <w:u w:val="none"/>
              </w:rPr>
            </w:pPr>
          </w:p>
        </w:tc>
        <w:tc>
          <w:tcPr>
            <w:tcW w:w="1108" w:type="dxa"/>
            <w:vMerge w:val="restart"/>
            <w:tcBorders>
              <w:top w:val="single" w:color="000000" w:sz="4" w:space="0"/>
              <w:left w:val="single" w:color="000000" w:sz="4" w:space="0"/>
              <w:right w:val="single" w:color="000000" w:sz="4" w:space="0"/>
            </w:tcBorders>
            <w:shd w:val="clear" w:color="auto" w:fill="auto"/>
            <w:noWrap/>
            <w:vAlign w:val="center"/>
          </w:tcPr>
          <w:p w14:paraId="5B13990E">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产出指标</w:t>
            </w:r>
          </w:p>
        </w:tc>
        <w:tc>
          <w:tcPr>
            <w:tcW w:w="1245" w:type="dxa"/>
            <w:vMerge w:val="restart"/>
            <w:tcBorders>
              <w:top w:val="single" w:color="000000" w:sz="4" w:space="0"/>
              <w:left w:val="single" w:color="000000" w:sz="4" w:space="0"/>
              <w:right w:val="single" w:color="000000" w:sz="4" w:space="0"/>
            </w:tcBorders>
            <w:shd w:val="clear" w:color="auto" w:fill="auto"/>
            <w:noWrap/>
            <w:vAlign w:val="center"/>
          </w:tcPr>
          <w:p w14:paraId="66422B65">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数量指标</w:t>
            </w:r>
          </w:p>
        </w:tc>
        <w:tc>
          <w:tcPr>
            <w:tcW w:w="1185" w:type="dxa"/>
            <w:tcBorders>
              <w:top w:val="single" w:color="000000" w:sz="4" w:space="0"/>
              <w:left w:val="nil"/>
              <w:bottom w:val="single" w:color="000000" w:sz="4" w:space="0"/>
              <w:right w:val="single" w:color="000000" w:sz="4" w:space="0"/>
            </w:tcBorders>
            <w:shd w:val="clear" w:color="auto" w:fill="auto"/>
            <w:vAlign w:val="center"/>
          </w:tcPr>
          <w:p w14:paraId="6607EE60">
            <w:pPr>
              <w:jc w:val="left"/>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比赛参赛人数（人）</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04BD7">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=103人</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AE093">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FE9F8">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w:t>
            </w:r>
          </w:p>
        </w:tc>
        <w:tc>
          <w:tcPr>
            <w:tcW w:w="8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C17C4F">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E32BC">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按照完成比例赋分</w:t>
            </w:r>
          </w:p>
        </w:tc>
        <w:tc>
          <w:tcPr>
            <w:tcW w:w="7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E11A2A">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E65F3">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=103人</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C8C51">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lang w:val="en-US" w:eastAsia="zh-CN"/>
              </w:rPr>
              <w:t>100</w:t>
            </w:r>
            <w:r>
              <w:rPr>
                <w:rFonts w:hint="eastAsia" w:ascii="仿宋_GB2312" w:hAnsi="仿宋_GB2312" w:eastAsia="仿宋_GB2312" w:cs="仿宋_GB2312"/>
                <w:i w:val="0"/>
                <w:iCs w:val="0"/>
                <w:color w:val="auto"/>
                <w:sz w:val="18"/>
                <w:szCs w:val="18"/>
                <w:highlight w:val="none"/>
                <w:u w:val="none"/>
                <w:lang w:val="en-US" w:eastAsia="zh-CN"/>
              </w:rPr>
              <w:t>%</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59055">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lang w:val="en-US" w:eastAsia="zh-CN"/>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1D514">
            <w:pPr>
              <w:jc w:val="center"/>
              <w:rPr>
                <w:rFonts w:hint="eastAsia" w:ascii="仿宋_GB2312" w:hAnsi="仿宋_GB2312" w:eastAsia="仿宋_GB2312" w:cs="仿宋_GB2312"/>
                <w:i w:val="0"/>
                <w:iCs w:val="0"/>
                <w:color w:val="auto"/>
                <w:sz w:val="18"/>
                <w:szCs w:val="18"/>
                <w:highlight w:val="none"/>
                <w:u w:val="none"/>
              </w:rPr>
            </w:pPr>
          </w:p>
        </w:tc>
      </w:tr>
      <w:tr w14:paraId="73B8E8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3" w:type="dxa"/>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D76BD6">
            <w:pPr>
              <w:jc w:val="center"/>
              <w:rPr>
                <w:rFonts w:hint="eastAsia" w:ascii="仿宋_GB2312" w:hAnsi="仿宋_GB2312" w:eastAsia="仿宋_GB2312" w:cs="仿宋_GB2312"/>
                <w:i w:val="0"/>
                <w:iCs w:val="0"/>
                <w:color w:val="auto"/>
                <w:sz w:val="18"/>
                <w:szCs w:val="18"/>
                <w:highlight w:val="none"/>
                <w:u w:val="none"/>
              </w:rPr>
            </w:pPr>
          </w:p>
        </w:tc>
        <w:tc>
          <w:tcPr>
            <w:tcW w:w="1108" w:type="dxa"/>
            <w:vMerge w:val="continue"/>
            <w:tcBorders>
              <w:left w:val="single" w:color="000000" w:sz="4" w:space="0"/>
              <w:right w:val="single" w:color="000000" w:sz="4" w:space="0"/>
            </w:tcBorders>
            <w:shd w:val="clear" w:color="auto" w:fill="auto"/>
            <w:noWrap/>
            <w:vAlign w:val="center"/>
          </w:tcPr>
          <w:p w14:paraId="735D5F2F">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p>
        </w:tc>
        <w:tc>
          <w:tcPr>
            <w:tcW w:w="1245" w:type="dxa"/>
            <w:vMerge w:val="continue"/>
            <w:tcBorders>
              <w:left w:val="single" w:color="000000" w:sz="4" w:space="0"/>
              <w:right w:val="single" w:color="000000" w:sz="4" w:space="0"/>
            </w:tcBorders>
            <w:shd w:val="clear" w:color="auto" w:fill="auto"/>
            <w:noWrap/>
            <w:vAlign w:val="center"/>
          </w:tcPr>
          <w:p w14:paraId="6A05FE6E">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p>
        </w:tc>
        <w:tc>
          <w:tcPr>
            <w:tcW w:w="1185" w:type="dxa"/>
            <w:tcBorders>
              <w:top w:val="single" w:color="000000" w:sz="4" w:space="0"/>
              <w:left w:val="nil"/>
              <w:bottom w:val="single" w:color="000000" w:sz="4" w:space="0"/>
              <w:right w:val="single" w:color="000000" w:sz="4" w:space="0"/>
            </w:tcBorders>
            <w:shd w:val="clear" w:color="auto" w:fill="auto"/>
            <w:vAlign w:val="center"/>
          </w:tcPr>
          <w:p w14:paraId="6584D593">
            <w:pPr>
              <w:jc w:val="left"/>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“三影重叠”上图入库涉及村庄数</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4A36B">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=7个</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35DA8">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DD80E">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w:t>
            </w:r>
          </w:p>
        </w:tc>
        <w:tc>
          <w:tcPr>
            <w:tcW w:w="8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1F6379">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lang w:val="en-US" w:eastAsia="zh-CN"/>
              </w:rPr>
              <w:t>5</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DAFD5">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按照完成比例赋分</w:t>
            </w:r>
          </w:p>
        </w:tc>
        <w:tc>
          <w:tcPr>
            <w:tcW w:w="7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E0FDB6">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B593A">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=7个</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9AC14">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E9D43">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lang w:val="en-US" w:eastAsia="zh-CN"/>
              </w:rPr>
              <w:t>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6B47E">
            <w:pPr>
              <w:jc w:val="center"/>
              <w:rPr>
                <w:rFonts w:hint="eastAsia" w:ascii="仿宋_GB2312" w:hAnsi="仿宋_GB2312" w:eastAsia="仿宋_GB2312" w:cs="仿宋_GB2312"/>
                <w:i w:val="0"/>
                <w:iCs w:val="0"/>
                <w:color w:val="auto"/>
                <w:sz w:val="18"/>
                <w:szCs w:val="18"/>
                <w:highlight w:val="none"/>
                <w:u w:val="none"/>
              </w:rPr>
            </w:pPr>
          </w:p>
        </w:tc>
      </w:tr>
      <w:tr w14:paraId="7AAC13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3" w:type="dxa"/>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3D0736">
            <w:pPr>
              <w:jc w:val="center"/>
              <w:rPr>
                <w:rFonts w:hint="eastAsia" w:ascii="仿宋_GB2312" w:hAnsi="仿宋_GB2312" w:eastAsia="仿宋_GB2312" w:cs="仿宋_GB2312"/>
                <w:i w:val="0"/>
                <w:iCs w:val="0"/>
                <w:color w:val="auto"/>
                <w:sz w:val="18"/>
                <w:szCs w:val="18"/>
                <w:highlight w:val="none"/>
                <w:u w:val="none"/>
              </w:rPr>
            </w:pPr>
          </w:p>
        </w:tc>
        <w:tc>
          <w:tcPr>
            <w:tcW w:w="1108" w:type="dxa"/>
            <w:vMerge w:val="continue"/>
            <w:tcBorders>
              <w:left w:val="single" w:color="000000" w:sz="4" w:space="0"/>
              <w:right w:val="single" w:color="000000" w:sz="4" w:space="0"/>
            </w:tcBorders>
            <w:shd w:val="clear" w:color="auto" w:fill="auto"/>
            <w:noWrap/>
            <w:vAlign w:val="center"/>
          </w:tcPr>
          <w:p w14:paraId="787FD1E1">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p>
        </w:tc>
        <w:tc>
          <w:tcPr>
            <w:tcW w:w="1245" w:type="dxa"/>
            <w:vMerge w:val="continue"/>
            <w:tcBorders>
              <w:left w:val="single" w:color="000000" w:sz="4" w:space="0"/>
              <w:bottom w:val="nil"/>
              <w:right w:val="single" w:color="000000" w:sz="4" w:space="0"/>
            </w:tcBorders>
            <w:shd w:val="clear" w:color="auto" w:fill="auto"/>
            <w:noWrap/>
            <w:vAlign w:val="center"/>
          </w:tcPr>
          <w:p w14:paraId="12C6AC5D">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p>
        </w:tc>
        <w:tc>
          <w:tcPr>
            <w:tcW w:w="1185" w:type="dxa"/>
            <w:tcBorders>
              <w:top w:val="single" w:color="000000" w:sz="4" w:space="0"/>
              <w:left w:val="nil"/>
              <w:bottom w:val="single" w:color="000000" w:sz="4" w:space="0"/>
              <w:right w:val="single" w:color="000000" w:sz="4" w:space="0"/>
            </w:tcBorders>
            <w:shd w:val="clear" w:color="auto" w:fill="auto"/>
            <w:vAlign w:val="center"/>
          </w:tcPr>
          <w:p w14:paraId="1FC74714">
            <w:pPr>
              <w:jc w:val="left"/>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购买办公设备数量</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03869">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=5台</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89359">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39039">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w:t>
            </w:r>
          </w:p>
        </w:tc>
        <w:tc>
          <w:tcPr>
            <w:tcW w:w="8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9C716C">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lang w:val="en-US" w:eastAsia="zh-CN"/>
              </w:rPr>
              <w:t>5</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29784">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按照完成比例赋分</w:t>
            </w:r>
          </w:p>
        </w:tc>
        <w:tc>
          <w:tcPr>
            <w:tcW w:w="7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F1E865">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390B1">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=5台</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A184C">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98941">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lang w:val="en-US" w:eastAsia="zh-CN"/>
              </w:rPr>
              <w:t>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A63D4">
            <w:pPr>
              <w:jc w:val="center"/>
              <w:rPr>
                <w:rFonts w:hint="eastAsia" w:ascii="仿宋_GB2312" w:hAnsi="仿宋_GB2312" w:eastAsia="仿宋_GB2312" w:cs="仿宋_GB2312"/>
                <w:i w:val="0"/>
                <w:iCs w:val="0"/>
                <w:color w:val="auto"/>
                <w:sz w:val="18"/>
                <w:szCs w:val="18"/>
                <w:highlight w:val="none"/>
                <w:u w:val="none"/>
              </w:rPr>
            </w:pPr>
          </w:p>
        </w:tc>
      </w:tr>
      <w:tr w14:paraId="4A6508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3" w:type="dxa"/>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5073E4">
            <w:pPr>
              <w:jc w:val="center"/>
              <w:rPr>
                <w:rFonts w:hint="eastAsia" w:ascii="仿宋_GB2312" w:hAnsi="仿宋_GB2312" w:eastAsia="仿宋_GB2312" w:cs="仿宋_GB2312"/>
                <w:i w:val="0"/>
                <w:iCs w:val="0"/>
                <w:color w:val="auto"/>
                <w:sz w:val="18"/>
                <w:szCs w:val="18"/>
                <w:highlight w:val="none"/>
                <w:u w:val="none"/>
              </w:rPr>
            </w:pPr>
          </w:p>
        </w:tc>
        <w:tc>
          <w:tcPr>
            <w:tcW w:w="1108" w:type="dxa"/>
            <w:vMerge w:val="continue"/>
            <w:tcBorders>
              <w:left w:val="single" w:color="000000" w:sz="4" w:space="0"/>
              <w:right w:val="single" w:color="000000" w:sz="4" w:space="0"/>
            </w:tcBorders>
            <w:shd w:val="clear" w:color="auto" w:fill="auto"/>
            <w:noWrap/>
            <w:vAlign w:val="center"/>
          </w:tcPr>
          <w:p w14:paraId="5EF93338">
            <w:pPr>
              <w:jc w:val="center"/>
              <w:rPr>
                <w:rFonts w:hint="eastAsia" w:ascii="仿宋_GB2312" w:hAnsi="仿宋_GB2312" w:eastAsia="仿宋_GB2312" w:cs="仿宋_GB2312"/>
                <w:i w:val="0"/>
                <w:iCs w:val="0"/>
                <w:color w:val="auto"/>
                <w:sz w:val="18"/>
                <w:szCs w:val="18"/>
                <w:highlight w:val="none"/>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50E48">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质量指标</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46567">
            <w:pPr>
              <w:jc w:val="left"/>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设备验收合格率（%）</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92564">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rPr>
              <w:t>=100%</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C1BEB">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B9794">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w:t>
            </w:r>
          </w:p>
        </w:tc>
        <w:tc>
          <w:tcPr>
            <w:tcW w:w="8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3DF57B">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lang w:val="en-US" w:eastAsia="zh-CN"/>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CBE1E">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按照完成比例赋分</w:t>
            </w:r>
          </w:p>
        </w:tc>
        <w:tc>
          <w:tcPr>
            <w:tcW w:w="7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37F9F1">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2737D">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15955">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7E77D">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lang w:val="en-US" w:eastAsia="zh-CN"/>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528B0">
            <w:pPr>
              <w:jc w:val="center"/>
              <w:rPr>
                <w:rFonts w:hint="eastAsia" w:ascii="仿宋_GB2312" w:hAnsi="仿宋_GB2312" w:eastAsia="仿宋_GB2312" w:cs="仿宋_GB2312"/>
                <w:i w:val="0"/>
                <w:iCs w:val="0"/>
                <w:color w:val="auto"/>
                <w:sz w:val="18"/>
                <w:szCs w:val="18"/>
                <w:highlight w:val="none"/>
                <w:u w:val="none"/>
              </w:rPr>
            </w:pPr>
          </w:p>
        </w:tc>
      </w:tr>
      <w:tr w14:paraId="48E40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3" w:type="dxa"/>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6E333">
            <w:pPr>
              <w:jc w:val="center"/>
              <w:rPr>
                <w:rFonts w:hint="eastAsia" w:ascii="仿宋_GB2312" w:hAnsi="仿宋_GB2312" w:eastAsia="仿宋_GB2312" w:cs="仿宋_GB2312"/>
                <w:i w:val="0"/>
                <w:iCs w:val="0"/>
                <w:color w:val="auto"/>
                <w:sz w:val="18"/>
                <w:szCs w:val="18"/>
                <w:highlight w:val="none"/>
                <w:u w:val="none"/>
              </w:rPr>
            </w:pPr>
          </w:p>
        </w:tc>
        <w:tc>
          <w:tcPr>
            <w:tcW w:w="1108" w:type="dxa"/>
            <w:vMerge w:val="continue"/>
            <w:tcBorders>
              <w:left w:val="single" w:color="000000" w:sz="4" w:space="0"/>
              <w:right w:val="single" w:color="000000" w:sz="4" w:space="0"/>
            </w:tcBorders>
            <w:shd w:val="clear" w:color="auto" w:fill="auto"/>
            <w:noWrap/>
            <w:vAlign w:val="center"/>
          </w:tcPr>
          <w:p w14:paraId="5AA5E5F8">
            <w:pPr>
              <w:jc w:val="center"/>
              <w:rPr>
                <w:rFonts w:hint="eastAsia" w:ascii="仿宋_GB2312" w:hAnsi="仿宋_GB2312" w:eastAsia="仿宋_GB2312" w:cs="仿宋_GB2312"/>
                <w:i w:val="0"/>
                <w:iCs w:val="0"/>
                <w:color w:val="auto"/>
                <w:sz w:val="18"/>
                <w:szCs w:val="18"/>
                <w:highlight w:val="none"/>
                <w:u w:val="none"/>
              </w:rPr>
            </w:pPr>
          </w:p>
        </w:tc>
        <w:tc>
          <w:tcPr>
            <w:tcW w:w="1245" w:type="dxa"/>
            <w:vMerge w:val="restart"/>
            <w:tcBorders>
              <w:top w:val="single" w:color="000000" w:sz="4" w:space="0"/>
              <w:left w:val="single" w:color="000000" w:sz="4" w:space="0"/>
              <w:right w:val="single" w:color="000000" w:sz="4" w:space="0"/>
            </w:tcBorders>
            <w:shd w:val="clear" w:color="auto" w:fill="auto"/>
            <w:noWrap/>
            <w:vAlign w:val="center"/>
          </w:tcPr>
          <w:p w14:paraId="31FD1053">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时效指标</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EE338">
            <w:pPr>
              <w:jc w:val="left"/>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参赛及时率（%）</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DF4AE">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=100%</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28B25">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C9086">
            <w:pPr>
              <w:jc w:val="center"/>
              <w:rPr>
                <w:rFonts w:hint="eastAsia"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lang w:val="en-US" w:eastAsia="zh-CN"/>
              </w:rPr>
              <w:t>-</w:t>
            </w:r>
          </w:p>
        </w:tc>
        <w:tc>
          <w:tcPr>
            <w:tcW w:w="8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319FCB">
            <w:pPr>
              <w:jc w:val="center"/>
              <w:rPr>
                <w:rFonts w:hint="eastAsia"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lang w:val="en-US" w:eastAsia="zh-CN"/>
              </w:rPr>
              <w:t>5</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9809B">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按照完成比例赋分</w:t>
            </w:r>
          </w:p>
        </w:tc>
        <w:tc>
          <w:tcPr>
            <w:tcW w:w="7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85CE80">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F29EC">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949FA">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A76EE">
            <w:pPr>
              <w:jc w:val="center"/>
              <w:rPr>
                <w:rFonts w:hint="eastAsia"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lang w:val="en-US" w:eastAsia="zh-CN"/>
              </w:rPr>
              <w:t>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63DAD">
            <w:pPr>
              <w:jc w:val="center"/>
              <w:rPr>
                <w:rFonts w:hint="eastAsia" w:ascii="仿宋_GB2312" w:hAnsi="仿宋_GB2312" w:eastAsia="仿宋_GB2312" w:cs="仿宋_GB2312"/>
                <w:b/>
                <w:bCs/>
                <w:i w:val="0"/>
                <w:iCs w:val="0"/>
                <w:color w:val="auto"/>
                <w:sz w:val="18"/>
                <w:szCs w:val="18"/>
                <w:highlight w:val="none"/>
                <w:u w:val="none"/>
              </w:rPr>
            </w:pPr>
          </w:p>
        </w:tc>
      </w:tr>
      <w:tr w14:paraId="340D02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3" w:type="dxa"/>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F6957">
            <w:pPr>
              <w:jc w:val="center"/>
              <w:rPr>
                <w:rFonts w:hint="eastAsia" w:ascii="仿宋_GB2312" w:hAnsi="仿宋_GB2312" w:eastAsia="仿宋_GB2312" w:cs="仿宋_GB2312"/>
                <w:i w:val="0"/>
                <w:iCs w:val="0"/>
                <w:color w:val="auto"/>
                <w:sz w:val="18"/>
                <w:szCs w:val="18"/>
                <w:highlight w:val="none"/>
                <w:u w:val="none"/>
              </w:rPr>
            </w:pPr>
          </w:p>
        </w:tc>
        <w:tc>
          <w:tcPr>
            <w:tcW w:w="1108" w:type="dxa"/>
            <w:vMerge w:val="continue"/>
            <w:tcBorders>
              <w:left w:val="single" w:color="000000" w:sz="4" w:space="0"/>
              <w:bottom w:val="single" w:color="000000" w:sz="4" w:space="0"/>
              <w:right w:val="single" w:color="000000" w:sz="4" w:space="0"/>
            </w:tcBorders>
            <w:shd w:val="clear" w:color="auto" w:fill="auto"/>
            <w:noWrap/>
            <w:vAlign w:val="center"/>
          </w:tcPr>
          <w:p w14:paraId="74484C0B">
            <w:pPr>
              <w:jc w:val="center"/>
              <w:rPr>
                <w:rFonts w:hint="eastAsia" w:ascii="仿宋_GB2312" w:hAnsi="仿宋_GB2312" w:eastAsia="仿宋_GB2312" w:cs="仿宋_GB2312"/>
                <w:i w:val="0"/>
                <w:iCs w:val="0"/>
                <w:color w:val="auto"/>
                <w:sz w:val="18"/>
                <w:szCs w:val="18"/>
                <w:highlight w:val="none"/>
                <w:u w:val="none"/>
              </w:rPr>
            </w:pPr>
          </w:p>
        </w:tc>
        <w:tc>
          <w:tcPr>
            <w:tcW w:w="1245" w:type="dxa"/>
            <w:vMerge w:val="continue"/>
            <w:tcBorders>
              <w:left w:val="single" w:color="000000" w:sz="4" w:space="0"/>
              <w:bottom w:val="nil"/>
              <w:right w:val="single" w:color="000000" w:sz="4" w:space="0"/>
            </w:tcBorders>
            <w:shd w:val="clear" w:color="auto" w:fill="auto"/>
            <w:noWrap/>
            <w:vAlign w:val="center"/>
          </w:tcPr>
          <w:p w14:paraId="382FEA0C">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D2408">
            <w:pPr>
              <w:jc w:val="left"/>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暖气设备抢修及时率（%）</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2A7C9">
            <w:pPr>
              <w:jc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仿宋_GB2312" w:hAnsi="仿宋_GB2312" w:eastAsia="仿宋_GB2312" w:cs="仿宋_GB2312"/>
                <w:i w:val="0"/>
                <w:iCs w:val="0"/>
                <w:color w:val="auto"/>
                <w:sz w:val="18"/>
                <w:szCs w:val="18"/>
                <w:highlight w:val="none"/>
                <w:u w:val="none"/>
              </w:rPr>
              <w:t>=100%</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46133">
            <w:pPr>
              <w:jc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仿宋_GB2312" w:hAnsi="仿宋_GB2312" w:eastAsia="仿宋_GB2312" w:cs="仿宋_GB2312"/>
                <w:i w:val="0"/>
                <w:iCs w:val="0"/>
                <w:color w:val="auto"/>
                <w:sz w:val="18"/>
                <w:szCs w:val="18"/>
                <w:highlight w:val="none"/>
                <w:u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B493A">
            <w:pPr>
              <w:jc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仿宋_GB2312" w:hAnsi="仿宋_GB2312" w:eastAsia="仿宋_GB2312" w:cs="仿宋_GB2312"/>
                <w:i w:val="0"/>
                <w:iCs w:val="0"/>
                <w:color w:val="auto"/>
                <w:sz w:val="18"/>
                <w:szCs w:val="18"/>
                <w:highlight w:val="none"/>
                <w:u w:val="none"/>
                <w:lang w:val="en-US" w:eastAsia="zh-CN"/>
              </w:rPr>
              <w:t>-</w:t>
            </w:r>
          </w:p>
        </w:tc>
        <w:tc>
          <w:tcPr>
            <w:tcW w:w="8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2F98D1">
            <w:pPr>
              <w:jc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仿宋_GB2312" w:hAnsi="仿宋_GB2312" w:eastAsia="仿宋_GB2312" w:cs="仿宋_GB2312"/>
                <w:i w:val="0"/>
                <w:iCs w:val="0"/>
                <w:color w:val="auto"/>
                <w:sz w:val="18"/>
                <w:szCs w:val="18"/>
                <w:highlight w:val="none"/>
                <w:u w:val="none"/>
                <w:lang w:val="en-US" w:eastAsia="zh-CN"/>
              </w:rPr>
              <w:t>5</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FAE14">
            <w:pPr>
              <w:jc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仿宋_GB2312" w:hAnsi="仿宋_GB2312" w:eastAsia="仿宋_GB2312" w:cs="仿宋_GB2312"/>
                <w:i w:val="0"/>
                <w:iCs w:val="0"/>
                <w:color w:val="auto"/>
                <w:sz w:val="18"/>
                <w:szCs w:val="18"/>
                <w:highlight w:val="none"/>
                <w:u w:val="none"/>
              </w:rPr>
              <w:t>按照完成比例赋分</w:t>
            </w:r>
          </w:p>
        </w:tc>
        <w:tc>
          <w:tcPr>
            <w:tcW w:w="7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E160FE">
            <w:pPr>
              <w:jc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仿宋_GB2312" w:hAnsi="仿宋_GB2312" w:eastAsia="仿宋_GB2312" w:cs="仿宋_GB2312"/>
                <w:i w:val="0"/>
                <w:iCs w:val="0"/>
                <w:color w:val="auto"/>
                <w:sz w:val="18"/>
                <w:szCs w:val="18"/>
                <w:highlight w:val="none"/>
                <w:u w:val="none"/>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1EAA9">
            <w:pPr>
              <w:jc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仿宋_GB2312" w:hAnsi="仿宋_GB2312" w:eastAsia="仿宋_GB2312" w:cs="仿宋_GB2312"/>
                <w:i w:val="0"/>
                <w:iCs w:val="0"/>
                <w:color w:val="auto"/>
                <w:sz w:val="18"/>
                <w:szCs w:val="18"/>
                <w:highlight w:val="none"/>
                <w:u w:val="none"/>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50A47">
            <w:pPr>
              <w:jc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仿宋_GB2312" w:hAnsi="仿宋_GB2312" w:eastAsia="仿宋_GB2312" w:cs="仿宋_GB2312"/>
                <w:i w:val="0"/>
                <w:iCs w:val="0"/>
                <w:color w:val="auto"/>
                <w:sz w:val="18"/>
                <w:szCs w:val="18"/>
                <w:highlight w:val="none"/>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CFBBD">
            <w:pPr>
              <w:jc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仿宋_GB2312" w:hAnsi="仿宋_GB2312" w:eastAsia="仿宋_GB2312" w:cs="仿宋_GB2312"/>
                <w:i w:val="0"/>
                <w:iCs w:val="0"/>
                <w:color w:val="auto"/>
                <w:sz w:val="18"/>
                <w:szCs w:val="18"/>
                <w:highlight w:val="none"/>
                <w:u w:val="none"/>
                <w:lang w:val="en-US" w:eastAsia="zh-CN"/>
              </w:rPr>
              <w:t>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395A4">
            <w:pPr>
              <w:jc w:val="center"/>
              <w:rPr>
                <w:rFonts w:hint="eastAsia" w:ascii="仿宋_GB2312" w:hAnsi="仿宋_GB2312" w:eastAsia="仿宋_GB2312" w:cs="仿宋_GB2312"/>
                <w:b/>
                <w:bCs/>
                <w:i w:val="0"/>
                <w:iCs w:val="0"/>
                <w:color w:val="auto"/>
                <w:sz w:val="18"/>
                <w:szCs w:val="18"/>
                <w:highlight w:val="none"/>
                <w:u w:val="none"/>
              </w:rPr>
            </w:pPr>
          </w:p>
        </w:tc>
      </w:tr>
      <w:tr w14:paraId="465292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3" w:type="dxa"/>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D171B">
            <w:pPr>
              <w:jc w:val="center"/>
              <w:rPr>
                <w:rFonts w:hint="eastAsia" w:ascii="仿宋_GB2312" w:hAnsi="仿宋_GB2312" w:eastAsia="仿宋_GB2312" w:cs="仿宋_GB2312"/>
                <w:i w:val="0"/>
                <w:iCs w:val="0"/>
                <w:color w:val="auto"/>
                <w:sz w:val="18"/>
                <w:szCs w:val="18"/>
                <w:highlight w:val="none"/>
                <w:u w:val="none"/>
              </w:rPr>
            </w:pPr>
          </w:p>
        </w:tc>
        <w:tc>
          <w:tcPr>
            <w:tcW w:w="1108" w:type="dxa"/>
            <w:vMerge w:val="restart"/>
            <w:tcBorders>
              <w:top w:val="single" w:color="000000" w:sz="4" w:space="0"/>
              <w:left w:val="single" w:color="000000" w:sz="4" w:space="0"/>
              <w:right w:val="single" w:color="000000" w:sz="4" w:space="0"/>
            </w:tcBorders>
            <w:shd w:val="clear" w:color="auto" w:fill="auto"/>
            <w:vAlign w:val="center"/>
          </w:tcPr>
          <w:p w14:paraId="1465E9C3">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lang w:val="en-US" w:eastAsia="zh-CN"/>
              </w:rPr>
              <w:t>成本指标</w:t>
            </w:r>
          </w:p>
        </w:tc>
        <w:tc>
          <w:tcPr>
            <w:tcW w:w="1245" w:type="dxa"/>
            <w:vMerge w:val="restart"/>
            <w:tcBorders>
              <w:top w:val="single" w:color="000000" w:sz="4" w:space="0"/>
              <w:left w:val="single" w:color="000000" w:sz="4" w:space="0"/>
              <w:right w:val="single" w:color="000000" w:sz="4" w:space="0"/>
            </w:tcBorders>
            <w:shd w:val="clear" w:color="auto" w:fill="auto"/>
            <w:noWrap/>
            <w:vAlign w:val="center"/>
          </w:tcPr>
          <w:p w14:paraId="1E5481F1">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经济成本指标</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B9FD8">
            <w:pPr>
              <w:jc w:val="left"/>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购置设备经费金额</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6739B">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=2万元</w:t>
            </w:r>
          </w:p>
        </w:tc>
        <w:tc>
          <w:tcPr>
            <w:tcW w:w="1164" w:type="dxa"/>
            <w:tcBorders>
              <w:top w:val="single" w:color="000000" w:sz="4" w:space="0"/>
              <w:left w:val="single" w:color="000000" w:sz="4" w:space="0"/>
              <w:bottom w:val="nil"/>
              <w:right w:val="single" w:color="000000" w:sz="4" w:space="0"/>
            </w:tcBorders>
            <w:shd w:val="clear" w:color="auto" w:fill="auto"/>
            <w:vAlign w:val="center"/>
          </w:tcPr>
          <w:p w14:paraId="5269B3CF">
            <w:pPr>
              <w:jc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仿宋_GB2312" w:hAnsi="仿宋_GB2312" w:eastAsia="仿宋_GB2312" w:cs="仿宋_GB2312"/>
                <w:i w:val="0"/>
                <w:iCs w:val="0"/>
                <w:color w:val="auto"/>
                <w:sz w:val="18"/>
                <w:szCs w:val="18"/>
                <w:highlight w:val="none"/>
                <w:u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07593">
            <w:pPr>
              <w:jc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仿宋_GB2312" w:hAnsi="仿宋_GB2312" w:eastAsia="仿宋_GB2312" w:cs="仿宋_GB2312"/>
                <w:i w:val="0"/>
                <w:iCs w:val="0"/>
                <w:color w:val="auto"/>
                <w:sz w:val="18"/>
                <w:szCs w:val="18"/>
                <w:highlight w:val="none"/>
                <w:u w:val="none"/>
              </w:rPr>
              <w:t>-</w:t>
            </w:r>
          </w:p>
        </w:tc>
        <w:tc>
          <w:tcPr>
            <w:tcW w:w="8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98F24B">
            <w:pPr>
              <w:jc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仿宋_GB2312" w:hAnsi="仿宋_GB2312" w:eastAsia="仿宋_GB2312" w:cs="仿宋_GB2312"/>
                <w:i w:val="0"/>
                <w:iCs w:val="0"/>
                <w:color w:val="auto"/>
                <w:sz w:val="18"/>
                <w:szCs w:val="18"/>
                <w:highlight w:val="none"/>
                <w:u w:val="none"/>
                <w:lang w:val="en-US" w:eastAsia="zh-CN"/>
              </w:rPr>
              <w:t>5</w:t>
            </w:r>
          </w:p>
        </w:tc>
        <w:tc>
          <w:tcPr>
            <w:tcW w:w="882" w:type="dxa"/>
            <w:tcBorders>
              <w:top w:val="single" w:color="000000" w:sz="4" w:space="0"/>
              <w:left w:val="single" w:color="000000" w:sz="4" w:space="0"/>
              <w:bottom w:val="nil"/>
              <w:right w:val="single" w:color="000000" w:sz="4" w:space="0"/>
            </w:tcBorders>
            <w:shd w:val="clear" w:color="auto" w:fill="auto"/>
            <w:vAlign w:val="center"/>
          </w:tcPr>
          <w:p w14:paraId="7EA31EF6">
            <w:pPr>
              <w:jc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仿宋_GB2312" w:hAnsi="仿宋_GB2312" w:eastAsia="仿宋_GB2312" w:cs="仿宋_GB2312"/>
                <w:i w:val="0"/>
                <w:iCs w:val="0"/>
                <w:color w:val="auto"/>
                <w:sz w:val="18"/>
                <w:szCs w:val="18"/>
                <w:highlight w:val="none"/>
                <w:u w:val="none"/>
              </w:rPr>
              <w:t>按照完成比例赋分</w:t>
            </w:r>
          </w:p>
        </w:tc>
        <w:tc>
          <w:tcPr>
            <w:tcW w:w="7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264D49">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原始凭证</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9AA03">
            <w:pPr>
              <w:jc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仿宋_GB2312" w:hAnsi="仿宋_GB2312" w:eastAsia="仿宋_GB2312" w:cs="仿宋_GB2312"/>
                <w:i w:val="0"/>
                <w:iCs w:val="0"/>
                <w:color w:val="auto"/>
                <w:sz w:val="18"/>
                <w:szCs w:val="18"/>
                <w:highlight w:val="none"/>
                <w:u w:val="none"/>
              </w:rPr>
              <w:t>=2万元</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45D21">
            <w:pPr>
              <w:jc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仿宋_GB2312" w:hAnsi="仿宋_GB2312" w:eastAsia="仿宋_GB2312" w:cs="仿宋_GB2312"/>
                <w:i w:val="0"/>
                <w:iCs w:val="0"/>
                <w:color w:val="auto"/>
                <w:sz w:val="18"/>
                <w:szCs w:val="18"/>
                <w:highlight w:val="none"/>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EAE2B">
            <w:pPr>
              <w:jc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仿宋_GB2312" w:hAnsi="仿宋_GB2312" w:eastAsia="仿宋_GB2312" w:cs="仿宋_GB2312"/>
                <w:i w:val="0"/>
                <w:iCs w:val="0"/>
                <w:color w:val="auto"/>
                <w:sz w:val="18"/>
                <w:szCs w:val="18"/>
                <w:highlight w:val="none"/>
                <w:u w:val="none"/>
                <w:lang w:val="en-US" w:eastAsia="zh-CN"/>
              </w:rPr>
              <w:t>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B79D6">
            <w:pPr>
              <w:jc w:val="center"/>
              <w:rPr>
                <w:rFonts w:hint="eastAsia" w:ascii="仿宋_GB2312" w:hAnsi="仿宋_GB2312" w:eastAsia="仿宋_GB2312" w:cs="仿宋_GB2312"/>
                <w:i w:val="0"/>
                <w:iCs w:val="0"/>
                <w:color w:val="auto"/>
                <w:sz w:val="18"/>
                <w:szCs w:val="18"/>
                <w:highlight w:val="none"/>
                <w:u w:val="none"/>
              </w:rPr>
            </w:pPr>
          </w:p>
        </w:tc>
      </w:tr>
      <w:tr w14:paraId="19B496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3" w:type="dxa"/>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2B219">
            <w:pPr>
              <w:jc w:val="center"/>
              <w:rPr>
                <w:rFonts w:hint="eastAsia" w:ascii="仿宋_GB2312" w:hAnsi="仿宋_GB2312" w:eastAsia="仿宋_GB2312" w:cs="仿宋_GB2312"/>
                <w:i w:val="0"/>
                <w:iCs w:val="0"/>
                <w:color w:val="auto"/>
                <w:sz w:val="18"/>
                <w:szCs w:val="18"/>
                <w:highlight w:val="none"/>
                <w:u w:val="none"/>
              </w:rPr>
            </w:pPr>
          </w:p>
        </w:tc>
        <w:tc>
          <w:tcPr>
            <w:tcW w:w="1108" w:type="dxa"/>
            <w:vMerge w:val="continue"/>
            <w:tcBorders>
              <w:left w:val="single" w:color="000000" w:sz="4" w:space="0"/>
              <w:right w:val="single" w:color="000000" w:sz="4" w:space="0"/>
            </w:tcBorders>
            <w:shd w:val="clear" w:color="auto" w:fill="auto"/>
            <w:vAlign w:val="center"/>
          </w:tcPr>
          <w:p w14:paraId="4377536F">
            <w:pPr>
              <w:jc w:val="center"/>
              <w:rPr>
                <w:rFonts w:hint="eastAsia" w:ascii="仿宋_GB2312" w:hAnsi="仿宋_GB2312" w:eastAsia="仿宋_GB2312" w:cs="仿宋_GB2312"/>
                <w:i w:val="0"/>
                <w:iCs w:val="0"/>
                <w:color w:val="auto"/>
                <w:sz w:val="18"/>
                <w:szCs w:val="18"/>
                <w:highlight w:val="none"/>
                <w:u w:val="none"/>
                <w:lang w:val="en-US" w:eastAsia="zh-CN"/>
              </w:rPr>
            </w:pPr>
          </w:p>
        </w:tc>
        <w:tc>
          <w:tcPr>
            <w:tcW w:w="1245" w:type="dxa"/>
            <w:vMerge w:val="continue"/>
            <w:tcBorders>
              <w:left w:val="single" w:color="000000" w:sz="4" w:space="0"/>
              <w:right w:val="single" w:color="000000" w:sz="4" w:space="0"/>
            </w:tcBorders>
            <w:shd w:val="clear" w:color="auto" w:fill="auto"/>
            <w:noWrap/>
            <w:vAlign w:val="center"/>
          </w:tcPr>
          <w:p w14:paraId="3F9EFFAD">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97C97">
            <w:pPr>
              <w:jc w:val="left"/>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文化活动经费金额</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ECDE5">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=1万元</w:t>
            </w:r>
          </w:p>
        </w:tc>
        <w:tc>
          <w:tcPr>
            <w:tcW w:w="1164" w:type="dxa"/>
            <w:tcBorders>
              <w:top w:val="single" w:color="000000" w:sz="4" w:space="0"/>
              <w:left w:val="single" w:color="000000" w:sz="4" w:space="0"/>
              <w:bottom w:val="nil"/>
              <w:right w:val="single" w:color="000000" w:sz="4" w:space="0"/>
            </w:tcBorders>
            <w:shd w:val="clear" w:color="auto" w:fill="auto"/>
            <w:vAlign w:val="center"/>
          </w:tcPr>
          <w:p w14:paraId="720495D5">
            <w:pPr>
              <w:jc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仿宋_GB2312" w:hAnsi="仿宋_GB2312" w:eastAsia="仿宋_GB2312" w:cs="仿宋_GB2312"/>
                <w:i w:val="0"/>
                <w:iCs w:val="0"/>
                <w:color w:val="auto"/>
                <w:sz w:val="18"/>
                <w:szCs w:val="18"/>
                <w:highlight w:val="none"/>
                <w:u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97D5A">
            <w:pPr>
              <w:jc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仿宋_GB2312" w:hAnsi="仿宋_GB2312" w:eastAsia="仿宋_GB2312" w:cs="仿宋_GB2312"/>
                <w:i w:val="0"/>
                <w:iCs w:val="0"/>
                <w:color w:val="auto"/>
                <w:sz w:val="18"/>
                <w:szCs w:val="18"/>
                <w:highlight w:val="none"/>
                <w:u w:val="none"/>
              </w:rPr>
              <w:t>-</w:t>
            </w:r>
          </w:p>
        </w:tc>
        <w:tc>
          <w:tcPr>
            <w:tcW w:w="8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3A8F12">
            <w:pPr>
              <w:jc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仿宋_GB2312" w:hAnsi="仿宋_GB2312" w:eastAsia="仿宋_GB2312" w:cs="仿宋_GB2312"/>
                <w:i w:val="0"/>
                <w:iCs w:val="0"/>
                <w:color w:val="auto"/>
                <w:sz w:val="18"/>
                <w:szCs w:val="18"/>
                <w:highlight w:val="none"/>
                <w:u w:val="none"/>
                <w:lang w:val="en-US" w:eastAsia="zh-CN"/>
              </w:rPr>
              <w:t>5</w:t>
            </w:r>
          </w:p>
        </w:tc>
        <w:tc>
          <w:tcPr>
            <w:tcW w:w="882" w:type="dxa"/>
            <w:tcBorders>
              <w:top w:val="single" w:color="000000" w:sz="4" w:space="0"/>
              <w:left w:val="single" w:color="000000" w:sz="4" w:space="0"/>
              <w:bottom w:val="nil"/>
              <w:right w:val="single" w:color="000000" w:sz="4" w:space="0"/>
            </w:tcBorders>
            <w:shd w:val="clear" w:color="auto" w:fill="auto"/>
            <w:vAlign w:val="center"/>
          </w:tcPr>
          <w:p w14:paraId="5FFF3822">
            <w:pPr>
              <w:jc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仿宋_GB2312" w:hAnsi="仿宋_GB2312" w:eastAsia="仿宋_GB2312" w:cs="仿宋_GB2312"/>
                <w:i w:val="0"/>
                <w:iCs w:val="0"/>
                <w:color w:val="auto"/>
                <w:sz w:val="18"/>
                <w:szCs w:val="18"/>
                <w:highlight w:val="none"/>
                <w:u w:val="none"/>
              </w:rPr>
              <w:t>按照完成比例赋分</w:t>
            </w:r>
          </w:p>
        </w:tc>
        <w:tc>
          <w:tcPr>
            <w:tcW w:w="7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26A002">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原始凭证</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C991B">
            <w:pPr>
              <w:jc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仿宋_GB2312" w:hAnsi="仿宋_GB2312" w:eastAsia="仿宋_GB2312" w:cs="仿宋_GB2312"/>
                <w:i w:val="0"/>
                <w:iCs w:val="0"/>
                <w:color w:val="auto"/>
                <w:sz w:val="18"/>
                <w:szCs w:val="18"/>
                <w:highlight w:val="none"/>
                <w:u w:val="none"/>
              </w:rPr>
              <w:t>=1万元</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C3F97">
            <w:pPr>
              <w:jc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仿宋_GB2312" w:hAnsi="仿宋_GB2312" w:eastAsia="仿宋_GB2312" w:cs="仿宋_GB2312"/>
                <w:i w:val="0"/>
                <w:iCs w:val="0"/>
                <w:color w:val="auto"/>
                <w:sz w:val="18"/>
                <w:szCs w:val="18"/>
                <w:highlight w:val="none"/>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EE57E">
            <w:pPr>
              <w:jc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仿宋_GB2312" w:hAnsi="仿宋_GB2312" w:eastAsia="仿宋_GB2312" w:cs="仿宋_GB2312"/>
                <w:i w:val="0"/>
                <w:iCs w:val="0"/>
                <w:color w:val="auto"/>
                <w:sz w:val="18"/>
                <w:szCs w:val="18"/>
                <w:highlight w:val="none"/>
                <w:u w:val="none"/>
                <w:lang w:val="en-US" w:eastAsia="zh-CN"/>
              </w:rPr>
              <w:t>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BC9FE">
            <w:pPr>
              <w:jc w:val="center"/>
              <w:rPr>
                <w:rFonts w:hint="eastAsia" w:ascii="仿宋_GB2312" w:hAnsi="仿宋_GB2312" w:eastAsia="仿宋_GB2312" w:cs="仿宋_GB2312"/>
                <w:i w:val="0"/>
                <w:iCs w:val="0"/>
                <w:color w:val="auto"/>
                <w:sz w:val="18"/>
                <w:szCs w:val="18"/>
                <w:highlight w:val="none"/>
                <w:u w:val="none"/>
              </w:rPr>
            </w:pPr>
          </w:p>
        </w:tc>
      </w:tr>
      <w:tr w14:paraId="23D9F1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3" w:type="dxa"/>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78380">
            <w:pPr>
              <w:jc w:val="center"/>
              <w:rPr>
                <w:rFonts w:hint="eastAsia" w:ascii="仿宋_GB2312" w:hAnsi="仿宋_GB2312" w:eastAsia="仿宋_GB2312" w:cs="仿宋_GB2312"/>
                <w:i w:val="0"/>
                <w:iCs w:val="0"/>
                <w:color w:val="auto"/>
                <w:sz w:val="18"/>
                <w:szCs w:val="18"/>
                <w:highlight w:val="none"/>
                <w:u w:val="none"/>
              </w:rPr>
            </w:pPr>
          </w:p>
        </w:tc>
        <w:tc>
          <w:tcPr>
            <w:tcW w:w="1108" w:type="dxa"/>
            <w:vMerge w:val="continue"/>
            <w:tcBorders>
              <w:left w:val="single" w:color="000000" w:sz="4" w:space="0"/>
              <w:right w:val="single" w:color="000000" w:sz="4" w:space="0"/>
            </w:tcBorders>
            <w:shd w:val="clear" w:color="auto" w:fill="auto"/>
            <w:vAlign w:val="center"/>
          </w:tcPr>
          <w:p w14:paraId="7E07B1FF">
            <w:pPr>
              <w:jc w:val="center"/>
              <w:rPr>
                <w:rFonts w:hint="eastAsia" w:ascii="仿宋_GB2312" w:hAnsi="仿宋_GB2312" w:eastAsia="仿宋_GB2312" w:cs="仿宋_GB2312"/>
                <w:i w:val="0"/>
                <w:iCs w:val="0"/>
                <w:color w:val="auto"/>
                <w:sz w:val="18"/>
                <w:szCs w:val="18"/>
                <w:highlight w:val="none"/>
                <w:u w:val="none"/>
                <w:lang w:val="en-US" w:eastAsia="zh-CN"/>
              </w:rPr>
            </w:pPr>
          </w:p>
        </w:tc>
        <w:tc>
          <w:tcPr>
            <w:tcW w:w="1245" w:type="dxa"/>
            <w:vMerge w:val="continue"/>
            <w:tcBorders>
              <w:left w:val="single" w:color="000000" w:sz="4" w:space="0"/>
              <w:right w:val="single" w:color="000000" w:sz="4" w:space="0"/>
            </w:tcBorders>
            <w:shd w:val="clear" w:color="auto" w:fill="auto"/>
            <w:noWrap/>
            <w:vAlign w:val="center"/>
          </w:tcPr>
          <w:p w14:paraId="0C5941CC">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094D2">
            <w:pPr>
              <w:jc w:val="left"/>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“三影重叠”报告费</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2C589">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=3.49万元</w:t>
            </w:r>
          </w:p>
        </w:tc>
        <w:tc>
          <w:tcPr>
            <w:tcW w:w="1164" w:type="dxa"/>
            <w:tcBorders>
              <w:top w:val="single" w:color="000000" w:sz="4" w:space="0"/>
              <w:left w:val="single" w:color="000000" w:sz="4" w:space="0"/>
              <w:bottom w:val="nil"/>
              <w:right w:val="single" w:color="000000" w:sz="4" w:space="0"/>
            </w:tcBorders>
            <w:shd w:val="clear" w:color="auto" w:fill="auto"/>
            <w:vAlign w:val="center"/>
          </w:tcPr>
          <w:p w14:paraId="4A14B5F9">
            <w:pPr>
              <w:jc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仿宋_GB2312" w:hAnsi="仿宋_GB2312" w:eastAsia="仿宋_GB2312" w:cs="仿宋_GB2312"/>
                <w:i w:val="0"/>
                <w:iCs w:val="0"/>
                <w:color w:val="auto"/>
                <w:sz w:val="18"/>
                <w:szCs w:val="18"/>
                <w:highlight w:val="none"/>
                <w:u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CC0C7">
            <w:pPr>
              <w:jc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仿宋_GB2312" w:hAnsi="仿宋_GB2312" w:eastAsia="仿宋_GB2312" w:cs="仿宋_GB2312"/>
                <w:i w:val="0"/>
                <w:iCs w:val="0"/>
                <w:color w:val="auto"/>
                <w:sz w:val="18"/>
                <w:szCs w:val="18"/>
                <w:highlight w:val="none"/>
                <w:u w:val="none"/>
                <w:lang w:val="en-US" w:eastAsia="zh-CN"/>
              </w:rPr>
              <w:t>-</w:t>
            </w:r>
          </w:p>
        </w:tc>
        <w:tc>
          <w:tcPr>
            <w:tcW w:w="8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AF0F27">
            <w:pPr>
              <w:jc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仿宋_GB2312" w:hAnsi="仿宋_GB2312" w:eastAsia="仿宋_GB2312" w:cs="仿宋_GB2312"/>
                <w:i w:val="0"/>
                <w:iCs w:val="0"/>
                <w:color w:val="auto"/>
                <w:sz w:val="18"/>
                <w:szCs w:val="18"/>
                <w:highlight w:val="none"/>
                <w:u w:val="none"/>
                <w:lang w:val="en-US" w:eastAsia="zh-CN"/>
              </w:rPr>
              <w:t>5</w:t>
            </w:r>
          </w:p>
        </w:tc>
        <w:tc>
          <w:tcPr>
            <w:tcW w:w="882" w:type="dxa"/>
            <w:tcBorders>
              <w:top w:val="single" w:color="000000" w:sz="4" w:space="0"/>
              <w:left w:val="single" w:color="000000" w:sz="4" w:space="0"/>
              <w:bottom w:val="nil"/>
              <w:right w:val="single" w:color="000000" w:sz="4" w:space="0"/>
            </w:tcBorders>
            <w:shd w:val="clear" w:color="auto" w:fill="auto"/>
            <w:vAlign w:val="center"/>
          </w:tcPr>
          <w:p w14:paraId="246CD10D">
            <w:pPr>
              <w:jc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仿宋_GB2312" w:hAnsi="仿宋_GB2312" w:eastAsia="仿宋_GB2312" w:cs="仿宋_GB2312"/>
                <w:i w:val="0"/>
                <w:iCs w:val="0"/>
                <w:color w:val="auto"/>
                <w:sz w:val="18"/>
                <w:szCs w:val="18"/>
                <w:highlight w:val="none"/>
                <w:u w:val="none"/>
              </w:rPr>
              <w:t>按照完成比例赋分</w:t>
            </w:r>
          </w:p>
        </w:tc>
        <w:tc>
          <w:tcPr>
            <w:tcW w:w="7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B77329">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原始凭证</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86637">
            <w:pPr>
              <w:jc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仿宋_GB2312" w:hAnsi="仿宋_GB2312" w:eastAsia="仿宋_GB2312" w:cs="仿宋_GB2312"/>
                <w:i w:val="0"/>
                <w:iCs w:val="0"/>
                <w:color w:val="auto"/>
                <w:sz w:val="18"/>
                <w:szCs w:val="18"/>
                <w:highlight w:val="none"/>
                <w:u w:val="none"/>
              </w:rPr>
              <w:t>=3.49万元</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AF7B2">
            <w:pPr>
              <w:jc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仿宋_GB2312" w:hAnsi="仿宋_GB2312" w:eastAsia="仿宋_GB2312" w:cs="仿宋_GB2312"/>
                <w:i w:val="0"/>
                <w:iCs w:val="0"/>
                <w:color w:val="auto"/>
                <w:sz w:val="18"/>
                <w:szCs w:val="18"/>
                <w:highlight w:val="none"/>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FC197">
            <w:pPr>
              <w:jc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仿宋_GB2312" w:hAnsi="仿宋_GB2312" w:eastAsia="仿宋_GB2312" w:cs="仿宋_GB2312"/>
                <w:i w:val="0"/>
                <w:iCs w:val="0"/>
                <w:color w:val="auto"/>
                <w:sz w:val="18"/>
                <w:szCs w:val="18"/>
                <w:highlight w:val="none"/>
                <w:u w:val="none"/>
                <w:lang w:val="en-US" w:eastAsia="zh-CN"/>
              </w:rPr>
              <w:t>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9A43E">
            <w:pPr>
              <w:jc w:val="center"/>
              <w:rPr>
                <w:rFonts w:hint="eastAsia" w:ascii="仿宋_GB2312" w:hAnsi="仿宋_GB2312" w:eastAsia="仿宋_GB2312" w:cs="仿宋_GB2312"/>
                <w:i w:val="0"/>
                <w:iCs w:val="0"/>
                <w:color w:val="auto"/>
                <w:sz w:val="18"/>
                <w:szCs w:val="18"/>
                <w:highlight w:val="none"/>
                <w:u w:val="none"/>
              </w:rPr>
            </w:pPr>
          </w:p>
        </w:tc>
      </w:tr>
      <w:tr w14:paraId="5C0FD1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3" w:type="dxa"/>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F909F">
            <w:pPr>
              <w:jc w:val="center"/>
              <w:rPr>
                <w:rFonts w:hint="eastAsia" w:ascii="仿宋_GB2312" w:hAnsi="仿宋_GB2312" w:eastAsia="仿宋_GB2312" w:cs="仿宋_GB2312"/>
                <w:i w:val="0"/>
                <w:iCs w:val="0"/>
                <w:color w:val="auto"/>
                <w:sz w:val="18"/>
                <w:szCs w:val="18"/>
                <w:highlight w:val="none"/>
                <w:u w:val="none"/>
              </w:rPr>
            </w:pPr>
          </w:p>
        </w:tc>
        <w:tc>
          <w:tcPr>
            <w:tcW w:w="1108" w:type="dxa"/>
            <w:vMerge w:val="continue"/>
            <w:tcBorders>
              <w:left w:val="single" w:color="000000" w:sz="4" w:space="0"/>
              <w:bottom w:val="single" w:color="000000" w:sz="4" w:space="0"/>
              <w:right w:val="single" w:color="000000" w:sz="4" w:space="0"/>
            </w:tcBorders>
            <w:shd w:val="clear" w:color="auto" w:fill="auto"/>
            <w:vAlign w:val="center"/>
          </w:tcPr>
          <w:p w14:paraId="6E29381F">
            <w:pPr>
              <w:jc w:val="center"/>
              <w:rPr>
                <w:rFonts w:hint="eastAsia" w:ascii="仿宋_GB2312" w:hAnsi="仿宋_GB2312" w:eastAsia="仿宋_GB2312" w:cs="仿宋_GB2312"/>
                <w:i w:val="0"/>
                <w:iCs w:val="0"/>
                <w:color w:val="auto"/>
                <w:sz w:val="18"/>
                <w:szCs w:val="18"/>
                <w:highlight w:val="none"/>
                <w:u w:val="none"/>
                <w:lang w:val="en-US" w:eastAsia="zh-CN"/>
              </w:rPr>
            </w:pPr>
          </w:p>
        </w:tc>
        <w:tc>
          <w:tcPr>
            <w:tcW w:w="1245" w:type="dxa"/>
            <w:vMerge w:val="continue"/>
            <w:tcBorders>
              <w:left w:val="single" w:color="000000" w:sz="4" w:space="0"/>
              <w:bottom w:val="nil"/>
              <w:right w:val="single" w:color="000000" w:sz="4" w:space="0"/>
            </w:tcBorders>
            <w:shd w:val="clear" w:color="auto" w:fill="auto"/>
            <w:noWrap/>
            <w:vAlign w:val="center"/>
          </w:tcPr>
          <w:p w14:paraId="0FEA93D1">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8F3F0">
            <w:pPr>
              <w:jc w:val="left"/>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取暖费和暖气抢修经费金额</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2CB2B">
            <w:pPr>
              <w:jc w:val="center"/>
              <w:rPr>
                <w:rFonts w:hint="eastAsia"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rPr>
              <w:t>=67万</w:t>
            </w:r>
            <w:r>
              <w:rPr>
                <w:rFonts w:hint="eastAsia" w:ascii="仿宋_GB2312" w:hAnsi="仿宋_GB2312" w:eastAsia="仿宋_GB2312" w:cs="仿宋_GB2312"/>
                <w:i w:val="0"/>
                <w:iCs w:val="0"/>
                <w:color w:val="auto"/>
                <w:sz w:val="18"/>
                <w:szCs w:val="18"/>
                <w:highlight w:val="none"/>
                <w:u w:val="none"/>
                <w:lang w:val="en-US" w:eastAsia="zh-CN"/>
              </w:rPr>
              <w:t>元</w:t>
            </w:r>
          </w:p>
        </w:tc>
        <w:tc>
          <w:tcPr>
            <w:tcW w:w="1164" w:type="dxa"/>
            <w:tcBorders>
              <w:top w:val="single" w:color="000000" w:sz="4" w:space="0"/>
              <w:left w:val="single" w:color="000000" w:sz="4" w:space="0"/>
              <w:bottom w:val="nil"/>
              <w:right w:val="single" w:color="000000" w:sz="4" w:space="0"/>
            </w:tcBorders>
            <w:shd w:val="clear" w:color="auto" w:fill="auto"/>
            <w:vAlign w:val="center"/>
          </w:tcPr>
          <w:p w14:paraId="0405D9ED">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59FD7">
            <w:pPr>
              <w:jc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仿宋_GB2312" w:hAnsi="仿宋_GB2312" w:eastAsia="仿宋_GB2312" w:cs="仿宋_GB2312"/>
                <w:i w:val="0"/>
                <w:iCs w:val="0"/>
                <w:color w:val="auto"/>
                <w:sz w:val="18"/>
                <w:szCs w:val="18"/>
                <w:highlight w:val="none"/>
                <w:u w:val="none"/>
                <w:lang w:val="en-US" w:eastAsia="zh-CN"/>
              </w:rPr>
              <w:t>-</w:t>
            </w:r>
          </w:p>
        </w:tc>
        <w:tc>
          <w:tcPr>
            <w:tcW w:w="8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C09500">
            <w:pPr>
              <w:jc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仿宋_GB2312" w:hAnsi="仿宋_GB2312" w:eastAsia="仿宋_GB2312" w:cs="仿宋_GB2312"/>
                <w:i w:val="0"/>
                <w:iCs w:val="0"/>
                <w:color w:val="auto"/>
                <w:sz w:val="18"/>
                <w:szCs w:val="18"/>
                <w:highlight w:val="none"/>
                <w:u w:val="none"/>
                <w:lang w:val="en-US" w:eastAsia="zh-CN"/>
              </w:rPr>
              <w:t>5</w:t>
            </w:r>
          </w:p>
        </w:tc>
        <w:tc>
          <w:tcPr>
            <w:tcW w:w="882" w:type="dxa"/>
            <w:tcBorders>
              <w:top w:val="single" w:color="000000" w:sz="4" w:space="0"/>
              <w:left w:val="single" w:color="000000" w:sz="4" w:space="0"/>
              <w:bottom w:val="nil"/>
              <w:right w:val="single" w:color="000000" w:sz="4" w:space="0"/>
            </w:tcBorders>
            <w:shd w:val="clear" w:color="auto" w:fill="auto"/>
            <w:vAlign w:val="center"/>
          </w:tcPr>
          <w:p w14:paraId="2A2888AA">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按照完成比例赋分</w:t>
            </w:r>
          </w:p>
        </w:tc>
        <w:tc>
          <w:tcPr>
            <w:tcW w:w="7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4DEC57">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原始凭证</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94AD2">
            <w:pPr>
              <w:jc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仿宋_GB2312" w:hAnsi="仿宋_GB2312" w:eastAsia="仿宋_GB2312" w:cs="仿宋_GB2312"/>
                <w:i w:val="0"/>
                <w:iCs w:val="0"/>
                <w:color w:val="auto"/>
                <w:sz w:val="18"/>
                <w:szCs w:val="18"/>
                <w:highlight w:val="none"/>
                <w:u w:val="none"/>
              </w:rPr>
              <w:t>=67万</w:t>
            </w:r>
            <w:r>
              <w:rPr>
                <w:rFonts w:hint="eastAsia" w:ascii="仿宋_GB2312" w:hAnsi="仿宋_GB2312" w:eastAsia="仿宋_GB2312" w:cs="仿宋_GB2312"/>
                <w:i w:val="0"/>
                <w:iCs w:val="0"/>
                <w:color w:val="auto"/>
                <w:sz w:val="18"/>
                <w:szCs w:val="18"/>
                <w:highlight w:val="none"/>
                <w:u w:val="none"/>
                <w:lang w:val="en-US" w:eastAsia="zh-CN"/>
              </w:rPr>
              <w:t>元</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85C61">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497EE">
            <w:pPr>
              <w:jc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仿宋_GB2312" w:hAnsi="仿宋_GB2312" w:eastAsia="仿宋_GB2312" w:cs="仿宋_GB2312"/>
                <w:i w:val="0"/>
                <w:iCs w:val="0"/>
                <w:color w:val="auto"/>
                <w:sz w:val="18"/>
                <w:szCs w:val="18"/>
                <w:highlight w:val="none"/>
                <w:u w:val="none"/>
                <w:lang w:val="en-US" w:eastAsia="zh-CN"/>
              </w:rPr>
              <w:t>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DCD08">
            <w:pPr>
              <w:jc w:val="center"/>
              <w:rPr>
                <w:rFonts w:hint="eastAsia" w:ascii="仿宋_GB2312" w:hAnsi="仿宋_GB2312" w:eastAsia="仿宋_GB2312" w:cs="仿宋_GB2312"/>
                <w:i w:val="0"/>
                <w:iCs w:val="0"/>
                <w:color w:val="auto"/>
                <w:sz w:val="18"/>
                <w:szCs w:val="18"/>
                <w:highlight w:val="none"/>
                <w:u w:val="none"/>
              </w:rPr>
            </w:pPr>
          </w:p>
        </w:tc>
      </w:tr>
      <w:tr w14:paraId="3A22B4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3" w:type="dxa"/>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BC0AB">
            <w:pPr>
              <w:jc w:val="center"/>
              <w:rPr>
                <w:rFonts w:hint="eastAsia" w:ascii="仿宋_GB2312" w:hAnsi="仿宋_GB2312" w:eastAsia="仿宋_GB2312" w:cs="仿宋_GB2312"/>
                <w:i w:val="0"/>
                <w:iCs w:val="0"/>
                <w:color w:val="auto"/>
                <w:sz w:val="18"/>
                <w:szCs w:val="18"/>
                <w:highlight w:val="none"/>
                <w:u w:val="none"/>
              </w:rPr>
            </w:pPr>
          </w:p>
        </w:tc>
        <w:tc>
          <w:tcPr>
            <w:tcW w:w="11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06B694">
            <w:pPr>
              <w:jc w:val="center"/>
              <w:rPr>
                <w:rFonts w:hint="eastAsia" w:ascii="仿宋_GB2312" w:hAnsi="仿宋_GB2312" w:eastAsia="仿宋_GB2312" w:cs="仿宋_GB2312"/>
                <w:i w:val="0"/>
                <w:iCs w:val="0"/>
                <w:color w:val="auto"/>
                <w:sz w:val="18"/>
                <w:szCs w:val="18"/>
                <w:highlight w:val="none"/>
                <w:u w:val="none"/>
              </w:rPr>
            </w:pPr>
          </w:p>
        </w:tc>
        <w:tc>
          <w:tcPr>
            <w:tcW w:w="1245" w:type="dxa"/>
            <w:vMerge w:val="restart"/>
            <w:tcBorders>
              <w:top w:val="single" w:color="000000" w:sz="4" w:space="0"/>
              <w:left w:val="single" w:color="000000" w:sz="4" w:space="0"/>
              <w:right w:val="single" w:color="000000" w:sz="4" w:space="0"/>
            </w:tcBorders>
            <w:shd w:val="clear" w:color="auto" w:fill="auto"/>
            <w:vAlign w:val="center"/>
          </w:tcPr>
          <w:p w14:paraId="035BD3F4">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社会效益指标</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D3208">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保障人民群众精神文化生活</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B6F44">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有效保障</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7BC5A">
            <w:pPr>
              <w:jc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仿宋_GB2312" w:hAnsi="仿宋_GB2312" w:eastAsia="仿宋_GB2312" w:cs="仿宋_GB2312"/>
                <w:i w:val="0"/>
                <w:iCs w:val="0"/>
                <w:color w:val="auto"/>
                <w:sz w:val="18"/>
                <w:szCs w:val="18"/>
                <w:highlight w:val="none"/>
                <w:u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C78DD">
            <w:pPr>
              <w:jc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仿宋_GB2312" w:hAnsi="仿宋_GB2312" w:eastAsia="仿宋_GB2312" w:cs="仿宋_GB2312"/>
                <w:i w:val="0"/>
                <w:iCs w:val="0"/>
                <w:color w:val="auto"/>
                <w:sz w:val="18"/>
                <w:szCs w:val="18"/>
                <w:highlight w:val="none"/>
                <w:u w:val="none"/>
                <w:lang w:val="en-US" w:eastAsia="zh-CN"/>
              </w:rPr>
              <w:t>-</w:t>
            </w:r>
          </w:p>
        </w:tc>
        <w:tc>
          <w:tcPr>
            <w:tcW w:w="8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2BA81F">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67D80">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按评判等级赋分</w:t>
            </w:r>
          </w:p>
        </w:tc>
        <w:tc>
          <w:tcPr>
            <w:tcW w:w="7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6FE6B9">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说明材料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880DF">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有效保障</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063BD">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D9DAB">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A3F8C">
            <w:pPr>
              <w:jc w:val="center"/>
              <w:rPr>
                <w:rFonts w:hint="eastAsia" w:ascii="仿宋_GB2312" w:hAnsi="仿宋_GB2312" w:eastAsia="仿宋_GB2312" w:cs="仿宋_GB2312"/>
                <w:i w:val="0"/>
                <w:iCs w:val="0"/>
                <w:color w:val="auto"/>
                <w:sz w:val="18"/>
                <w:szCs w:val="18"/>
                <w:highlight w:val="none"/>
                <w:u w:val="none"/>
              </w:rPr>
            </w:pPr>
          </w:p>
        </w:tc>
      </w:tr>
      <w:tr w14:paraId="623DB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3" w:type="dxa"/>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2843F">
            <w:pPr>
              <w:jc w:val="center"/>
              <w:rPr>
                <w:rFonts w:hint="eastAsia" w:ascii="仿宋_GB2312" w:hAnsi="仿宋_GB2312" w:eastAsia="仿宋_GB2312" w:cs="仿宋_GB2312"/>
                <w:i w:val="0"/>
                <w:iCs w:val="0"/>
                <w:color w:val="auto"/>
                <w:sz w:val="18"/>
                <w:szCs w:val="18"/>
                <w:highlight w:val="none"/>
                <w:u w:val="none"/>
              </w:rPr>
            </w:pPr>
          </w:p>
        </w:tc>
        <w:tc>
          <w:tcPr>
            <w:tcW w:w="11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D1B5A0">
            <w:pPr>
              <w:jc w:val="center"/>
              <w:rPr>
                <w:rFonts w:hint="eastAsia" w:ascii="仿宋_GB2312" w:hAnsi="仿宋_GB2312" w:eastAsia="仿宋_GB2312" w:cs="仿宋_GB2312"/>
                <w:i w:val="0"/>
                <w:iCs w:val="0"/>
                <w:color w:val="auto"/>
                <w:sz w:val="18"/>
                <w:szCs w:val="18"/>
                <w:highlight w:val="none"/>
                <w:u w:val="none"/>
              </w:rPr>
            </w:pPr>
          </w:p>
        </w:tc>
        <w:tc>
          <w:tcPr>
            <w:tcW w:w="1245" w:type="dxa"/>
            <w:vMerge w:val="continue"/>
            <w:tcBorders>
              <w:left w:val="single" w:color="000000" w:sz="4" w:space="0"/>
              <w:bottom w:val="single" w:color="000000" w:sz="4" w:space="0"/>
              <w:right w:val="single" w:color="000000" w:sz="4" w:space="0"/>
            </w:tcBorders>
            <w:shd w:val="clear" w:color="auto" w:fill="auto"/>
            <w:vAlign w:val="center"/>
          </w:tcPr>
          <w:p w14:paraId="2F4A65BD">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A5AD3">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有效保障乡镇的本生活和健康安全</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8000E">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有效保障</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E056E">
            <w:pPr>
              <w:jc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仿宋_GB2312" w:hAnsi="仿宋_GB2312" w:eastAsia="仿宋_GB2312" w:cs="仿宋_GB2312"/>
                <w:i w:val="0"/>
                <w:iCs w:val="0"/>
                <w:color w:val="auto"/>
                <w:sz w:val="18"/>
                <w:szCs w:val="18"/>
                <w:highlight w:val="none"/>
                <w:u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C790E">
            <w:pPr>
              <w:jc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仿宋_GB2312" w:hAnsi="仿宋_GB2312" w:eastAsia="仿宋_GB2312" w:cs="仿宋_GB2312"/>
                <w:i w:val="0"/>
                <w:iCs w:val="0"/>
                <w:color w:val="auto"/>
                <w:sz w:val="18"/>
                <w:szCs w:val="18"/>
                <w:highlight w:val="none"/>
                <w:u w:val="none"/>
                <w:lang w:val="en-US" w:eastAsia="zh-CN"/>
              </w:rPr>
              <w:t>-</w:t>
            </w:r>
          </w:p>
        </w:tc>
        <w:tc>
          <w:tcPr>
            <w:tcW w:w="8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8F5870">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9D732">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按评判等级赋分</w:t>
            </w:r>
          </w:p>
        </w:tc>
        <w:tc>
          <w:tcPr>
            <w:tcW w:w="7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D9EC11">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说明材料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BA8DE">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有效保障</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D7031">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8B326">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BFCD0">
            <w:pPr>
              <w:jc w:val="center"/>
              <w:rPr>
                <w:rFonts w:hint="eastAsia" w:ascii="仿宋_GB2312" w:hAnsi="仿宋_GB2312" w:eastAsia="仿宋_GB2312" w:cs="仿宋_GB2312"/>
                <w:i w:val="0"/>
                <w:iCs w:val="0"/>
                <w:color w:val="auto"/>
                <w:sz w:val="18"/>
                <w:szCs w:val="18"/>
                <w:highlight w:val="none"/>
                <w:u w:val="none"/>
              </w:rPr>
            </w:pPr>
          </w:p>
        </w:tc>
      </w:tr>
      <w:tr w14:paraId="2FA9CD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3" w:type="dxa"/>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E3159">
            <w:pPr>
              <w:jc w:val="center"/>
              <w:rPr>
                <w:rFonts w:hint="eastAsia" w:ascii="仿宋_GB2312" w:hAnsi="仿宋_GB2312" w:eastAsia="仿宋_GB2312" w:cs="仿宋_GB2312"/>
                <w:i w:val="0"/>
                <w:iCs w:val="0"/>
                <w:color w:val="auto"/>
                <w:sz w:val="18"/>
                <w:szCs w:val="18"/>
                <w:highlight w:val="none"/>
                <w:u w:val="none"/>
              </w:rPr>
            </w:pP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E95DA">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满意度指标</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D0E87">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满意度指标</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09987">
            <w:pPr>
              <w:jc w:val="left"/>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观看群众满意度（%</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2E2BF">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&gt;=95%</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1C33A">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AD7FF">
            <w:pPr>
              <w:jc w:val="center"/>
              <w:rPr>
                <w:rFonts w:hint="eastAsia" w:ascii="仿宋_GB2312" w:hAnsi="仿宋_GB2312" w:eastAsia="仿宋_GB2312" w:cs="仿宋_GB2312"/>
                <w:i w:val="0"/>
                <w:iCs w:val="0"/>
                <w:color w:val="auto"/>
                <w:sz w:val="18"/>
                <w:szCs w:val="18"/>
                <w:highlight w:val="none"/>
                <w:u w:val="none"/>
              </w:rPr>
            </w:pPr>
          </w:p>
        </w:tc>
        <w:tc>
          <w:tcPr>
            <w:tcW w:w="8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3E94A0">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lang w:val="en-US" w:eastAsia="zh-CN"/>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C18C1">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满意度赋分</w:t>
            </w:r>
          </w:p>
        </w:tc>
        <w:tc>
          <w:tcPr>
            <w:tcW w:w="7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DC2BDE">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说明材料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60460">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=95%</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7120C">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400F6">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lang w:val="en-US" w:eastAsia="zh-CN"/>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9E46A">
            <w:pPr>
              <w:jc w:val="center"/>
              <w:rPr>
                <w:rFonts w:hint="eastAsia" w:ascii="仿宋_GB2312" w:hAnsi="仿宋_GB2312" w:eastAsia="仿宋_GB2312" w:cs="仿宋_GB2312"/>
                <w:i w:val="0"/>
                <w:iCs w:val="0"/>
                <w:color w:val="auto"/>
                <w:sz w:val="18"/>
                <w:szCs w:val="18"/>
                <w:highlight w:val="none"/>
                <w:u w:val="none"/>
              </w:rPr>
            </w:pPr>
          </w:p>
        </w:tc>
      </w:tr>
      <w:tr w14:paraId="5FA72D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3" w:type="dxa"/>
          <w:trHeight w:val="288" w:hRule="atLeast"/>
        </w:trPr>
        <w:tc>
          <w:tcPr>
            <w:tcW w:w="772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D0E7B14">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总分</w:t>
            </w:r>
          </w:p>
        </w:tc>
        <w:tc>
          <w:tcPr>
            <w:tcW w:w="24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B368400">
            <w:pPr>
              <w:jc w:val="center"/>
              <w:rPr>
                <w:rFonts w:hint="default" w:ascii="仿宋_GB2312" w:hAnsi="仿宋_GB2312" w:eastAsia="仿宋_GB2312" w:cs="仿宋_GB2312"/>
                <w:i w:val="0"/>
                <w:iCs w:val="0"/>
                <w:color w:val="auto"/>
                <w:sz w:val="18"/>
                <w:szCs w:val="18"/>
                <w:highlight w:val="none"/>
                <w:u w:val="none"/>
                <w:lang w:val="en-US"/>
              </w:rPr>
            </w:pPr>
            <w:r>
              <w:rPr>
                <w:rFonts w:hint="eastAsia" w:ascii="仿宋_GB2312" w:hAnsi="仿宋_GB2312" w:eastAsia="仿宋_GB2312" w:cs="仿宋_GB2312"/>
                <w:i w:val="0"/>
                <w:iCs w:val="0"/>
                <w:color w:val="auto"/>
                <w:sz w:val="18"/>
                <w:szCs w:val="18"/>
                <w:highlight w:val="none"/>
                <w:u w:val="none"/>
                <w:lang w:val="en-US" w:eastAsia="zh-CN"/>
              </w:rPr>
              <w:t>90分</w:t>
            </w:r>
          </w:p>
        </w:tc>
        <w:tc>
          <w:tcPr>
            <w:tcW w:w="389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F858F07">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lang w:val="en-US" w:eastAsia="zh-CN"/>
              </w:rPr>
              <w:t>90分</w:t>
            </w:r>
          </w:p>
        </w:tc>
      </w:tr>
    </w:tbl>
    <w:p w14:paraId="53131F73">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auto"/>
          <w:kern w:val="0"/>
          <w:sz w:val="22"/>
          <w:szCs w:val="22"/>
          <w:highlight w:val="none"/>
          <w:u w:val="none"/>
          <w:lang w:val="en-US" w:eastAsia="zh-CN" w:bidi="ar"/>
        </w:rPr>
      </w:pPr>
      <w:r>
        <w:rPr>
          <w:rFonts w:hint="default" w:ascii="Times New Roman" w:hAnsi="Times New Roman" w:eastAsia="仿宋_GB2312" w:cs="Times New Roman"/>
          <w:b/>
          <w:bCs/>
          <w:i w:val="0"/>
          <w:iCs w:val="0"/>
          <w:color w:val="auto"/>
          <w:kern w:val="0"/>
          <w:sz w:val="22"/>
          <w:szCs w:val="22"/>
          <w:highlight w:val="none"/>
          <w:u w:val="none"/>
          <w:lang w:val="en-US" w:eastAsia="zh-CN" w:bidi="ar"/>
        </w:rPr>
        <w:t>（ 2024年度）</w:t>
      </w:r>
    </w:p>
    <w:p w14:paraId="608B4599">
      <w:pPr>
        <w:rPr>
          <w:rFonts w:hint="default" w:ascii="Times New Roman" w:hAnsi="Times New Roman" w:cs="Times New Roman"/>
          <w:color w:val="auto"/>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2000000000000000000"/>
    <w:charset w:val="86"/>
    <w:family w:val="auto"/>
    <w:pitch w:val="default"/>
    <w:sig w:usb0="00000000" w:usb1="00000000" w:usb2="00082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071840DB">
        <w:pPr>
          <w:pStyle w:val="7"/>
          <w:jc w:val="center"/>
        </w:pPr>
        <w:r>
          <w:fldChar w:fldCharType="begin"/>
        </w:r>
        <w:r>
          <w:instrText xml:space="preserve">PAGE   \* MERGEFORMAT</w:instrText>
        </w:r>
        <w:r>
          <w:fldChar w:fldCharType="separate"/>
        </w:r>
        <w:r>
          <w:rPr>
            <w:lang w:val="zh-CN"/>
          </w:rPr>
          <w:t>13</w:t>
        </w:r>
        <w:r>
          <w:fldChar w:fldCharType="end"/>
        </w:r>
      </w:p>
    </w:sdtContent>
  </w:sdt>
  <w:p w14:paraId="52676127">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alagalala">
    <w15:presenceInfo w15:providerId="WPS Office" w15:userId="61494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s>
  <w:rsids>
    <w:rsidRoot w:val="FF6C4049"/>
    <w:rsid w:val="006F7242"/>
    <w:rsid w:val="007B168A"/>
    <w:rsid w:val="008B2CFE"/>
    <w:rsid w:val="00F26FF6"/>
    <w:rsid w:val="01610122"/>
    <w:rsid w:val="02510197"/>
    <w:rsid w:val="03EC461B"/>
    <w:rsid w:val="071A5591"/>
    <w:rsid w:val="07397B77"/>
    <w:rsid w:val="0AD007F3"/>
    <w:rsid w:val="0D082A6E"/>
    <w:rsid w:val="0DBE0F59"/>
    <w:rsid w:val="0E3C619F"/>
    <w:rsid w:val="0F6273CA"/>
    <w:rsid w:val="100F38EC"/>
    <w:rsid w:val="11170296"/>
    <w:rsid w:val="12C66037"/>
    <w:rsid w:val="12CD1ABC"/>
    <w:rsid w:val="13471461"/>
    <w:rsid w:val="13B90F01"/>
    <w:rsid w:val="155E4C4D"/>
    <w:rsid w:val="181066D2"/>
    <w:rsid w:val="1C671E73"/>
    <w:rsid w:val="1C9A39FA"/>
    <w:rsid w:val="1D322C47"/>
    <w:rsid w:val="22157966"/>
    <w:rsid w:val="22290DFD"/>
    <w:rsid w:val="22C82973"/>
    <w:rsid w:val="23616034"/>
    <w:rsid w:val="23696C97"/>
    <w:rsid w:val="24480FA2"/>
    <w:rsid w:val="25227A45"/>
    <w:rsid w:val="26AC3A6A"/>
    <w:rsid w:val="2B1504B6"/>
    <w:rsid w:val="2B9D7E25"/>
    <w:rsid w:val="2C3A3160"/>
    <w:rsid w:val="2C7C7A3B"/>
    <w:rsid w:val="2F364819"/>
    <w:rsid w:val="2FD63906"/>
    <w:rsid w:val="367C79E0"/>
    <w:rsid w:val="37215DAE"/>
    <w:rsid w:val="38CA40DD"/>
    <w:rsid w:val="395F2B56"/>
    <w:rsid w:val="3B482032"/>
    <w:rsid w:val="3B5C4402"/>
    <w:rsid w:val="3BBA0580"/>
    <w:rsid w:val="3BECE841"/>
    <w:rsid w:val="3CDE204C"/>
    <w:rsid w:val="3D363C36"/>
    <w:rsid w:val="3E9C3F6D"/>
    <w:rsid w:val="3FF7797D"/>
    <w:rsid w:val="41296ADF"/>
    <w:rsid w:val="42F16CBA"/>
    <w:rsid w:val="460454F1"/>
    <w:rsid w:val="46690BD8"/>
    <w:rsid w:val="49F70BF1"/>
    <w:rsid w:val="4B4340EE"/>
    <w:rsid w:val="503D507A"/>
    <w:rsid w:val="51FA74D0"/>
    <w:rsid w:val="52AA4A52"/>
    <w:rsid w:val="539D3AD1"/>
    <w:rsid w:val="58920E0D"/>
    <w:rsid w:val="59943D66"/>
    <w:rsid w:val="59E051FD"/>
    <w:rsid w:val="59E6355E"/>
    <w:rsid w:val="5B821531"/>
    <w:rsid w:val="5BFF6039"/>
    <w:rsid w:val="5D76A616"/>
    <w:rsid w:val="5D7F20B9"/>
    <w:rsid w:val="5DAC7D0E"/>
    <w:rsid w:val="5F5244D2"/>
    <w:rsid w:val="5F98B5AF"/>
    <w:rsid w:val="5FFE8511"/>
    <w:rsid w:val="5FFEACE2"/>
    <w:rsid w:val="609D5BF6"/>
    <w:rsid w:val="61073070"/>
    <w:rsid w:val="61B9080E"/>
    <w:rsid w:val="61DF3FED"/>
    <w:rsid w:val="62606CE8"/>
    <w:rsid w:val="642B176B"/>
    <w:rsid w:val="643EE26D"/>
    <w:rsid w:val="656019A0"/>
    <w:rsid w:val="65F242EE"/>
    <w:rsid w:val="666D7E19"/>
    <w:rsid w:val="68376930"/>
    <w:rsid w:val="68F91E38"/>
    <w:rsid w:val="6B3158B9"/>
    <w:rsid w:val="6BA02A3F"/>
    <w:rsid w:val="6C105349"/>
    <w:rsid w:val="6C1E5A53"/>
    <w:rsid w:val="6F5C41AC"/>
    <w:rsid w:val="6FAF6C78"/>
    <w:rsid w:val="716167CC"/>
    <w:rsid w:val="718A7AD1"/>
    <w:rsid w:val="72A44BC2"/>
    <w:rsid w:val="7317C656"/>
    <w:rsid w:val="734ED73F"/>
    <w:rsid w:val="73C82B32"/>
    <w:rsid w:val="73F94DAE"/>
    <w:rsid w:val="74220495"/>
    <w:rsid w:val="747D1B6F"/>
    <w:rsid w:val="749E5641"/>
    <w:rsid w:val="7597238D"/>
    <w:rsid w:val="76271066"/>
    <w:rsid w:val="77FD8BE9"/>
    <w:rsid w:val="78000AED"/>
    <w:rsid w:val="78036054"/>
    <w:rsid w:val="79A9BD3F"/>
    <w:rsid w:val="7AC5270E"/>
    <w:rsid w:val="7B776F12"/>
    <w:rsid w:val="7BFFFDD0"/>
    <w:rsid w:val="7C336E5F"/>
    <w:rsid w:val="7C8D4919"/>
    <w:rsid w:val="7D7A5F86"/>
    <w:rsid w:val="7DF5408B"/>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31</Pages>
  <Words>11670</Words>
  <Characters>12065</Characters>
  <Lines>58</Lines>
  <Paragraphs>16</Paragraphs>
  <TotalTime>3</TotalTime>
  <ScaleCrop>false</ScaleCrop>
  <LinksUpToDate>false</LinksUpToDate>
  <CharactersWithSpaces>12072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W.w</cp:lastModifiedBy>
  <dcterms:modified xsi:type="dcterms:W3CDTF">2025-09-22T04:18:02Z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DD6C64B5B42642AC9A1BD3A110A377BA_13</vt:lpwstr>
  </property>
  <property fmtid="{D5CDD505-2E9C-101B-9397-08002B2CF9AE}" pid="4" name="KSOTemplateDocerSaveRecord">
    <vt:lpwstr>eyJoZGlkIjoiOGEzNDg2NzdlZjJjNGNkMGM4NjIzNWI0ZDYwZDJkMzQiLCJ1c2VySWQiOiIzOTM2MTUzNzAifQ==</vt:lpwstr>
  </property>
</Properties>
</file>