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方正小标宋_GBK"/>
          <w:kern w:val="0"/>
          <w:sz w:val="48"/>
          <w:szCs w:val="48"/>
        </w:rPr>
      </w:pPr>
      <w:bookmarkStart w:id="3" w:name="_GoBack"/>
      <w:r>
        <w:rPr>
          <w:rFonts w:hint="eastAsia" w:ascii="微软雅黑" w:hAnsi="微软雅黑" w:eastAsia="微软雅黑" w:cs="微软雅黑"/>
          <w:kern w:val="0"/>
          <w:sz w:val="48"/>
          <w:szCs w:val="48"/>
        </w:rPr>
        <w:t>2024年城乡义务教育补助经费-小学公用经费项目支出绩效评价报告</w:t>
      </w:r>
    </w:p>
    <w:bookmarkEnd w:id="3"/>
    <w:p>
      <w:pPr>
        <w:spacing w:line="540" w:lineRule="exact"/>
        <w:jc w:val="center"/>
        <w:rPr>
          <w:rFonts w:eastAsia="华文中宋"/>
          <w:b/>
          <w:kern w:val="0"/>
          <w:sz w:val="52"/>
          <w:szCs w:val="52"/>
        </w:rPr>
      </w:pPr>
    </w:p>
    <w:p>
      <w:pPr>
        <w:spacing w:line="540" w:lineRule="exact"/>
        <w:jc w:val="center"/>
        <w:rPr>
          <w:rFonts w:eastAsia="仿宋_GB2312"/>
          <w:kern w:val="0"/>
          <w:sz w:val="36"/>
          <w:szCs w:val="36"/>
        </w:rPr>
      </w:pPr>
      <w:r>
        <w:rPr>
          <w:rFonts w:eastAsia="仿宋_GB2312"/>
          <w:kern w:val="0"/>
          <w:sz w:val="36"/>
          <w:szCs w:val="36"/>
        </w:rPr>
        <w:t>（2024年度）</w:t>
      </w: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rPr>
          <w:rFonts w:eastAsia="仿宋_GB2312"/>
          <w:kern w:val="0"/>
          <w:sz w:val="30"/>
          <w:szCs w:val="30"/>
        </w:rPr>
      </w:pPr>
    </w:p>
    <w:p>
      <w:pPr>
        <w:spacing w:line="700" w:lineRule="exact"/>
        <w:ind w:left="3958" w:leftChars="342" w:hanging="3240" w:hangingChars="900"/>
        <w:jc w:val="left"/>
        <w:rPr>
          <w:rFonts w:eastAsia="仿宋_GB2312"/>
          <w:kern w:val="0"/>
          <w:sz w:val="36"/>
          <w:szCs w:val="36"/>
        </w:rPr>
      </w:pPr>
      <w:r>
        <w:rPr>
          <w:rFonts w:eastAsia="仿宋_GB2312"/>
          <w:kern w:val="0"/>
          <w:sz w:val="36"/>
          <w:szCs w:val="36"/>
        </w:rPr>
        <w:t>项目名称：</w:t>
      </w:r>
      <w:r>
        <w:rPr>
          <w:rFonts w:hint="eastAsia" w:eastAsia="仿宋_GB2312"/>
          <w:kern w:val="0"/>
          <w:sz w:val="36"/>
          <w:szCs w:val="36"/>
        </w:rPr>
        <w:t>2024年城乡义务教育补助经费-小学公用经费</w:t>
      </w:r>
    </w:p>
    <w:p>
      <w:pPr>
        <w:spacing w:line="700" w:lineRule="exact"/>
        <w:ind w:left="3958" w:leftChars="342" w:hanging="3240" w:hangingChars="900"/>
        <w:jc w:val="left"/>
        <w:rPr>
          <w:rFonts w:eastAsia="仿宋_GB2312"/>
          <w:kern w:val="0"/>
          <w:sz w:val="36"/>
          <w:szCs w:val="36"/>
        </w:rPr>
      </w:pPr>
      <w:r>
        <w:rPr>
          <w:rFonts w:eastAsia="仿宋_GB2312"/>
          <w:kern w:val="0"/>
          <w:sz w:val="36"/>
          <w:szCs w:val="36"/>
        </w:rPr>
        <w:t>实施单位（公章）：奇台县五马场哈萨克族乡中心学校</w:t>
      </w:r>
    </w:p>
    <w:p>
      <w:pPr>
        <w:spacing w:line="360" w:lineRule="auto"/>
        <w:ind w:firstLine="720" w:firstLineChars="200"/>
        <w:rPr>
          <w:rFonts w:eastAsia="仿宋_GB2312"/>
          <w:kern w:val="0"/>
          <w:sz w:val="36"/>
          <w:szCs w:val="36"/>
        </w:rPr>
      </w:pPr>
      <w:r>
        <w:rPr>
          <w:rFonts w:eastAsia="仿宋_GB2312"/>
          <w:kern w:val="0"/>
          <w:sz w:val="36"/>
          <w:szCs w:val="36"/>
        </w:rPr>
        <w:t>主管部门（公章）：</w:t>
      </w:r>
      <w:r>
        <w:rPr>
          <w:rFonts w:hint="eastAsia" w:eastAsia="仿宋_GB2312"/>
          <w:kern w:val="0"/>
          <w:sz w:val="36"/>
          <w:szCs w:val="36"/>
        </w:rPr>
        <w:t>奇台县教育局</w:t>
      </w:r>
    </w:p>
    <w:p>
      <w:pPr>
        <w:spacing w:line="700" w:lineRule="exact"/>
        <w:ind w:firstLine="720" w:firstLineChars="200"/>
        <w:jc w:val="left"/>
        <w:rPr>
          <w:rFonts w:eastAsia="仿宋_GB2312"/>
          <w:kern w:val="0"/>
          <w:sz w:val="36"/>
          <w:szCs w:val="36"/>
        </w:rPr>
      </w:pPr>
      <w:r>
        <w:rPr>
          <w:rFonts w:eastAsia="仿宋_GB2312"/>
          <w:kern w:val="0"/>
          <w:sz w:val="36"/>
          <w:szCs w:val="36"/>
        </w:rPr>
        <w:t>项目负责人（签章）：</w:t>
      </w:r>
      <w:r>
        <w:rPr>
          <w:rFonts w:hint="eastAsia" w:eastAsia="仿宋_GB2312"/>
          <w:kern w:val="0"/>
          <w:sz w:val="36"/>
          <w:szCs w:val="36"/>
        </w:rPr>
        <w:t>黄志强</w:t>
      </w:r>
    </w:p>
    <w:p>
      <w:pPr>
        <w:spacing w:line="700" w:lineRule="exact"/>
        <w:ind w:firstLine="720" w:firstLineChars="200"/>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rPr>
        <w:t>2025</w:t>
      </w:r>
      <w:r>
        <w:rPr>
          <w:rFonts w:eastAsia="仿宋_GB2312"/>
          <w:kern w:val="0"/>
          <w:sz w:val="36"/>
          <w:szCs w:val="36"/>
        </w:rPr>
        <w:t>年</w:t>
      </w:r>
      <w:r>
        <w:rPr>
          <w:rFonts w:hint="eastAsia" w:eastAsia="仿宋_GB2312"/>
          <w:kern w:val="0"/>
          <w:sz w:val="36"/>
          <w:szCs w:val="36"/>
        </w:rPr>
        <w:t>5</w:t>
      </w:r>
      <w:r>
        <w:rPr>
          <w:rFonts w:eastAsia="仿宋_GB2312"/>
          <w:kern w:val="0"/>
          <w:sz w:val="36"/>
          <w:szCs w:val="36"/>
        </w:rPr>
        <w:t>月</w:t>
      </w:r>
      <w:r>
        <w:rPr>
          <w:rFonts w:hint="eastAsia" w:eastAsia="仿宋_GB2312"/>
          <w:kern w:val="0"/>
          <w:sz w:val="36"/>
          <w:szCs w:val="36"/>
        </w:rPr>
        <w:t>6</w:t>
      </w:r>
      <w:r>
        <w:rPr>
          <w:rFonts w:eastAsia="仿宋_GB2312"/>
          <w:kern w:val="0"/>
          <w:sz w:val="36"/>
          <w:szCs w:val="36"/>
        </w:rPr>
        <w:t>日</w:t>
      </w:r>
    </w:p>
    <w:p>
      <w:pPr>
        <w:spacing w:line="540" w:lineRule="exact"/>
        <w:jc w:val="center"/>
        <w:rPr>
          <w:rFonts w:eastAsia="仿宋_GB2312"/>
          <w:kern w:val="0"/>
          <w:sz w:val="30"/>
          <w:szCs w:val="30"/>
        </w:rPr>
      </w:pPr>
    </w:p>
    <w:p>
      <w:pPr>
        <w:spacing w:line="540" w:lineRule="exact"/>
        <w:rPr>
          <w:rStyle w:val="16"/>
          <w:rFonts w:eastAsia="黑体"/>
          <w:b w:val="0"/>
          <w:spacing w:val="-4"/>
          <w:sz w:val="32"/>
          <w:szCs w:val="32"/>
        </w:rPr>
      </w:pPr>
    </w:p>
    <w:p>
      <w:pPr>
        <w:spacing w:line="540" w:lineRule="exact"/>
        <w:ind w:firstLine="640"/>
        <w:rPr>
          <w:rStyle w:val="16"/>
          <w:rFonts w:eastAsia="黑体"/>
          <w:b w:val="0"/>
          <w:spacing w:val="-4"/>
          <w:sz w:val="32"/>
          <w:szCs w:val="32"/>
        </w:rPr>
      </w:pPr>
    </w:p>
    <w:p>
      <w:pPr>
        <w:spacing w:line="540" w:lineRule="exact"/>
        <w:rPr>
          <w:rStyle w:val="16"/>
          <w:rFonts w:eastAsia="黑体"/>
          <w:b w:val="0"/>
          <w:spacing w:val="-4"/>
          <w:sz w:val="32"/>
          <w:szCs w:val="32"/>
        </w:rPr>
      </w:pPr>
    </w:p>
    <w:p>
      <w:pPr>
        <w:spacing w:line="560" w:lineRule="exact"/>
        <w:ind w:firstLine="640" w:firstLineChars="200"/>
        <w:rPr>
          <w:rFonts w:eastAsia="黑体"/>
          <w:bCs/>
          <w:sz w:val="32"/>
          <w:szCs w:val="32"/>
        </w:rPr>
        <w:sectPr>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eastAsia="黑体"/>
          <w:bCs/>
          <w:sz w:val="32"/>
          <w:szCs w:val="32"/>
        </w:rPr>
      </w:pPr>
      <w:r>
        <w:rPr>
          <w:rFonts w:eastAsia="黑体"/>
          <w:bCs/>
          <w:sz w:val="32"/>
          <w:szCs w:val="32"/>
        </w:rPr>
        <w:t>一、基本情况</w:t>
      </w:r>
    </w:p>
    <w:p>
      <w:pPr>
        <w:spacing w:line="560" w:lineRule="exact"/>
        <w:ind w:firstLine="643" w:firstLineChars="200"/>
        <w:rPr>
          <w:rFonts w:eastAsia="楷体_GB2312"/>
          <w:b/>
          <w:bCs/>
          <w:sz w:val="32"/>
          <w:szCs w:val="32"/>
        </w:rPr>
      </w:pPr>
      <w:r>
        <w:rPr>
          <w:rFonts w:eastAsia="楷体_GB2312"/>
          <w:b/>
          <w:bCs/>
          <w:sz w:val="32"/>
          <w:szCs w:val="32"/>
        </w:rPr>
        <w:t>（一）项目概况</w:t>
      </w:r>
    </w:p>
    <w:p>
      <w:pPr>
        <w:spacing w:line="560" w:lineRule="exact"/>
        <w:ind w:firstLine="643" w:firstLineChars="200"/>
        <w:rPr>
          <w:rFonts w:eastAsia="仿宋_GB2312"/>
          <w:b/>
          <w:bCs/>
          <w:sz w:val="32"/>
          <w:szCs w:val="32"/>
        </w:rPr>
      </w:pPr>
      <w:r>
        <w:rPr>
          <w:rFonts w:eastAsia="仿宋_GB2312"/>
          <w:b/>
          <w:bCs/>
          <w:sz w:val="32"/>
          <w:szCs w:val="32"/>
        </w:rPr>
        <w:t>1.项目背景</w:t>
      </w:r>
    </w:p>
    <w:p>
      <w:pPr>
        <w:pStyle w:val="2"/>
        <w:spacing w:before="0" w:after="0" w:line="560" w:lineRule="exact"/>
        <w:ind w:firstLine="640" w:firstLineChars="200"/>
        <w:jc w:val="both"/>
        <w:rPr>
          <w:rFonts w:ascii="Times New Roman" w:hAnsi="Times New Roman" w:eastAsia="仿宋_GB2312"/>
          <w:b w:val="0"/>
          <w:bCs w:val="0"/>
          <w:kern w:val="2"/>
        </w:rPr>
      </w:pPr>
      <w:r>
        <w:rPr>
          <w:rFonts w:hint="eastAsia" w:ascii="Times New Roman" w:hAnsi="Times New Roman" w:eastAsia="仿宋_GB2312"/>
          <w:b w:val="0"/>
          <w:bCs w:val="0"/>
          <w:kern w:val="2"/>
        </w:rPr>
        <w:t>按照党中央、国务院关于加强县域义务教育建设的决策部署，为整体提升办学水平，更好贯彻执行党和国家、上级党委、政府有关教育工作和思想政治工作的方针、政策和法规，落实全县教育发展战略和发展规划，根据自治区财政厅 昌州财教【2023】90号《关于提前下达2024年城乡义务教育补助经费预算[中央直达资金]的通知》，昌州财教【2023】95号《关于提前下达2024年城乡义务教育补助经费[自治区直达资金]的通知》，奇财预【2024】号《关于下达2023年农村义务教育保障机制经费县级配套的通知》此次共拨2024年义务教育保障机制经费93.9945万元。</w:t>
      </w:r>
    </w:p>
    <w:p>
      <w:pPr>
        <w:pStyle w:val="2"/>
        <w:spacing w:before="0" w:after="0" w:line="560" w:lineRule="exact"/>
        <w:ind w:firstLine="643" w:firstLineChars="200"/>
        <w:jc w:val="both"/>
        <w:rPr>
          <w:rFonts w:ascii="Times New Roman" w:hAnsi="Times New Roman" w:eastAsia="仿宋_GB2312"/>
          <w:kern w:val="2"/>
        </w:rPr>
      </w:pPr>
      <w:r>
        <w:rPr>
          <w:rFonts w:ascii="Times New Roman" w:hAnsi="Times New Roman" w:eastAsia="仿宋_GB2312"/>
          <w:kern w:val="2"/>
        </w:rPr>
        <w:t>2.项目主要内容：</w:t>
      </w:r>
    </w:p>
    <w:p>
      <w:pPr>
        <w:spacing w:line="600" w:lineRule="exact"/>
        <w:ind w:firstLine="640" w:firstLineChars="200"/>
        <w:outlineLvl w:val="0"/>
        <w:rPr>
          <w:rFonts w:eastAsia="仿宋_GB2312"/>
          <w:sz w:val="32"/>
          <w:szCs w:val="32"/>
        </w:rPr>
      </w:pPr>
      <w:r>
        <w:rPr>
          <w:rFonts w:hint="eastAsia" w:eastAsia="仿宋_GB2312"/>
          <w:sz w:val="32"/>
          <w:szCs w:val="32"/>
        </w:rPr>
        <w:t>2024年城乡义务教育补助经费预算[中央直达资金]的通知-小学助学金26.3125万元，2024年城乡义务教育助学金县级配套资金13.375万元；2024年城乡义务教育补助经费自治区资金3.00096万元，中央资金40.0128万元，县级资金9.49324万元，2024年城乡义务教育补助经费（特殊教育）中央资金1.8万元，义务教育阶段小学教育公用经费用于保障学校正常运转、完成教育教学活动和其他日常工作任务等方面的支出；家庭经济生活困难学生生活补助用于落实好农村义务教育阶段贫困生生活费补助资助政策，提高贫困家庭经济收入，助力家庭脱贫。</w:t>
      </w:r>
      <w:r>
        <w:rPr>
          <w:rFonts w:eastAsia="仿宋_GB2312"/>
          <w:sz w:val="32"/>
          <w:szCs w:val="32"/>
        </w:rPr>
        <w:t>项目实施情况：</w:t>
      </w:r>
      <w:r>
        <w:rPr>
          <w:rFonts w:hint="eastAsia" w:eastAsia="仿宋_GB2312"/>
          <w:sz w:val="32"/>
          <w:szCs w:val="32"/>
        </w:rPr>
        <w:t>寄宿生补助学生人数150人，公用经费受益师生人数536人，学生家庭经济负担有效降低。</w:t>
      </w:r>
    </w:p>
    <w:p>
      <w:pPr>
        <w:spacing w:line="600" w:lineRule="exact"/>
        <w:ind w:firstLine="640" w:firstLineChars="200"/>
        <w:outlineLvl w:val="0"/>
        <w:rPr>
          <w:rFonts w:eastAsia="仿宋_GB2312"/>
          <w:sz w:val="32"/>
          <w:szCs w:val="32"/>
        </w:rPr>
      </w:pPr>
      <w:r>
        <w:rPr>
          <w:rFonts w:eastAsia="仿宋_GB2312"/>
          <w:sz w:val="32"/>
          <w:szCs w:val="32"/>
        </w:rPr>
        <w:t>3.资金投入和使用情况</w:t>
      </w:r>
    </w:p>
    <w:p>
      <w:pPr>
        <w:spacing w:line="600" w:lineRule="exact"/>
        <w:ind w:firstLine="640" w:firstLineChars="200"/>
        <w:outlineLvl w:val="0"/>
        <w:rPr>
          <w:rFonts w:eastAsia="仿宋_GB2312"/>
          <w:sz w:val="32"/>
          <w:szCs w:val="32"/>
        </w:rPr>
      </w:pPr>
      <w:r>
        <w:rPr>
          <w:rFonts w:eastAsia="仿宋_GB2312"/>
          <w:sz w:val="32"/>
          <w:szCs w:val="32"/>
        </w:rPr>
        <w:t>（1）资金投入情况</w:t>
      </w:r>
    </w:p>
    <w:p>
      <w:pPr>
        <w:spacing w:line="600" w:lineRule="exact"/>
        <w:ind w:firstLine="640" w:firstLineChars="200"/>
        <w:outlineLvl w:val="0"/>
        <w:rPr>
          <w:rFonts w:eastAsia="仿宋_GB2312"/>
          <w:sz w:val="32"/>
          <w:szCs w:val="32"/>
        </w:rPr>
      </w:pPr>
      <w:r>
        <w:rPr>
          <w:rFonts w:eastAsia="仿宋_GB2312"/>
          <w:sz w:val="32"/>
          <w:szCs w:val="32"/>
        </w:rPr>
        <w:t>该项目年初预算数</w:t>
      </w:r>
      <w:r>
        <w:rPr>
          <w:rFonts w:hint="eastAsia" w:eastAsia="仿宋_GB2312"/>
          <w:sz w:val="32"/>
          <w:szCs w:val="32"/>
        </w:rPr>
        <w:t>93.99</w:t>
      </w:r>
      <w:r>
        <w:rPr>
          <w:rFonts w:eastAsia="仿宋_GB2312"/>
          <w:sz w:val="32"/>
          <w:szCs w:val="32"/>
        </w:rPr>
        <w:t>万元，全年预算数</w:t>
      </w:r>
      <w:r>
        <w:rPr>
          <w:rFonts w:hint="eastAsia" w:eastAsia="仿宋_GB2312"/>
          <w:sz w:val="32"/>
          <w:szCs w:val="32"/>
        </w:rPr>
        <w:t>80.61</w:t>
      </w:r>
      <w:r>
        <w:rPr>
          <w:rFonts w:eastAsia="仿宋_GB2312"/>
          <w:sz w:val="32"/>
          <w:szCs w:val="32"/>
        </w:rPr>
        <w:t>万元，该项目资金已全部落实到位，资金来源为</w:t>
      </w:r>
      <w:r>
        <w:rPr>
          <w:rFonts w:hint="eastAsia" w:eastAsia="仿宋_GB2312"/>
          <w:sz w:val="32"/>
          <w:szCs w:val="32"/>
        </w:rPr>
        <w:t>财政拨款</w:t>
      </w:r>
      <w:r>
        <w:rPr>
          <w:rFonts w:eastAsia="仿宋_GB2312"/>
          <w:sz w:val="32"/>
          <w:szCs w:val="32"/>
        </w:rPr>
        <w:t>。</w:t>
      </w:r>
    </w:p>
    <w:p>
      <w:pPr>
        <w:spacing w:line="600" w:lineRule="exact"/>
        <w:ind w:firstLine="640" w:firstLineChars="200"/>
        <w:outlineLvl w:val="0"/>
        <w:rPr>
          <w:rFonts w:eastAsia="仿宋_GB2312"/>
          <w:sz w:val="32"/>
          <w:szCs w:val="32"/>
        </w:rPr>
      </w:pPr>
      <w:r>
        <w:rPr>
          <w:rFonts w:eastAsia="仿宋_GB2312"/>
          <w:sz w:val="32"/>
          <w:szCs w:val="32"/>
        </w:rPr>
        <w:t>（2）资金使用情况</w:t>
      </w:r>
    </w:p>
    <w:p>
      <w:pPr>
        <w:spacing w:line="600" w:lineRule="exact"/>
        <w:ind w:firstLine="640" w:firstLineChars="200"/>
        <w:outlineLvl w:val="0"/>
        <w:rPr>
          <w:rFonts w:eastAsia="仿宋_GB2312"/>
          <w:color w:val="FF0000"/>
          <w:sz w:val="32"/>
          <w:szCs w:val="32"/>
        </w:rPr>
      </w:pPr>
      <w:r>
        <w:rPr>
          <w:rFonts w:eastAsia="仿宋_GB2312"/>
          <w:sz w:val="32"/>
          <w:szCs w:val="32"/>
        </w:rPr>
        <w:t>该项目年初预算数</w:t>
      </w:r>
      <w:r>
        <w:rPr>
          <w:rFonts w:hint="eastAsia" w:eastAsia="仿宋_GB2312"/>
          <w:sz w:val="32"/>
          <w:szCs w:val="32"/>
        </w:rPr>
        <w:t>93.99</w:t>
      </w:r>
      <w:r>
        <w:rPr>
          <w:rFonts w:eastAsia="仿宋_GB2312"/>
          <w:sz w:val="32"/>
          <w:szCs w:val="32"/>
        </w:rPr>
        <w:t>万元，全年预算数</w:t>
      </w:r>
      <w:r>
        <w:rPr>
          <w:rFonts w:hint="eastAsia" w:eastAsia="仿宋_GB2312"/>
          <w:sz w:val="32"/>
          <w:szCs w:val="32"/>
        </w:rPr>
        <w:t>80.61</w:t>
      </w:r>
      <w:r>
        <w:rPr>
          <w:rFonts w:eastAsia="仿宋_GB2312"/>
          <w:sz w:val="32"/>
          <w:szCs w:val="32"/>
        </w:rPr>
        <w:t>万元</w:t>
      </w:r>
      <w:r>
        <w:rPr>
          <w:rFonts w:hint="eastAsia" w:eastAsia="仿宋_GB2312"/>
          <w:sz w:val="32"/>
          <w:szCs w:val="32"/>
        </w:rPr>
        <w:t>，</w:t>
      </w:r>
      <w:r>
        <w:rPr>
          <w:rFonts w:eastAsia="仿宋_GB2312"/>
          <w:sz w:val="32"/>
          <w:szCs w:val="32"/>
        </w:rPr>
        <w:t>全年执行数</w:t>
      </w:r>
      <w:r>
        <w:rPr>
          <w:rFonts w:hint="eastAsia" w:eastAsia="仿宋_GB2312"/>
          <w:sz w:val="32"/>
          <w:szCs w:val="32"/>
        </w:rPr>
        <w:t>80.61</w:t>
      </w:r>
      <w:r>
        <w:rPr>
          <w:rFonts w:eastAsia="仿宋_GB2312"/>
          <w:sz w:val="32"/>
          <w:szCs w:val="32"/>
        </w:rPr>
        <w:t>万元，预算执行率为</w:t>
      </w:r>
      <w:r>
        <w:rPr>
          <w:rFonts w:hint="eastAsia" w:eastAsia="仿宋_GB2312"/>
          <w:sz w:val="32"/>
          <w:szCs w:val="32"/>
        </w:rPr>
        <w:t>100</w:t>
      </w:r>
      <w:r>
        <w:rPr>
          <w:rFonts w:eastAsia="仿宋_GB2312"/>
          <w:sz w:val="32"/>
          <w:szCs w:val="32"/>
        </w:rPr>
        <w:t>%，</w:t>
      </w:r>
      <w:r>
        <w:rPr>
          <w:rFonts w:hint="eastAsia" w:eastAsia="仿宋_GB2312"/>
          <w:sz w:val="32"/>
          <w:szCs w:val="32"/>
        </w:rPr>
        <w:t>主要用于奇台县五马场哈萨克族乡中心学校日常办公开支、设备维修，水、电、网费等，以及寄宿生和非寄宿生生活费补助。</w:t>
      </w:r>
    </w:p>
    <w:p>
      <w:pPr>
        <w:spacing w:line="560" w:lineRule="exact"/>
        <w:ind w:firstLine="643" w:firstLineChars="200"/>
        <w:rPr>
          <w:rFonts w:eastAsia="楷体_GB2312"/>
          <w:b/>
          <w:bCs/>
          <w:sz w:val="32"/>
          <w:szCs w:val="32"/>
        </w:rPr>
      </w:pPr>
      <w:r>
        <w:rPr>
          <w:rFonts w:eastAsia="楷体_GB2312"/>
          <w:b/>
          <w:bCs/>
          <w:sz w:val="32"/>
          <w:szCs w:val="32"/>
        </w:rPr>
        <w:t>（二）项目绩效目标</w:t>
      </w:r>
    </w:p>
    <w:p>
      <w:pPr>
        <w:spacing w:line="560" w:lineRule="exact"/>
        <w:ind w:firstLine="640" w:firstLineChars="200"/>
        <w:rPr>
          <w:rFonts w:eastAsia="仿宋_GB2312"/>
          <w:sz w:val="32"/>
          <w:szCs w:val="32"/>
        </w:rPr>
      </w:pPr>
      <w:r>
        <w:rPr>
          <w:rFonts w:eastAsia="仿宋_GB2312"/>
          <w:sz w:val="32"/>
          <w:szCs w:val="32"/>
        </w:rPr>
        <w:t>1</w:t>
      </w:r>
      <w:r>
        <w:rPr>
          <w:rFonts w:eastAsia="仿宋_GB2312"/>
          <w:b/>
          <w:bCs/>
          <w:sz w:val="32"/>
          <w:szCs w:val="32"/>
        </w:rPr>
        <w:t>.</w:t>
      </w:r>
      <w:r>
        <w:rPr>
          <w:rFonts w:eastAsia="仿宋_GB2312"/>
          <w:sz w:val="32"/>
          <w:szCs w:val="32"/>
        </w:rPr>
        <w:t>总体目标</w:t>
      </w:r>
    </w:p>
    <w:p>
      <w:pPr>
        <w:widowControl/>
        <w:ind w:firstLine="640" w:firstLineChars="200"/>
        <w:jc w:val="left"/>
        <w:rPr>
          <w:rFonts w:eastAsia="仿宋_GB2312"/>
          <w:sz w:val="32"/>
          <w:szCs w:val="32"/>
        </w:rPr>
      </w:pPr>
      <w:r>
        <w:rPr>
          <w:rFonts w:hint="eastAsia" w:eastAsia="仿宋_GB2312"/>
          <w:sz w:val="32"/>
          <w:szCs w:val="32"/>
        </w:rPr>
        <w:t>本项目拟投入80.6195万元，用于发放2024年义务教育保障机制经费，其中，学生人数536人，随班就读残疾学生3人，本项目拟投入39.6875万元用于发放2024年义务教育保障机制经费，其中，寄宿生补助学生人数150人，资金发放（补助）准确率达到100%，公用经费受益师生人数538人，学生家庭经济负担有效降低，家长满意度、学生满意度、教师满意度大于等于90%。</w:t>
      </w:r>
    </w:p>
    <w:p>
      <w:pPr>
        <w:widowControl/>
        <w:ind w:firstLine="640" w:firstLineChars="200"/>
        <w:jc w:val="left"/>
        <w:rPr>
          <w:rFonts w:eastAsia="仿宋_GB2312"/>
          <w:sz w:val="32"/>
          <w:szCs w:val="32"/>
        </w:rPr>
      </w:pPr>
      <w:r>
        <w:rPr>
          <w:rFonts w:eastAsia="仿宋_GB2312"/>
          <w:sz w:val="32"/>
          <w:szCs w:val="32"/>
        </w:rPr>
        <w:t>实际完成目标：</w:t>
      </w:r>
    </w:p>
    <w:p>
      <w:pPr>
        <w:widowControl/>
        <w:ind w:firstLine="640" w:firstLineChars="200"/>
        <w:jc w:val="left"/>
        <w:rPr>
          <w:rFonts w:eastAsia="仿宋_GB2312"/>
          <w:sz w:val="32"/>
          <w:szCs w:val="32"/>
        </w:rPr>
      </w:pPr>
      <w:r>
        <w:rPr>
          <w:rFonts w:eastAsia="仿宋_GB2312"/>
          <w:sz w:val="32"/>
          <w:szCs w:val="32"/>
        </w:rPr>
        <w:t>截止2024年12月31日，</w:t>
      </w:r>
      <w:r>
        <w:rPr>
          <w:rFonts w:hint="eastAsia" w:eastAsia="仿宋_GB2312"/>
          <w:sz w:val="32"/>
          <w:szCs w:val="32"/>
        </w:rPr>
        <w:t>本项目投入80.6195万元，用于发放2024年义务教育保障机制经费，其中，学生人数536人，随班就读残疾学生3人，本项目拟投入39.6875万元用于发放2024年义务教育保障机制经费，其中，寄宿生补助学生人数150人，资金发放（补助）准确率达到100%，公用经费受益师生人数538人，学生家庭经济负担有效降低，家长满意度、学生满意度、教师满意度</w:t>
      </w:r>
      <w:r>
        <w:rPr>
          <w:rFonts w:hint="eastAsia" w:eastAsia="仿宋_GB2312"/>
          <w:sz w:val="32"/>
          <w:szCs w:val="32"/>
          <w:lang w:val="en-US" w:eastAsia="zh-CN"/>
        </w:rPr>
        <w:t>等于</w:t>
      </w:r>
      <w:r>
        <w:rPr>
          <w:rFonts w:hint="eastAsia" w:eastAsia="仿宋_GB2312"/>
          <w:sz w:val="32"/>
          <w:szCs w:val="32"/>
        </w:rPr>
        <w:t>90%。</w:t>
      </w:r>
    </w:p>
    <w:p>
      <w:pPr>
        <w:widowControl/>
        <w:jc w:val="left"/>
        <w:rPr>
          <w:rFonts w:eastAsia="仿宋_GB2312"/>
          <w:sz w:val="32"/>
          <w:szCs w:val="32"/>
        </w:rPr>
      </w:pPr>
      <w:r>
        <w:rPr>
          <w:rFonts w:eastAsia="仿宋_GB2312"/>
          <w:sz w:val="32"/>
          <w:szCs w:val="32"/>
        </w:rPr>
        <w:t>阶段性目标</w:t>
      </w:r>
      <w:r>
        <w:rPr>
          <w:rFonts w:hint="eastAsia" w:eastAsia="仿宋_GB2312"/>
          <w:sz w:val="32"/>
          <w:szCs w:val="32"/>
        </w:rPr>
        <w:t>：</w:t>
      </w:r>
    </w:p>
    <w:p>
      <w:pPr>
        <w:widowControl/>
        <w:ind w:firstLine="640" w:firstLineChars="200"/>
        <w:jc w:val="left"/>
        <w:rPr>
          <w:rFonts w:eastAsia="仿宋_GB2312"/>
          <w:sz w:val="32"/>
          <w:szCs w:val="32"/>
        </w:rPr>
      </w:pPr>
      <w:r>
        <w:rPr>
          <w:rFonts w:hint="eastAsia" w:eastAsia="仿宋_GB2312"/>
          <w:sz w:val="32"/>
          <w:szCs w:val="32"/>
        </w:rPr>
        <w:t>本项目投入80.6195万元，用于发放2024年义务教育保障机制经费，其中，学生人数536人，随班就读残疾学生3人，本项目投入39.6875万元用于发放2024年义务教育保障机制经费，其中，寄宿生补助学生人数150人，资金发放（补助）准确率达到100%，公用经费受益师生人数538人，学生家庭经济负担有效降低，家长满意度、学生满意度、教师满意度等于90%。</w:t>
      </w:r>
    </w:p>
    <w:p>
      <w:pPr>
        <w:spacing w:line="560" w:lineRule="exact"/>
        <w:ind w:firstLine="640" w:firstLineChars="200"/>
        <w:rPr>
          <w:rFonts w:eastAsia="黑体"/>
          <w:sz w:val="32"/>
          <w:szCs w:val="32"/>
        </w:rPr>
      </w:pPr>
      <w:r>
        <w:rPr>
          <w:rFonts w:eastAsia="黑体"/>
          <w:sz w:val="32"/>
          <w:szCs w:val="32"/>
        </w:rPr>
        <w:t>二、绩效评价工作开展情况</w:t>
      </w:r>
    </w:p>
    <w:p>
      <w:pPr>
        <w:spacing w:line="560" w:lineRule="exact"/>
        <w:ind w:firstLine="643" w:firstLineChars="200"/>
        <w:rPr>
          <w:rFonts w:eastAsia="楷体_GB2312"/>
          <w:b/>
          <w:bCs/>
          <w:sz w:val="32"/>
          <w:szCs w:val="32"/>
        </w:rPr>
      </w:pPr>
      <w:r>
        <w:rPr>
          <w:rFonts w:eastAsia="楷体_GB2312"/>
          <w:b/>
          <w:bCs/>
          <w:sz w:val="32"/>
          <w:szCs w:val="32"/>
        </w:rPr>
        <w:t>（一）绩效评价目的、对象和范围</w:t>
      </w:r>
    </w:p>
    <w:p>
      <w:pPr>
        <w:pStyle w:val="2"/>
        <w:widowControl w:val="0"/>
        <w:spacing w:before="0" w:after="0" w:line="560" w:lineRule="exact"/>
        <w:ind w:firstLine="640" w:firstLineChars="200"/>
        <w:jc w:val="both"/>
        <w:outlineLvl w:val="9"/>
        <w:rPr>
          <w:rFonts w:hint="eastAsia" w:ascii="Times New Roman" w:hAnsi="Times New Roman" w:eastAsia="仿宋_GB2312"/>
          <w:b w:val="0"/>
          <w:bCs w:val="0"/>
        </w:rPr>
      </w:pPr>
      <w:r>
        <w:rPr>
          <w:rFonts w:hint="eastAsia" w:ascii="Times New Roman" w:hAnsi="Times New Roman" w:eastAsia="仿宋_GB2312"/>
          <w:b w:val="0"/>
          <w:bCs w:val="0"/>
        </w:rPr>
        <w:t xml:space="preserve">1. 评价目的 </w:t>
      </w:r>
    </w:p>
    <w:p>
      <w:pPr>
        <w:pStyle w:val="2"/>
        <w:widowControl w:val="0"/>
        <w:spacing w:before="0" w:after="0" w:line="560" w:lineRule="exact"/>
        <w:ind w:firstLine="640" w:firstLineChars="200"/>
        <w:jc w:val="both"/>
        <w:outlineLvl w:val="9"/>
        <w:rPr>
          <w:rFonts w:hint="eastAsia" w:ascii="Times New Roman" w:hAnsi="Times New Roman" w:eastAsia="仿宋_GB2312"/>
          <w:b w:val="0"/>
          <w:bCs w:val="0"/>
          <w:lang w:eastAsia="zh-CN"/>
        </w:rPr>
      </w:pPr>
      <w:r>
        <w:rPr>
          <w:rFonts w:hint="eastAsia" w:ascii="Times New Roman" w:hAnsi="Times New Roman" w:eastAsia="仿宋_GB2312"/>
          <w:b w:val="0"/>
          <w:bCs w:val="0"/>
        </w:rPr>
        <w:t>开展学校公用经费绩效评价工作，旨在全面掌握公用经费的使用效益和管理水平，确保资金使用规范、高效，促进教育资源优化配置。通过科学评价，发现问题、总结经验，为后续经费预算编制、分配和政策调整提供依据，推动学校教育教学质量提升和可持续发展。</w:t>
      </w:r>
    </w:p>
    <w:p>
      <w:pPr>
        <w:pStyle w:val="2"/>
        <w:widowControl w:val="0"/>
        <w:spacing w:before="0" w:after="0" w:line="560" w:lineRule="exact"/>
        <w:ind w:firstLine="640" w:firstLineChars="200"/>
        <w:jc w:val="both"/>
        <w:outlineLvl w:val="9"/>
        <w:rPr>
          <w:rFonts w:hint="eastAsia" w:ascii="Times New Roman" w:hAnsi="Times New Roman" w:eastAsia="仿宋_GB2312"/>
          <w:b w:val="0"/>
          <w:bCs w:val="0"/>
        </w:rPr>
      </w:pPr>
      <w:r>
        <w:rPr>
          <w:rFonts w:hint="eastAsia" w:ascii="Times New Roman" w:hAnsi="Times New Roman" w:eastAsia="仿宋_GB2312"/>
          <w:b w:val="0"/>
          <w:bCs w:val="0"/>
        </w:rPr>
        <w:t>本次绩效评价的对象为学校年度公用经费的收支情况，涵盖财政拨款、专项补助及其他用于维持学校正常运转的公共资金。</w:t>
      </w:r>
    </w:p>
    <w:p>
      <w:pPr>
        <w:pStyle w:val="2"/>
        <w:widowControl w:val="0"/>
        <w:spacing w:before="0" w:after="0" w:line="560" w:lineRule="exact"/>
        <w:ind w:firstLine="640" w:firstLineChars="200"/>
        <w:jc w:val="both"/>
        <w:outlineLvl w:val="9"/>
        <w:rPr>
          <w:rFonts w:hint="eastAsia" w:ascii="Times New Roman" w:hAnsi="Times New Roman" w:eastAsia="仿宋_GB2312"/>
          <w:b w:val="0"/>
          <w:bCs w:val="0"/>
          <w:lang w:eastAsia="zh-CN"/>
        </w:rPr>
      </w:pPr>
      <w:r>
        <w:rPr>
          <w:rFonts w:hint="eastAsia" w:ascii="Times New Roman" w:hAnsi="Times New Roman" w:eastAsia="仿宋_GB2312"/>
          <w:b w:val="0"/>
          <w:bCs w:val="0"/>
        </w:rPr>
        <w:t>学校公用经费使用情况为基础，覆盖经费申报、审批、执行、监督的全流程，重点评价以下方面：</w:t>
      </w:r>
    </w:p>
    <w:p>
      <w:pPr>
        <w:pStyle w:val="2"/>
        <w:widowControl w:val="0"/>
        <w:spacing w:before="0" w:after="0" w:line="560" w:lineRule="exact"/>
        <w:ind w:firstLine="640" w:firstLineChars="200"/>
        <w:jc w:val="both"/>
        <w:outlineLvl w:val="9"/>
        <w:rPr>
          <w:rFonts w:hint="eastAsia" w:ascii="Times New Roman" w:hAnsi="Times New Roman" w:eastAsia="仿宋_GB2312"/>
          <w:b w:val="0"/>
          <w:bCs w:val="0"/>
          <w:lang w:eastAsia="zh-CN"/>
        </w:rPr>
      </w:pPr>
      <w:r>
        <w:rPr>
          <w:rFonts w:hint="eastAsia" w:ascii="Times New Roman" w:hAnsi="Times New Roman" w:eastAsia="仿宋_GB2312"/>
          <w:b w:val="0"/>
          <w:bCs w:val="0"/>
        </w:rPr>
        <w:t>(1)资金分配的合理性：是否符合学校发展规划和实际需求；</w:t>
      </w:r>
    </w:p>
    <w:p>
      <w:pPr>
        <w:pStyle w:val="2"/>
        <w:widowControl w:val="0"/>
        <w:spacing w:before="0" w:after="0" w:line="560" w:lineRule="exact"/>
        <w:ind w:firstLine="640" w:firstLineChars="200"/>
        <w:jc w:val="both"/>
        <w:outlineLvl w:val="9"/>
        <w:rPr>
          <w:rFonts w:hint="eastAsia" w:ascii="Times New Roman" w:hAnsi="Times New Roman" w:eastAsia="仿宋_GB2312"/>
          <w:b w:val="0"/>
          <w:bCs w:val="0"/>
          <w:lang w:eastAsia="zh-CN"/>
        </w:rPr>
      </w:pPr>
      <w:r>
        <w:rPr>
          <w:rFonts w:hint="eastAsia" w:ascii="Times New Roman" w:hAnsi="Times New Roman" w:eastAsia="仿宋_GB2312"/>
          <w:b w:val="0"/>
          <w:bCs w:val="0"/>
        </w:rPr>
        <w:t>(2)资金使用的规范性：是否严格执行财务制度，有无违规支出；</w:t>
      </w:r>
    </w:p>
    <w:p>
      <w:pPr>
        <w:pStyle w:val="2"/>
        <w:widowControl w:val="0"/>
        <w:spacing w:before="0" w:after="0" w:line="560" w:lineRule="exact"/>
        <w:ind w:firstLine="640" w:firstLineChars="200"/>
        <w:jc w:val="both"/>
        <w:outlineLvl w:val="9"/>
        <w:rPr>
          <w:rFonts w:hint="eastAsia" w:ascii="Times New Roman" w:hAnsi="Times New Roman" w:eastAsia="仿宋_GB2312"/>
          <w:b w:val="0"/>
          <w:bCs w:val="0"/>
        </w:rPr>
      </w:pPr>
      <w:r>
        <w:rPr>
          <w:rFonts w:hint="eastAsia" w:ascii="Times New Roman" w:hAnsi="Times New Roman" w:eastAsia="仿宋_GB2312"/>
          <w:b w:val="0"/>
          <w:bCs w:val="0"/>
        </w:rPr>
        <w:t xml:space="preserve">(3)资金使用的效益性：是否达到预期目标，如教学条件改善、师生满意度提升等。 </w:t>
      </w:r>
    </w:p>
    <w:p>
      <w:pPr>
        <w:pStyle w:val="2"/>
        <w:widowControl w:val="0"/>
        <w:spacing w:before="0" w:after="0" w:line="560" w:lineRule="exact"/>
        <w:ind w:firstLine="640" w:firstLineChars="200"/>
        <w:jc w:val="both"/>
        <w:outlineLvl w:val="9"/>
        <w:rPr>
          <w:rFonts w:hint="eastAsia" w:ascii="Times New Roman" w:hAnsi="Times New Roman" w:eastAsia="仿宋_GB2312"/>
          <w:b w:val="0"/>
          <w:bCs w:val="0"/>
        </w:rPr>
      </w:pPr>
      <w:r>
        <w:rPr>
          <w:rFonts w:hint="eastAsia" w:ascii="Times New Roman" w:hAnsi="Times New Roman" w:eastAsia="仿宋_GB2312"/>
          <w:b w:val="0"/>
          <w:bCs w:val="0"/>
        </w:rPr>
        <w:t>2.绩效评价的目的</w:t>
      </w:r>
    </w:p>
    <w:p>
      <w:pPr>
        <w:pStyle w:val="2"/>
        <w:widowControl w:val="0"/>
        <w:spacing w:before="0" w:after="0" w:line="560" w:lineRule="exact"/>
        <w:ind w:firstLine="640" w:firstLineChars="200"/>
        <w:jc w:val="both"/>
        <w:outlineLvl w:val="9"/>
        <w:rPr>
          <w:rFonts w:hint="eastAsia" w:ascii="Times New Roman" w:hAnsi="Times New Roman" w:eastAsia="仿宋_GB2312"/>
          <w:b w:val="0"/>
          <w:bCs w:val="0"/>
          <w:lang w:eastAsia="zh-CN"/>
        </w:rPr>
      </w:pPr>
      <w:r>
        <w:rPr>
          <w:rFonts w:hint="eastAsia" w:ascii="Times New Roman" w:hAnsi="Times New Roman" w:eastAsia="仿宋_GB2312"/>
          <w:b w:val="0"/>
          <w:bCs w:val="0"/>
        </w:rPr>
        <w:t>（1）评估政策成效：全面了解教育教学政遵循“科学规范、客观公正、注重实效”的原则，采用定量与定性相结合的方法开展评价。围绕“投入—过程—产出—效益”逻辑框架，设置三级指标：</w:t>
      </w:r>
    </w:p>
    <w:p>
      <w:pPr>
        <w:pStyle w:val="2"/>
        <w:widowControl w:val="0"/>
        <w:spacing w:before="0" w:after="0" w:line="560" w:lineRule="exact"/>
        <w:ind w:firstLine="640" w:firstLineChars="200"/>
        <w:jc w:val="both"/>
        <w:outlineLvl w:val="9"/>
        <w:rPr>
          <w:rFonts w:hint="eastAsia" w:ascii="Times New Roman" w:hAnsi="Times New Roman" w:eastAsia="仿宋_GB2312"/>
          <w:b w:val="0"/>
          <w:bCs w:val="0"/>
          <w:lang w:eastAsia="zh-CN"/>
        </w:rPr>
      </w:pPr>
      <w:r>
        <w:rPr>
          <w:rFonts w:hint="eastAsia" w:ascii="Times New Roman" w:hAnsi="Times New Roman" w:eastAsia="仿宋_GB2312"/>
          <w:b w:val="0"/>
          <w:bCs w:val="0"/>
        </w:rPr>
        <w:t>(1)投入指标：经费到位率、预算编制科学性；</w:t>
      </w:r>
    </w:p>
    <w:p>
      <w:pPr>
        <w:pStyle w:val="2"/>
        <w:widowControl w:val="0"/>
        <w:spacing w:before="0" w:after="0" w:line="560" w:lineRule="exact"/>
        <w:ind w:firstLine="640" w:firstLineChars="200"/>
        <w:jc w:val="both"/>
        <w:outlineLvl w:val="9"/>
        <w:rPr>
          <w:rFonts w:hint="eastAsia" w:ascii="Times New Roman" w:hAnsi="Times New Roman" w:eastAsia="仿宋_GB2312"/>
          <w:b w:val="0"/>
          <w:bCs w:val="0"/>
          <w:lang w:eastAsia="zh-CN"/>
        </w:rPr>
      </w:pPr>
      <w:r>
        <w:rPr>
          <w:rFonts w:hint="eastAsia" w:ascii="Times New Roman" w:hAnsi="Times New Roman" w:eastAsia="仿宋_GB2312"/>
          <w:b w:val="0"/>
          <w:bCs w:val="0"/>
        </w:rPr>
        <w:t>(2)过程指标：资金执行进度、审批流程合规性；</w:t>
      </w:r>
    </w:p>
    <w:p>
      <w:pPr>
        <w:pStyle w:val="2"/>
        <w:widowControl w:val="0"/>
        <w:spacing w:before="0" w:after="0" w:line="560" w:lineRule="exact"/>
        <w:ind w:firstLine="640" w:firstLineChars="200"/>
        <w:jc w:val="both"/>
        <w:outlineLvl w:val="9"/>
        <w:rPr>
          <w:rFonts w:hint="eastAsia" w:ascii="Times New Roman" w:hAnsi="Times New Roman" w:eastAsia="仿宋_GB2312"/>
          <w:b w:val="0"/>
          <w:bCs w:val="0"/>
          <w:lang w:eastAsia="zh-CN"/>
        </w:rPr>
      </w:pPr>
      <w:r>
        <w:rPr>
          <w:rFonts w:hint="eastAsia" w:ascii="Times New Roman" w:hAnsi="Times New Roman" w:eastAsia="仿宋_GB2312"/>
          <w:b w:val="0"/>
          <w:bCs w:val="0"/>
        </w:rPr>
        <w:t>(3)产出指标：设备采购完成率、维修项目验收合格率；</w:t>
      </w:r>
    </w:p>
    <w:p>
      <w:pPr>
        <w:pStyle w:val="2"/>
        <w:widowControl w:val="0"/>
        <w:spacing w:before="0" w:after="0" w:line="560" w:lineRule="exact"/>
        <w:ind w:firstLine="640" w:firstLineChars="200"/>
        <w:jc w:val="both"/>
        <w:outlineLvl w:val="9"/>
        <w:rPr>
          <w:rFonts w:hint="eastAsia" w:ascii="Times New Roman" w:hAnsi="Times New Roman" w:eastAsia="仿宋_GB2312"/>
          <w:b w:val="0"/>
          <w:bCs w:val="0"/>
          <w:lang w:eastAsia="zh-CN"/>
        </w:rPr>
      </w:pPr>
      <w:r>
        <w:rPr>
          <w:rFonts w:hint="eastAsia" w:ascii="Times New Roman" w:hAnsi="Times New Roman" w:eastAsia="仿宋_GB2312"/>
          <w:b w:val="0"/>
          <w:bCs w:val="0"/>
        </w:rPr>
        <w:t>(4)效益指标：师生满意度、教学环境改善程度等。</w:t>
      </w:r>
    </w:p>
    <w:p>
      <w:pPr>
        <w:pStyle w:val="2"/>
        <w:widowControl w:val="0"/>
        <w:spacing w:before="0" w:after="0" w:line="560" w:lineRule="exact"/>
        <w:ind w:firstLine="640" w:firstLineChars="200"/>
        <w:jc w:val="both"/>
        <w:outlineLvl w:val="9"/>
        <w:rPr>
          <w:rFonts w:hint="eastAsia" w:ascii="Times New Roman" w:hAnsi="Times New Roman" w:eastAsia="仿宋_GB2312"/>
          <w:b w:val="0"/>
          <w:bCs w:val="0"/>
        </w:rPr>
      </w:pPr>
      <w:r>
        <w:rPr>
          <w:rFonts w:hint="eastAsia" w:ascii="Times New Roman" w:hAnsi="Times New Roman" w:eastAsia="仿宋_GB2312"/>
          <w:b w:val="0"/>
          <w:bCs w:val="0"/>
        </w:rPr>
        <w:t>本次绩效评价工作为提升学校公用经费管理水平提供了重要参考。未来需进一步健全长效机制，将评价结果与预算安排挂钩，确保资金使用效益最大化。</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w:t>
      </w:r>
      <w:r>
        <w:rPr>
          <w:rFonts w:ascii="Times New Roman" w:hAnsi="Times New Roman" w:eastAsia="仿宋_GB2312"/>
        </w:rPr>
        <w:t>.</w:t>
      </w:r>
      <w:r>
        <w:rPr>
          <w:rFonts w:ascii="Times New Roman" w:hAnsi="Times New Roman" w:eastAsia="仿宋_GB2312"/>
          <w:b w:val="0"/>
          <w:bCs w:val="0"/>
        </w:rPr>
        <w:t>绩效评价的对象</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本项目预算绩效评价报告的评价对象是</w:t>
      </w:r>
      <w:r>
        <w:rPr>
          <w:rFonts w:hint="eastAsia" w:ascii="Times New Roman" w:hAnsi="Times New Roman" w:eastAsia="仿宋_GB2312"/>
          <w:b w:val="0"/>
          <w:bCs w:val="0"/>
        </w:rPr>
        <w:t>昌州财教【2023】90号《关于提前下达2024年城乡义务教育补助经费预算[中央直达资金]的通知》昌州财教【2023】95号《关于提前下达2024年城乡义务教育补助经费[自治区直达资金]的通知》</w:t>
      </w:r>
      <w:r>
        <w:rPr>
          <w:rFonts w:hint="eastAsia" w:eastAsia="仿宋_GB2312"/>
        </w:rPr>
        <w:t>-</w:t>
      </w:r>
      <w:r>
        <w:rPr>
          <w:rFonts w:hint="eastAsia" w:ascii="Times New Roman" w:hAnsi="Times New Roman" w:eastAsia="仿宋_GB2312"/>
          <w:b w:val="0"/>
          <w:bCs w:val="0"/>
        </w:rPr>
        <w:t>小学公用经费</w:t>
      </w:r>
      <w:r>
        <w:rPr>
          <w:rFonts w:hint="eastAsia" w:eastAsia="仿宋_GB2312"/>
        </w:rPr>
        <w:t>，</w:t>
      </w:r>
      <w:r>
        <w:rPr>
          <w:rFonts w:ascii="Times New Roman" w:hAnsi="Times New Roman" w:eastAsia="仿宋_GB2312"/>
          <w:b w:val="0"/>
          <w:bCs w:val="0"/>
          <w:color w:val="000000" w:themeColor="text1"/>
          <w14:textFill>
            <w14:solidFill>
              <w14:schemeClr w14:val="tx1"/>
            </w14:solidFill>
          </w14:textFill>
        </w:rPr>
        <w:t>及</w:t>
      </w:r>
      <w:r>
        <w:rPr>
          <w:rFonts w:ascii="Times New Roman" w:hAnsi="Times New Roman" w:eastAsia="仿宋_GB2312"/>
          <w:b w:val="0"/>
          <w:bCs w:val="0"/>
        </w:rPr>
        <w:t>其预算执行情况。该项目由奇台县</w:t>
      </w:r>
      <w:r>
        <w:rPr>
          <w:rFonts w:hint="eastAsia" w:eastAsia="仿宋_GB2312"/>
          <w:b w:val="0"/>
          <w:bCs w:val="0"/>
        </w:rPr>
        <w:t>五马场哈萨克族乡中心学校</w:t>
      </w:r>
      <w:r>
        <w:rPr>
          <w:rFonts w:ascii="Times New Roman" w:hAnsi="Times New Roman" w:eastAsia="仿宋_GB2312"/>
          <w:b w:val="0"/>
          <w:bCs w:val="0"/>
        </w:rPr>
        <w:t>负责实施，旨在</w:t>
      </w:r>
      <w:r>
        <w:rPr>
          <w:rFonts w:hint="eastAsia" w:ascii="Times New Roman" w:hAnsi="Times New Roman" w:eastAsia="仿宋_GB2312"/>
          <w:b w:val="0"/>
          <w:bCs w:val="0"/>
        </w:rPr>
        <w:t>提高义务教育教学质量，保障教师和学生的学习环境。</w:t>
      </w:r>
      <w:r>
        <w:rPr>
          <w:rFonts w:ascii="Times New Roman" w:hAnsi="Times New Roman" w:eastAsia="仿宋_GB2312"/>
          <w:b w:val="0"/>
          <w:bCs w:val="0"/>
        </w:rPr>
        <w:t>项目预算涵盖从</w:t>
      </w:r>
      <w:r>
        <w:rPr>
          <w:rFonts w:hint="eastAsia" w:ascii="Times New Roman" w:hAnsi="Times New Roman" w:eastAsia="仿宋_GB2312"/>
          <w:b w:val="0"/>
          <w:bCs w:val="0"/>
        </w:rPr>
        <w:t>2024年3月1</w:t>
      </w:r>
      <w:r>
        <w:rPr>
          <w:rFonts w:ascii="Times New Roman" w:hAnsi="Times New Roman" w:eastAsia="仿宋_GB2312"/>
          <w:b w:val="0"/>
          <w:bCs w:val="0"/>
        </w:rPr>
        <w:t>至</w:t>
      </w:r>
      <w:r>
        <w:rPr>
          <w:rFonts w:hint="eastAsia" w:ascii="Times New Roman" w:hAnsi="Times New Roman" w:eastAsia="仿宋_GB2312"/>
          <w:b w:val="0"/>
          <w:bCs w:val="0"/>
        </w:rPr>
        <w:t>2024年12月31日</w:t>
      </w:r>
      <w:r>
        <w:rPr>
          <w:rFonts w:ascii="Times New Roman" w:hAnsi="Times New Roman" w:eastAsia="仿宋_GB2312"/>
          <w:b w:val="0"/>
          <w:bCs w:val="0"/>
        </w:rPr>
        <w:t>的全部资金投入与支出，涉及资金总额为</w:t>
      </w:r>
      <w:r>
        <w:rPr>
          <w:rFonts w:hint="eastAsia" w:ascii="Times New Roman" w:hAnsi="Times New Roman" w:eastAsia="仿宋_GB2312"/>
          <w:b w:val="0"/>
          <w:bCs w:val="0"/>
        </w:rPr>
        <w:t>80.61</w:t>
      </w:r>
      <w:r>
        <w:rPr>
          <w:rFonts w:ascii="Times New Roman" w:hAnsi="Times New Roman" w:eastAsia="仿宋_GB2312"/>
          <w:b w:val="0"/>
          <w:bCs w:val="0"/>
        </w:rPr>
        <w:t>万元。</w:t>
      </w:r>
    </w:p>
    <w:p>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lang w:val="en-US" w:eastAsia="zh-CN"/>
        </w:rPr>
        <w:t>4.</w:t>
      </w:r>
      <w:r>
        <w:rPr>
          <w:rFonts w:hint="default" w:ascii="Times New Roman" w:hAnsi="Times New Roman" w:eastAsia="仿宋_GB2312" w:cs="Times New Roman"/>
          <w:b w:val="0"/>
          <w:bCs w:val="0"/>
          <w:color w:val="auto"/>
          <w:highlight w:val="none"/>
        </w:rPr>
        <w:t>绩效评价的范围</w:t>
      </w:r>
    </w:p>
    <w:p>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本项目预算绩效评价报告的评价范围广泛而全面，涵盖了从项目立项至评价时点期间的所有关键预算活动和财务流程。具体而言，评价范围包括但不限于以下几个方面：</w:t>
      </w:r>
    </w:p>
    <w:p>
      <w:pPr>
        <w:pStyle w:val="2"/>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项目预算编制与执行：全面审视项目预算的编制依据、合理性、科学性以及实际执行情况，包括预算调整的原因和效果。</w:t>
      </w:r>
    </w:p>
    <w:p>
      <w:pPr>
        <w:pStyle w:val="2"/>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资金管理：深入分析项目资金的分配、使用和监管情况，确保资金使用的合规性、高效性和透明度。</w:t>
      </w:r>
    </w:p>
    <w:p>
      <w:pPr>
        <w:pStyle w:val="2"/>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项目实施进度与产出：评估项目是否按照既定计划顺利推进，各项任务是否按时完成，以及项目产出的数量、质量和时效性是否符合预期。</w:t>
      </w:r>
    </w:p>
    <w:p>
      <w:pPr>
        <w:spacing w:line="560" w:lineRule="exact"/>
        <w:ind w:firstLine="643" w:firstLineChars="200"/>
      </w:pPr>
      <w:r>
        <w:rPr>
          <w:rFonts w:eastAsia="楷体_GB2312"/>
          <w:b/>
          <w:bCs/>
          <w:sz w:val="32"/>
          <w:szCs w:val="32"/>
        </w:rPr>
        <w:t>（二）绩效评价原则、评价指标体系（详情见表1）、评价方法、评价标准。</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w:t>
      </w:r>
      <w:r>
        <w:rPr>
          <w:rFonts w:ascii="Times New Roman" w:hAnsi="Times New Roman" w:eastAsia="仿宋_GB2312"/>
        </w:rPr>
        <w:t>.</w:t>
      </w:r>
      <w:r>
        <w:rPr>
          <w:rFonts w:ascii="Times New Roman" w:hAnsi="Times New Roman" w:eastAsia="仿宋_GB2312"/>
          <w:b w:val="0"/>
          <w:bCs w:val="0"/>
        </w:rPr>
        <w:t>绩效评价原则</w:t>
      </w:r>
    </w:p>
    <w:p>
      <w:pPr>
        <w:spacing w:line="560" w:lineRule="exact"/>
        <w:ind w:firstLine="640" w:firstLineChars="200"/>
        <w:rPr>
          <w:rFonts w:eastAsia="仿宋_GB2312"/>
          <w:sz w:val="32"/>
          <w:szCs w:val="32"/>
        </w:rPr>
      </w:pPr>
      <w:r>
        <w:rPr>
          <w:rFonts w:eastAsia="仿宋_GB2312"/>
          <w:sz w:val="32"/>
          <w:szCs w:val="32"/>
        </w:rPr>
        <w:t>本次项目绩效评价遵循以下基本原则：</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w:t>
      </w:r>
      <w:r>
        <w:rPr>
          <w:rFonts w:ascii="Times New Roman" w:hAnsi="Times New Roman" w:eastAsia="仿宋_GB2312"/>
        </w:rPr>
        <w:t>.</w:t>
      </w:r>
      <w:r>
        <w:rPr>
          <w:rFonts w:ascii="Times New Roman" w:hAnsi="Times New Roman" w:eastAsia="仿宋_GB2312"/>
          <w:b w:val="0"/>
          <w:bCs w:val="0"/>
        </w:rPr>
        <w:t>评价指标体系</w:t>
      </w:r>
    </w:p>
    <w:p>
      <w:pPr>
        <w:spacing w:line="560" w:lineRule="exact"/>
        <w:ind w:firstLine="708" w:firstLineChars="200"/>
        <w:rPr>
          <w:spacing w:val="17"/>
          <w:sz w:val="32"/>
          <w:szCs w:val="32"/>
        </w:rPr>
      </w:pPr>
      <w:r>
        <w:rPr>
          <w:rFonts w:eastAsia="仿宋_GB2312"/>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spacing w:val="17"/>
          <w:sz w:val="32"/>
          <w:szCs w:val="32"/>
        </w:rPr>
      </w:pPr>
      <w:r>
        <w:rPr>
          <w:rFonts w:eastAsia="仿宋_GB2312"/>
          <w:spacing w:val="17"/>
          <w:sz w:val="32"/>
          <w:szCs w:val="32"/>
        </w:rPr>
        <w:t>（1）确定评价指标</w:t>
      </w:r>
    </w:p>
    <w:p>
      <w:pPr>
        <w:spacing w:line="560" w:lineRule="exact"/>
        <w:ind w:firstLine="708" w:firstLineChars="200"/>
        <w:rPr>
          <w:rFonts w:eastAsia="仿宋_GB2312"/>
          <w:spacing w:val="17"/>
          <w:sz w:val="32"/>
          <w:szCs w:val="32"/>
        </w:rPr>
      </w:pPr>
      <w:r>
        <w:rPr>
          <w:rFonts w:eastAsia="仿宋_GB2312"/>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spacing w:val="17"/>
          <w:sz w:val="32"/>
          <w:szCs w:val="32"/>
        </w:rPr>
      </w:pPr>
      <w:r>
        <w:rPr>
          <w:rFonts w:eastAsia="仿宋_GB2312"/>
          <w:spacing w:val="17"/>
          <w:sz w:val="32"/>
          <w:szCs w:val="32"/>
        </w:rPr>
        <w:t>（2）确定权重</w:t>
      </w:r>
    </w:p>
    <w:p>
      <w:pPr>
        <w:spacing w:line="560" w:lineRule="exact"/>
        <w:ind w:firstLine="708" w:firstLineChars="200"/>
        <w:rPr>
          <w:rFonts w:eastAsia="仿宋_GB2312"/>
          <w:spacing w:val="17"/>
          <w:sz w:val="32"/>
          <w:szCs w:val="32"/>
        </w:rPr>
      </w:pPr>
      <w:r>
        <w:rPr>
          <w:rFonts w:eastAsia="仿宋_GB2312"/>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eastAsia="仿宋_GB2312"/>
          <w:spacing w:val="17"/>
          <w:sz w:val="32"/>
          <w:szCs w:val="32"/>
        </w:rPr>
      </w:pPr>
      <w:r>
        <w:rPr>
          <w:rFonts w:eastAsia="仿宋_GB2312"/>
          <w:spacing w:val="17"/>
          <w:sz w:val="32"/>
          <w:szCs w:val="32"/>
        </w:rPr>
        <w:t>（3）确定指标标准值</w:t>
      </w:r>
    </w:p>
    <w:p>
      <w:pPr>
        <w:spacing w:line="560" w:lineRule="exact"/>
        <w:ind w:firstLine="708" w:firstLineChars="200"/>
        <w:rPr>
          <w:rFonts w:eastAsia="仿宋_GB2312"/>
          <w:spacing w:val="17"/>
          <w:sz w:val="32"/>
          <w:szCs w:val="32"/>
        </w:rPr>
      </w:pPr>
      <w:r>
        <w:rPr>
          <w:rFonts w:eastAsia="仿宋_GB2312"/>
          <w:spacing w:val="17"/>
          <w:sz w:val="32"/>
          <w:szCs w:val="32"/>
        </w:rPr>
        <w:t>指标标准值是绩效评价指标的尺度，既要反映同类项目的先进水平，又要符合项目的实际绩效水平。具体采用计划标准等确定此次绩效评价指标标准值。</w:t>
      </w:r>
    </w:p>
    <w:p>
      <w:pPr>
        <w:pStyle w:val="2"/>
        <w:spacing w:before="0" w:after="0" w:line="560" w:lineRule="exact"/>
        <w:ind w:firstLine="708" w:firstLineChars="200"/>
        <w:jc w:val="both"/>
        <w:rPr>
          <w:rFonts w:ascii="Times New Roman" w:hAnsi="Times New Roman" w:eastAsia="仿宋_GB2312"/>
          <w:b w:val="0"/>
          <w:bCs w:val="0"/>
          <w:spacing w:val="17"/>
          <w:kern w:val="2"/>
        </w:rPr>
      </w:pPr>
      <w:r>
        <w:rPr>
          <w:rFonts w:ascii="Times New Roman" w:hAnsi="Times New Roman" w:eastAsia="仿宋_GB2312"/>
          <w:b w:val="0"/>
          <w:bCs w:val="0"/>
          <w:spacing w:val="17"/>
          <w:kern w:val="2"/>
        </w:rPr>
        <w:t>绩效评价总分值100分，根据综合评分结果，90（含）-100分为优、80（含）-90分为良、60（含）-80分为中、60分以下为差。</w:t>
      </w:r>
    </w:p>
    <w:p>
      <w:pPr>
        <w:pStyle w:val="2"/>
        <w:widowControl w:val="0"/>
        <w:spacing w:before="0" w:after="0" w:line="560" w:lineRule="exact"/>
        <w:ind w:firstLine="708" w:firstLineChars="200"/>
        <w:jc w:val="both"/>
        <w:outlineLvl w:val="9"/>
        <w:rPr>
          <w:rFonts w:ascii="Times New Roman" w:hAnsi="Times New Roman" w:eastAsia="仿宋_GB2312"/>
          <w:b w:val="0"/>
          <w:bCs w:val="0"/>
          <w:spacing w:val="17"/>
        </w:rPr>
      </w:pPr>
      <w:r>
        <w:rPr>
          <w:rFonts w:ascii="Times New Roman" w:hAnsi="Times New Roman" w:eastAsia="仿宋_GB2312"/>
          <w:b w:val="0"/>
          <w:bCs w:val="0"/>
          <w:spacing w:val="17"/>
        </w:rPr>
        <w:t>具体评价指标体系详情见附件1</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3.绩效评价方法</w:t>
      </w:r>
    </w:p>
    <w:p>
      <w:pPr>
        <w:spacing w:line="560" w:lineRule="exact"/>
        <w:ind w:firstLine="708" w:firstLineChars="200"/>
        <w:rPr>
          <w:rFonts w:eastAsia="仿宋_GB2312"/>
          <w:spacing w:val="17"/>
          <w:sz w:val="32"/>
          <w:szCs w:val="32"/>
        </w:rPr>
      </w:pPr>
      <w:r>
        <w:rPr>
          <w:rFonts w:eastAsia="仿宋_GB2312"/>
          <w:spacing w:val="17"/>
          <w:sz w:val="32"/>
          <w:szCs w:val="32"/>
        </w:rPr>
        <w:t>绩效评价从项目决策、项目过程、项目产出、项目效益四个维度进行评价。评价对象为项目目标实施情况，评价核心为资金的支出完成情况和项目的产出效益。</w:t>
      </w:r>
    </w:p>
    <w:p>
      <w:pPr>
        <w:spacing w:line="560" w:lineRule="exact"/>
        <w:ind w:firstLine="708" w:firstLineChars="200"/>
        <w:rPr>
          <w:rFonts w:eastAsia="仿宋_GB2312"/>
          <w:spacing w:val="17"/>
          <w:sz w:val="32"/>
          <w:szCs w:val="32"/>
        </w:rPr>
      </w:pPr>
      <w:r>
        <w:rPr>
          <w:rFonts w:eastAsia="仿宋_GB2312"/>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spacing w:val="17"/>
          <w:sz w:val="32"/>
          <w:szCs w:val="32"/>
        </w:rPr>
      </w:pPr>
      <w:r>
        <w:rPr>
          <w:rFonts w:eastAsia="仿宋_GB2312"/>
          <w:spacing w:val="17"/>
          <w:sz w:val="32"/>
          <w:szCs w:val="32"/>
        </w:rPr>
        <w:t xml:space="preserve">（一）成本效益分析法。是指将投入与产出、效益进行关联性分析的方法。 </w:t>
      </w:r>
    </w:p>
    <w:p>
      <w:pPr>
        <w:spacing w:line="560" w:lineRule="exact"/>
        <w:ind w:firstLine="708" w:firstLineChars="200"/>
        <w:rPr>
          <w:rFonts w:eastAsia="仿宋_GB2312"/>
          <w:spacing w:val="17"/>
          <w:sz w:val="32"/>
          <w:szCs w:val="32"/>
        </w:rPr>
      </w:pPr>
      <w:r>
        <w:rPr>
          <w:rFonts w:eastAsia="仿宋_GB2312"/>
          <w:spacing w:val="17"/>
          <w:sz w:val="32"/>
          <w:szCs w:val="32"/>
        </w:rPr>
        <w:t>（二）比较法。是指将实施情况与绩效目标、历史情况、不同部门和地区同类支出情况进行比较的方法。</w:t>
      </w:r>
    </w:p>
    <w:p>
      <w:pPr>
        <w:spacing w:line="560" w:lineRule="exact"/>
        <w:ind w:firstLine="708" w:firstLineChars="200"/>
        <w:rPr>
          <w:rFonts w:eastAsia="仿宋_GB2312"/>
          <w:spacing w:val="17"/>
          <w:sz w:val="32"/>
          <w:szCs w:val="32"/>
        </w:rPr>
      </w:pPr>
      <w:r>
        <w:rPr>
          <w:rFonts w:eastAsia="仿宋_GB2312"/>
          <w:spacing w:val="17"/>
          <w:sz w:val="32"/>
          <w:szCs w:val="32"/>
        </w:rPr>
        <w:t>（三）因素分析法。是指综合分析影响绩效目标实现、实施效果的内外部因素的方法。</w:t>
      </w:r>
    </w:p>
    <w:p>
      <w:pPr>
        <w:spacing w:line="560" w:lineRule="exact"/>
        <w:ind w:firstLine="708" w:firstLineChars="200"/>
        <w:rPr>
          <w:rFonts w:eastAsia="仿宋_GB2312"/>
          <w:spacing w:val="17"/>
          <w:sz w:val="32"/>
          <w:szCs w:val="32"/>
        </w:rPr>
      </w:pPr>
      <w:r>
        <w:rPr>
          <w:rFonts w:eastAsia="仿宋_GB2312"/>
          <w:spacing w:val="17"/>
          <w:sz w:val="32"/>
          <w:szCs w:val="32"/>
        </w:rPr>
        <w:t>（四）最低成本法。是指在绩效目标确定的前提下，成本最小者为优的方法。</w:t>
      </w:r>
    </w:p>
    <w:p>
      <w:pPr>
        <w:spacing w:line="560" w:lineRule="exact"/>
        <w:ind w:firstLine="708" w:firstLineChars="200"/>
        <w:rPr>
          <w:rFonts w:eastAsia="仿宋_GB2312"/>
          <w:spacing w:val="17"/>
          <w:sz w:val="32"/>
          <w:szCs w:val="32"/>
        </w:rPr>
      </w:pPr>
      <w:r>
        <w:rPr>
          <w:rFonts w:eastAsia="仿宋_GB2312"/>
          <w:spacing w:val="17"/>
          <w:sz w:val="32"/>
          <w:szCs w:val="32"/>
        </w:rPr>
        <w:t>（五）公众评判法。是指通过专家评估、公众问卷及抽样调查等方式进行评判的方法。</w:t>
      </w:r>
    </w:p>
    <w:p>
      <w:pPr>
        <w:spacing w:line="560" w:lineRule="exact"/>
        <w:ind w:firstLine="708" w:firstLineChars="200"/>
        <w:rPr>
          <w:rFonts w:eastAsia="仿宋_GB2312"/>
          <w:spacing w:val="17"/>
          <w:sz w:val="32"/>
          <w:szCs w:val="32"/>
        </w:rPr>
      </w:pPr>
      <w:r>
        <w:rPr>
          <w:rFonts w:eastAsia="仿宋_GB2312"/>
          <w:spacing w:val="17"/>
          <w:sz w:val="32"/>
          <w:szCs w:val="32"/>
        </w:rPr>
        <w:t>（六）标杆管理法。是指以国内外同行业中较高的绩效水平为标杆进行评判的方法。</w:t>
      </w:r>
    </w:p>
    <w:p>
      <w:pPr>
        <w:spacing w:line="560" w:lineRule="exact"/>
        <w:ind w:firstLine="708" w:firstLineChars="200"/>
        <w:rPr>
          <w:rFonts w:eastAsia="仿宋_GB2312"/>
          <w:spacing w:val="17"/>
          <w:sz w:val="32"/>
          <w:szCs w:val="32"/>
        </w:rPr>
      </w:pPr>
      <w:r>
        <w:rPr>
          <w:rFonts w:eastAsia="仿宋_GB2312"/>
          <w:spacing w:val="17"/>
          <w:sz w:val="32"/>
          <w:szCs w:val="32"/>
        </w:rPr>
        <w:t>（七）其他评价方法。</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w:t>
      </w:r>
      <w:r>
        <w:rPr>
          <w:rFonts w:ascii="Times New Roman" w:hAnsi="Times New Roman" w:eastAsia="仿宋_GB2312"/>
        </w:rPr>
        <w:t>.</w:t>
      </w:r>
      <w:r>
        <w:rPr>
          <w:rFonts w:ascii="Times New Roman" w:hAnsi="Times New Roman" w:eastAsia="仿宋_GB2312"/>
          <w:b w:val="0"/>
          <w:bCs w:val="0"/>
        </w:rPr>
        <w:t>评价标准</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绩效评价标准通常包括计划标准、行业标准、历史标准等，用于对绩效指标完成情况进行比较、分析、评价。本次评价主要采用了计划标准。</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（1）计划标准。指以预先制定的目标、计划、预算、定额等作为评价标准。</w:t>
      </w:r>
    </w:p>
    <w:p>
      <w:pPr>
        <w:pStyle w:val="2"/>
        <w:numPr>
          <w:ilvl w:val="0"/>
          <w:numId w:val="2"/>
        </w:numPr>
        <w:spacing w:before="0" w:after="0" w:line="560" w:lineRule="exact"/>
        <w:ind w:firstLine="711" w:firstLineChars="200"/>
        <w:jc w:val="both"/>
        <w:rPr>
          <w:rFonts w:ascii="Times New Roman" w:hAnsi="Times New Roman" w:eastAsia="楷体"/>
          <w:spacing w:val="17"/>
        </w:rPr>
      </w:pPr>
      <w:r>
        <w:rPr>
          <w:rFonts w:ascii="Times New Roman" w:hAnsi="Times New Roman" w:eastAsia="楷体"/>
          <w:spacing w:val="17"/>
        </w:rPr>
        <w:t>绩效评价工作过程</w:t>
      </w:r>
    </w:p>
    <w:p>
      <w:pPr>
        <w:numPr>
          <w:ilvl w:val="0"/>
          <w:numId w:val="3"/>
        </w:numPr>
        <w:spacing w:line="560" w:lineRule="exact"/>
        <w:ind w:firstLine="640" w:firstLineChars="200"/>
        <w:rPr>
          <w:rFonts w:hint="default" w:ascii="Times New Roman" w:hAnsi="Times New Roman" w:eastAsia="仿宋_GB2312" w:cs="Times New Roman"/>
          <w:color w:val="auto"/>
          <w:sz w:val="32"/>
          <w:szCs w:val="32"/>
          <w:highlight w:val="none"/>
          <w:lang w:eastAsia="zh-CN"/>
        </w:rPr>
      </w:pPr>
      <w:r>
        <w:rPr>
          <w:rFonts w:eastAsia="仿宋_GB2312"/>
          <w:sz w:val="32"/>
          <w:szCs w:val="32"/>
        </w:rPr>
        <w:t>（1）</w:t>
      </w:r>
      <w:r>
        <w:rPr>
          <w:rFonts w:hint="default" w:ascii="Times New Roman" w:hAnsi="Times New Roman" w:eastAsia="仿宋_GB2312" w:cs="Times New Roman"/>
          <w:color w:val="auto"/>
          <w:sz w:val="32"/>
          <w:szCs w:val="32"/>
          <w:highlight w:val="none"/>
          <w:lang w:eastAsia="zh-CN"/>
        </w:rPr>
        <w:t>明确评价目标与需求：与</w:t>
      </w:r>
      <w:r>
        <w:rPr>
          <w:rFonts w:hint="eastAsia" w:eastAsia="仿宋_GB2312" w:cs="Times New Roman"/>
          <w:color w:val="auto"/>
          <w:sz w:val="32"/>
          <w:szCs w:val="32"/>
          <w:highlight w:val="none"/>
          <w:lang w:val="en-US" w:eastAsia="zh-CN"/>
        </w:rPr>
        <w:t>教育</w:t>
      </w:r>
      <w:r>
        <w:rPr>
          <w:rFonts w:hint="default" w:ascii="Times New Roman" w:hAnsi="Times New Roman" w:eastAsia="仿宋_GB2312" w:cs="Times New Roman"/>
          <w:color w:val="auto"/>
          <w:sz w:val="32"/>
          <w:szCs w:val="32"/>
          <w:highlight w:val="none"/>
          <w:lang w:eastAsia="zh-CN"/>
        </w:rPr>
        <w:t>主管部门沟通，确定本次绩效评价是侧重生态效益评估、经济效益分析，</w:t>
      </w:r>
      <w:r>
        <w:rPr>
          <w:rFonts w:hint="eastAsia" w:eastAsia="仿宋_GB2312" w:cs="Times New Roman"/>
          <w:color w:val="auto"/>
          <w:sz w:val="32"/>
          <w:szCs w:val="32"/>
          <w:highlight w:val="none"/>
          <w:lang w:val="en-US" w:eastAsia="zh-CN"/>
        </w:rPr>
        <w:t>学校办学条件</w:t>
      </w:r>
      <w:r>
        <w:rPr>
          <w:rFonts w:hint="default" w:ascii="Times New Roman" w:hAnsi="Times New Roman"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教师教学</w:t>
      </w:r>
      <w:r>
        <w:rPr>
          <w:rFonts w:hint="default" w:ascii="Times New Roman" w:hAnsi="Times New Roman" w:eastAsia="仿宋_GB2312" w:cs="Times New Roman"/>
          <w:color w:val="auto"/>
          <w:sz w:val="32"/>
          <w:szCs w:val="32"/>
          <w:highlight w:val="none"/>
          <w:lang w:eastAsia="zh-CN"/>
        </w:rPr>
        <w:t>水平是否得到提升，</w:t>
      </w:r>
      <w:r>
        <w:rPr>
          <w:rFonts w:hint="eastAsia" w:eastAsia="仿宋_GB2312" w:cs="Times New Roman"/>
          <w:color w:val="auto"/>
          <w:sz w:val="32"/>
          <w:szCs w:val="32"/>
          <w:highlight w:val="none"/>
          <w:lang w:val="en-US" w:eastAsia="zh-CN"/>
        </w:rPr>
        <w:t>学生学习生活水平是否提高，</w:t>
      </w:r>
      <w:r>
        <w:rPr>
          <w:rFonts w:hint="default" w:ascii="Times New Roman" w:hAnsi="Times New Roman" w:eastAsia="仿宋_GB2312" w:cs="Times New Roman"/>
          <w:color w:val="auto"/>
          <w:sz w:val="32"/>
          <w:szCs w:val="32"/>
          <w:highlight w:val="none"/>
          <w:lang w:eastAsia="zh-CN"/>
        </w:rPr>
        <w:t>确定评价对象与范围</w:t>
      </w:r>
      <w:r>
        <w:rPr>
          <w:rFonts w:hint="eastAsia" w:eastAsia="仿宋_GB2312" w:cs="Times New Roman"/>
          <w:color w:val="auto"/>
          <w:sz w:val="32"/>
          <w:szCs w:val="32"/>
          <w:highlight w:val="none"/>
          <w:lang w:eastAsia="zh-CN"/>
        </w:rPr>
        <w:t>。</w:t>
      </w:r>
    </w:p>
    <w:p>
      <w:pPr>
        <w:numPr>
          <w:ilvl w:val="0"/>
          <w:numId w:val="0"/>
        </w:numPr>
        <w:spacing w:line="560" w:lineRule="exact"/>
        <w:ind w:firstLine="640" w:firstLineChars="200"/>
        <w:rPr>
          <w:rFonts w:hint="eastAsia"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（2）组建专业评价团队：团队成员涵盖</w:t>
      </w:r>
      <w:r>
        <w:rPr>
          <w:rFonts w:hint="eastAsia" w:eastAsia="仿宋_GB2312" w:cs="Times New Roman"/>
          <w:color w:val="auto"/>
          <w:sz w:val="32"/>
          <w:szCs w:val="32"/>
          <w:highlight w:val="none"/>
          <w:lang w:val="en-US" w:eastAsia="zh-CN"/>
        </w:rPr>
        <w:t>学校领导、教师和学生</w:t>
      </w:r>
      <w:r>
        <w:rPr>
          <w:rFonts w:hint="default" w:ascii="Times New Roman" w:hAnsi="Times New Roman" w:eastAsia="仿宋_GB2312" w:cs="Times New Roman"/>
          <w:color w:val="auto"/>
          <w:sz w:val="32"/>
          <w:szCs w:val="32"/>
          <w:highlight w:val="none"/>
          <w:lang w:eastAsia="zh-CN"/>
        </w:rPr>
        <w:t>，确保从多学科视角进行综合评价。</w:t>
      </w:r>
      <w:r>
        <w:rPr>
          <w:rFonts w:hint="eastAsia" w:ascii="Times New Roman" w:hAnsi="Times New Roman" w:eastAsia="仿宋_GB2312" w:cs="Times New Roman"/>
          <w:color w:val="auto"/>
          <w:sz w:val="32"/>
          <w:szCs w:val="32"/>
          <w:highlight w:val="none"/>
          <w:lang w:val="en-US" w:eastAsia="zh-CN"/>
        </w:rPr>
        <w:t>在评价过程中，还需要与被评价对象进行充分的沟通和反馈。这有助于了解被评价对象的实际情况和需求，同时也可以及时发现并纠正评价过程中可能存在的问题和偏差。</w:t>
      </w:r>
    </w:p>
    <w:p>
      <w:pPr>
        <w:numPr>
          <w:ilvl w:val="0"/>
          <w:numId w:val="0"/>
        </w:num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eastAsia="zh-CN"/>
        </w:rPr>
        <w:t>）制定评价方案</w:t>
      </w:r>
      <w:r>
        <w:rPr>
          <w:rFonts w:hint="eastAsia"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en-US" w:eastAsia="zh-CN"/>
        </w:rPr>
        <w:t>整理评价结果并撰写评价报告。评价报告应全面、客观地反映被评价对象的绩效状况，包括评价得分、排名、存在的问题以及改进建议等。同时，评价报告还应具有可读性和可操作性，便于被评价对象理解和实施改进措施。</w:t>
      </w:r>
    </w:p>
    <w:p>
      <w:pPr>
        <w:spacing w:line="560" w:lineRule="exact"/>
        <w:ind w:firstLine="640" w:firstLineChars="200"/>
        <w:rPr>
          <w:rFonts w:eastAsia="仿宋_GB2312"/>
          <w:sz w:val="32"/>
          <w:szCs w:val="32"/>
        </w:rPr>
      </w:pPr>
    </w:p>
    <w:p>
      <w:pPr>
        <w:numPr>
          <w:ilvl w:val="0"/>
          <w:numId w:val="4"/>
        </w:numPr>
        <w:spacing w:line="560" w:lineRule="exact"/>
        <w:ind w:firstLine="640" w:firstLineChars="200"/>
        <w:rPr>
          <w:rFonts w:eastAsia="黑体"/>
          <w:sz w:val="32"/>
          <w:szCs w:val="32"/>
        </w:rPr>
      </w:pPr>
      <w:r>
        <w:rPr>
          <w:rFonts w:eastAsia="黑体"/>
          <w:sz w:val="32"/>
          <w:szCs w:val="32"/>
        </w:rPr>
        <w:t>综合评价情况及评价结论（附相关评分表）</w:t>
      </w:r>
    </w:p>
    <w:p>
      <w:pPr>
        <w:pStyle w:val="2"/>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（一）评价情况</w:t>
      </w:r>
    </w:p>
    <w:p>
      <w:pPr>
        <w:pStyle w:val="10"/>
        <w:widowControl/>
        <w:spacing w:beforeAutospacing="0" w:afterAutospacing="0" w:line="560" w:lineRule="exact"/>
        <w:ind w:firstLine="640" w:firstLineChars="200"/>
        <w:rPr>
          <w:rFonts w:eastAsia="仿宋_GB2312"/>
          <w:sz w:val="32"/>
          <w:szCs w:val="32"/>
        </w:rPr>
      </w:pPr>
      <w:r>
        <w:rPr>
          <w:rFonts w:eastAsia="仿宋_GB2312"/>
          <w:sz w:val="32"/>
          <w:szCs w:val="32"/>
        </w:rPr>
        <w:t>本项目的综合评价基于对项目各方面绩效的深入分析与评估。从项目目标的达成情况来看，2024年城乡义务教育补助经费预算[中央直达资金]-</w:t>
      </w:r>
      <w:r>
        <w:rPr>
          <w:rFonts w:hint="eastAsia" w:eastAsia="仿宋_GB2312"/>
          <w:sz w:val="32"/>
          <w:szCs w:val="32"/>
        </w:rPr>
        <w:t>-小学公用经费</w:t>
      </w:r>
      <w:r>
        <w:rPr>
          <w:rFonts w:hint="default" w:ascii="Times New Roman" w:hAnsi="Times New Roman" w:eastAsia="仿宋_GB2312" w:cs="Times New Roman"/>
          <w:color w:val="auto"/>
          <w:sz w:val="32"/>
          <w:szCs w:val="32"/>
          <w:highlight w:val="none"/>
        </w:rPr>
        <w:t>在</w:t>
      </w:r>
      <w:r>
        <w:rPr>
          <w:rFonts w:hint="eastAsia" w:eastAsia="仿宋_GB2312" w:cs="Times New Roman"/>
          <w:color w:val="auto"/>
          <w:sz w:val="32"/>
          <w:szCs w:val="32"/>
          <w:highlight w:val="none"/>
          <w:lang w:val="en-US" w:eastAsia="zh-CN"/>
        </w:rPr>
        <w:t>学生公用经费享用、学校办学条件提升等</w:t>
      </w:r>
      <w:r>
        <w:rPr>
          <w:rFonts w:hint="default" w:ascii="Times New Roman" w:hAnsi="Times New Roman" w:eastAsia="仿宋_GB2312" w:cs="Times New Roman"/>
          <w:color w:val="auto"/>
          <w:sz w:val="32"/>
          <w:szCs w:val="32"/>
          <w:highlight w:val="none"/>
        </w:rPr>
        <w:t>方面表现出色</w:t>
      </w:r>
      <w:r>
        <w:rPr>
          <w:rFonts w:eastAsia="仿宋_GB2312"/>
          <w:sz w:val="32"/>
          <w:szCs w:val="32"/>
        </w:rPr>
        <w:t>，达到了预期的标准与要求。同时，项目也在效益指标满意度指标取得了显著的成效，如受益学生数</w:t>
      </w:r>
      <w:r>
        <w:rPr>
          <w:rFonts w:hint="eastAsia" w:eastAsia="仿宋_GB2312"/>
          <w:sz w:val="32"/>
          <w:szCs w:val="32"/>
        </w:rPr>
        <w:t>536人</w:t>
      </w:r>
      <w:r>
        <w:rPr>
          <w:rFonts w:eastAsia="仿宋_GB2312"/>
          <w:sz w:val="32"/>
          <w:szCs w:val="32"/>
        </w:rPr>
        <w:t>、学生满意度</w:t>
      </w:r>
      <w:r>
        <w:rPr>
          <w:rFonts w:hint="eastAsia" w:eastAsia="仿宋_GB2312"/>
          <w:sz w:val="32"/>
          <w:szCs w:val="32"/>
          <w:lang w:val="en-US" w:eastAsia="zh-CN"/>
        </w:rPr>
        <w:t>达到</w:t>
      </w:r>
      <w:r>
        <w:rPr>
          <w:rFonts w:hint="eastAsia" w:eastAsia="仿宋_GB2312"/>
          <w:sz w:val="32"/>
          <w:szCs w:val="32"/>
        </w:rPr>
        <w:t>90%</w:t>
      </w:r>
      <w:r>
        <w:rPr>
          <w:rFonts w:eastAsia="仿宋_GB2312"/>
          <w:sz w:val="32"/>
          <w:szCs w:val="32"/>
        </w:rPr>
        <w:t>等。</w:t>
      </w:r>
    </w:p>
    <w:p>
      <w:pPr>
        <w:pStyle w:val="10"/>
        <w:widowControl/>
        <w:spacing w:beforeAutospacing="0" w:afterAutospacing="0" w:line="560" w:lineRule="exact"/>
        <w:ind w:firstLine="640" w:firstLineChars="200"/>
        <w:rPr>
          <w:rFonts w:eastAsia="仿宋_GB2312"/>
          <w:sz w:val="32"/>
          <w:szCs w:val="32"/>
        </w:rPr>
      </w:pPr>
      <w:r>
        <w:rPr>
          <w:rFonts w:eastAsia="仿宋_GB2312"/>
          <w:color w:val="000000" w:themeColor="text1"/>
          <w:sz w:val="32"/>
          <w:szCs w:val="32"/>
          <w14:textFill>
            <w14:solidFill>
              <w14:schemeClr w14:val="tx1"/>
            </w14:solidFill>
          </w14:textFill>
        </w:rPr>
        <w:t>在</w:t>
      </w:r>
      <w:r>
        <w:rPr>
          <w:rFonts w:eastAsia="仿宋_GB2312"/>
          <w:sz w:val="32"/>
          <w:szCs w:val="32"/>
        </w:rPr>
        <w:t>项目管理方面，奇台县</w:t>
      </w:r>
      <w:r>
        <w:rPr>
          <w:rFonts w:hint="eastAsia" w:eastAsia="仿宋_GB2312"/>
          <w:sz w:val="32"/>
          <w:szCs w:val="32"/>
        </w:rPr>
        <w:t>五马场哈萨克族乡中心学校</w:t>
      </w:r>
      <w:r>
        <w:rPr>
          <w:rFonts w:eastAsia="仿宋_GB2312"/>
          <w:sz w:val="32"/>
          <w:szCs w:val="32"/>
        </w:rPr>
        <w:t>通过有效的规划、组织与协调，项目得以顺利实施，并在预算与时间上保持了良好的控制。</w:t>
      </w:r>
    </w:p>
    <w:p>
      <w:pPr>
        <w:pStyle w:val="10"/>
        <w:widowControl/>
        <w:spacing w:beforeAutospacing="0" w:afterAutospacing="0" w:line="560" w:lineRule="exact"/>
        <w:ind w:firstLine="640" w:firstLineChars="200"/>
        <w:rPr>
          <w:rFonts w:eastAsia="仿宋_GB2312"/>
          <w:sz w:val="32"/>
          <w:szCs w:val="32"/>
        </w:rPr>
      </w:pPr>
      <w:r>
        <w:rPr>
          <w:rFonts w:eastAsia="仿宋_GB2312"/>
          <w:sz w:val="32"/>
          <w:szCs w:val="32"/>
        </w:rPr>
        <w:t>从项目效益的角度来看，本项目不仅实现了预期的社会效益、</w:t>
      </w:r>
      <w:r>
        <w:rPr>
          <w:rFonts w:hint="eastAsia" w:eastAsia="仿宋_GB2312"/>
          <w:sz w:val="32"/>
          <w:szCs w:val="32"/>
        </w:rPr>
        <w:t>生态</w:t>
      </w:r>
      <w:r>
        <w:rPr>
          <w:rFonts w:eastAsia="仿宋_GB2312"/>
          <w:sz w:val="32"/>
          <w:szCs w:val="32"/>
        </w:rPr>
        <w:t>效益</w:t>
      </w:r>
      <w:r>
        <w:rPr>
          <w:rFonts w:hint="eastAsia" w:eastAsia="仿宋_GB2312"/>
          <w:sz w:val="32"/>
          <w:szCs w:val="32"/>
        </w:rPr>
        <w:t>、经济效益</w:t>
      </w:r>
      <w:r>
        <w:rPr>
          <w:rFonts w:eastAsia="仿宋_GB2312"/>
          <w:sz w:val="32"/>
          <w:szCs w:val="32"/>
        </w:rPr>
        <w:t>等方面产生了积极的影响。具体而言，受益学生数</w:t>
      </w:r>
      <w:r>
        <w:rPr>
          <w:rFonts w:hint="eastAsia" w:eastAsia="仿宋_GB2312"/>
          <w:sz w:val="32"/>
          <w:szCs w:val="32"/>
        </w:rPr>
        <w:t>536人</w:t>
      </w:r>
      <w:r>
        <w:rPr>
          <w:rFonts w:eastAsia="仿宋_GB2312"/>
          <w:sz w:val="32"/>
          <w:szCs w:val="32"/>
        </w:rPr>
        <w:t>、学生满意度</w:t>
      </w:r>
      <w:r>
        <w:rPr>
          <w:rFonts w:hint="eastAsia" w:eastAsia="仿宋_GB2312"/>
          <w:sz w:val="32"/>
          <w:szCs w:val="32"/>
        </w:rPr>
        <w:t>90%以上</w:t>
      </w:r>
      <w:r>
        <w:rPr>
          <w:rFonts w:eastAsia="仿宋_GB2312"/>
          <w:sz w:val="32"/>
          <w:szCs w:val="32"/>
        </w:rPr>
        <w:t>等方面的提升，为项目的利益相关者带来了实实在在的利益。</w:t>
      </w:r>
    </w:p>
    <w:p>
      <w:pPr>
        <w:pStyle w:val="10"/>
        <w:widowControl/>
        <w:spacing w:beforeAutospacing="0" w:afterAutospacing="0" w:line="560" w:lineRule="exact"/>
        <w:ind w:firstLine="640" w:firstLineChars="200"/>
      </w:pPr>
      <w:r>
        <w:rPr>
          <w:rFonts w:eastAsia="仿宋_GB2312"/>
          <w:color w:val="000000" w:themeColor="text1"/>
          <w:sz w:val="32"/>
          <w:szCs w:val="32"/>
          <w14:textFill>
            <w14:solidFill>
              <w14:schemeClr w14:val="tx1"/>
            </w14:solidFill>
          </w14:textFill>
        </w:rPr>
        <w:t>综</w:t>
      </w:r>
      <w:r>
        <w:rPr>
          <w:rFonts w:eastAsia="仿宋_GB2312"/>
          <w:sz w:val="32"/>
          <w:szCs w:val="32"/>
        </w:rPr>
        <w:t>上所述，</w:t>
      </w:r>
      <w:r>
        <w:rPr>
          <w:rFonts w:hint="eastAsia" w:eastAsia="仿宋_GB2312"/>
          <w:sz w:val="32"/>
          <w:szCs w:val="32"/>
        </w:rPr>
        <w:t>昌州财教【2023】90号《关于提前下达2024年城乡义务教育补助经费预算[中央直达资金]的通知》昌州财教【2023】95号《关于提前下达2024年城乡义务教育补助经费[自治区直达资金]的通知》-小学公用经费，</w:t>
      </w:r>
      <w:r>
        <w:rPr>
          <w:rFonts w:eastAsia="仿宋_GB2312"/>
          <w:sz w:val="32"/>
          <w:szCs w:val="32"/>
        </w:rPr>
        <w:t>预期目标，并在多个方面取得了显著的成效。</w:t>
      </w:r>
    </w:p>
    <w:p>
      <w:pPr>
        <w:pStyle w:val="2"/>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（二）评价结论</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eastAsia" w:ascii="Times New Roman" w:hAnsi="Times New Roman" w:eastAsia="仿宋_GB2312"/>
          <w:b w:val="0"/>
          <w:bCs w:val="0"/>
        </w:rPr>
        <w:t>100</w:t>
      </w:r>
      <w:r>
        <w:rPr>
          <w:rFonts w:ascii="Times New Roman" w:hAnsi="Times New Roman" w:eastAsia="仿宋_GB2312"/>
          <w:b w:val="0"/>
          <w:bCs w:val="0"/>
        </w:rPr>
        <w:t xml:space="preserve">分，属于“优（良/中/差）”。其中，项目决策类指标权重为20分，得分为 </w:t>
      </w:r>
      <w:r>
        <w:rPr>
          <w:rFonts w:hint="eastAsia" w:ascii="Times New Roman" w:hAnsi="Times New Roman" w:eastAsia="仿宋_GB2312"/>
          <w:b w:val="0"/>
          <w:bCs w:val="0"/>
        </w:rPr>
        <w:t>20</w:t>
      </w:r>
      <w:r>
        <w:rPr>
          <w:rFonts w:ascii="Times New Roman" w:hAnsi="Times New Roman" w:eastAsia="仿宋_GB2312"/>
          <w:b w:val="0"/>
          <w:bCs w:val="0"/>
        </w:rPr>
        <w:t xml:space="preserve">分，得分率为 </w:t>
      </w:r>
      <w:r>
        <w:rPr>
          <w:rFonts w:hint="eastAsia" w:ascii="Times New Roman" w:hAnsi="Times New Roman" w:eastAsia="仿宋_GB2312"/>
          <w:b w:val="0"/>
          <w:bCs w:val="0"/>
        </w:rPr>
        <w:t>100</w:t>
      </w:r>
      <w:r>
        <w:rPr>
          <w:rFonts w:ascii="Times New Roman" w:hAnsi="Times New Roman" w:eastAsia="仿宋_GB2312"/>
          <w:b w:val="0"/>
          <w:bCs w:val="0"/>
        </w:rPr>
        <w:t>%。项目过程类指标权重为20分，得分为</w:t>
      </w:r>
      <w:r>
        <w:rPr>
          <w:rFonts w:hint="eastAsia" w:ascii="Times New Roman" w:hAnsi="Times New Roman" w:eastAsia="仿宋_GB2312"/>
          <w:b w:val="0"/>
          <w:bCs w:val="0"/>
        </w:rPr>
        <w:t>20</w:t>
      </w:r>
      <w:r>
        <w:rPr>
          <w:rFonts w:ascii="Times New Roman" w:hAnsi="Times New Roman" w:eastAsia="仿宋_GB2312"/>
          <w:b w:val="0"/>
          <w:bCs w:val="0"/>
        </w:rPr>
        <w:t>分，得分率为</w:t>
      </w:r>
      <w:r>
        <w:rPr>
          <w:rFonts w:hint="eastAsia" w:ascii="Times New Roman" w:hAnsi="Times New Roman" w:eastAsia="仿宋_GB2312"/>
          <w:b w:val="0"/>
          <w:bCs w:val="0"/>
        </w:rPr>
        <w:t>100</w:t>
      </w:r>
      <w:r>
        <w:rPr>
          <w:rFonts w:ascii="Times New Roman" w:hAnsi="Times New Roman" w:eastAsia="仿宋_GB2312"/>
          <w:b w:val="0"/>
          <w:bCs w:val="0"/>
        </w:rPr>
        <w:t>%。项目产出类指标权重为40分，得分为</w:t>
      </w:r>
      <w:r>
        <w:rPr>
          <w:rFonts w:hint="eastAsia" w:ascii="Times New Roman" w:hAnsi="Times New Roman" w:eastAsia="仿宋_GB2312"/>
          <w:b w:val="0"/>
          <w:bCs w:val="0"/>
        </w:rPr>
        <w:t>40</w:t>
      </w:r>
      <w:r>
        <w:rPr>
          <w:rFonts w:ascii="Times New Roman" w:hAnsi="Times New Roman" w:eastAsia="仿宋_GB2312"/>
          <w:b w:val="0"/>
          <w:bCs w:val="0"/>
        </w:rPr>
        <w:t>分，得分率为</w:t>
      </w:r>
      <w:r>
        <w:rPr>
          <w:rFonts w:hint="eastAsia" w:ascii="Times New Roman" w:hAnsi="Times New Roman" w:eastAsia="仿宋_GB2312"/>
          <w:b w:val="0"/>
          <w:bCs w:val="0"/>
        </w:rPr>
        <w:t>100</w:t>
      </w:r>
      <w:r>
        <w:rPr>
          <w:rFonts w:ascii="Times New Roman" w:hAnsi="Times New Roman" w:eastAsia="仿宋_GB2312"/>
          <w:b w:val="0"/>
          <w:bCs w:val="0"/>
        </w:rPr>
        <w:t>%。项目效益类指标权重为20分，得分为</w:t>
      </w:r>
      <w:r>
        <w:rPr>
          <w:rFonts w:hint="eastAsia" w:ascii="Times New Roman" w:hAnsi="Times New Roman" w:eastAsia="仿宋_GB2312"/>
          <w:b w:val="0"/>
          <w:bCs w:val="0"/>
        </w:rPr>
        <w:t>20</w:t>
      </w:r>
      <w:r>
        <w:rPr>
          <w:rFonts w:ascii="Times New Roman" w:hAnsi="Times New Roman" w:eastAsia="仿宋_GB2312"/>
          <w:b w:val="0"/>
          <w:bCs w:val="0"/>
        </w:rPr>
        <w:t>分，得分率为</w:t>
      </w:r>
      <w:r>
        <w:rPr>
          <w:rFonts w:hint="eastAsia" w:ascii="Times New Roman" w:hAnsi="Times New Roman" w:eastAsia="仿宋_GB2312"/>
          <w:b w:val="0"/>
          <w:bCs w:val="0"/>
        </w:rPr>
        <w:t>100</w:t>
      </w:r>
      <w:r>
        <w:rPr>
          <w:rFonts w:ascii="Times New Roman" w:hAnsi="Times New Roman" w:eastAsia="仿宋_GB2312"/>
          <w:b w:val="0"/>
          <w:bCs w:val="0"/>
        </w:rPr>
        <w:t>%。具体打分情况详见：附件1综合评分表。</w:t>
      </w:r>
    </w:p>
    <w:p>
      <w:pPr>
        <w:pStyle w:val="2"/>
        <w:spacing w:before="0" w:after="0"/>
        <w:rPr>
          <w:rFonts w:ascii="Times New Roman" w:hAnsi="Times New Roman" w:eastAsia="仿宋_GB2312"/>
          <w:sz w:val="21"/>
          <w:szCs w:val="21"/>
        </w:rPr>
      </w:pPr>
      <w:r>
        <w:rPr>
          <w:rFonts w:ascii="Times New Roman" w:hAnsi="Times New Roman" w:eastAsia="仿宋_GB2312"/>
          <w:sz w:val="21"/>
          <w:szCs w:val="21"/>
        </w:rPr>
        <w:t>表1综合评分表</w:t>
      </w:r>
    </w:p>
    <w:tbl>
      <w:tblPr>
        <w:tblStyle w:val="14"/>
        <w:tblW w:w="8760" w:type="dxa"/>
        <w:jc w:val="center"/>
        <w:tblInd w:w="0" w:type="dxa"/>
        <w:tblLayout w:type="fixed"/>
        <w:tblCellMar>
          <w:top w:w="0" w:type="dxa"/>
          <w:left w:w="108" w:type="dxa"/>
          <w:bottom w:w="0" w:type="dxa"/>
          <w:right w:w="108" w:type="dxa"/>
        </w:tblCellMar>
      </w:tblPr>
      <w:tblGrid>
        <w:gridCol w:w="2787"/>
        <w:gridCol w:w="1927"/>
        <w:gridCol w:w="2023"/>
        <w:gridCol w:w="2023"/>
      </w:tblGrid>
      <w:tr>
        <w:tblPrEx>
          <w:tblLayout w:type="fixed"/>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eastAsia="仿宋_GB2312"/>
                <w:b/>
                <w:bCs/>
                <w:szCs w:val="21"/>
              </w:rPr>
            </w:pPr>
            <w:r>
              <w:rPr>
                <w:rFonts w:eastAsia="仿宋_GB2312"/>
                <w:b/>
                <w:bCs/>
                <w:szCs w:val="21"/>
              </w:rPr>
              <w:t>一级指标</w:t>
            </w:r>
          </w:p>
        </w:tc>
        <w:tc>
          <w:tcPr>
            <w:tcW w:w="1927"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eastAsia="仿宋_GB2312"/>
                <w:b/>
                <w:bCs/>
                <w:szCs w:val="21"/>
              </w:rPr>
            </w:pPr>
            <w:r>
              <w:rPr>
                <w:rFonts w:eastAsia="仿宋_GB2312"/>
                <w:b/>
                <w:bCs/>
                <w:szCs w:val="21"/>
              </w:rPr>
              <w:t>权重分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eastAsia="仿宋_GB2312"/>
                <w:b/>
                <w:bCs/>
                <w:szCs w:val="21"/>
              </w:rPr>
            </w:pPr>
            <w:r>
              <w:rPr>
                <w:rFonts w:eastAsia="仿宋_GB2312"/>
                <w:b/>
                <w:bCs/>
                <w:szCs w:val="21"/>
              </w:rPr>
              <w:t>得分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eastAsia="仿宋_GB2312"/>
                <w:b/>
                <w:bCs/>
                <w:szCs w:val="21"/>
              </w:rPr>
            </w:pPr>
            <w:r>
              <w:rPr>
                <w:rFonts w:hint="eastAsia" w:eastAsia="仿宋_GB2312"/>
                <w:b/>
                <w:bCs/>
                <w:szCs w:val="21"/>
              </w:rPr>
              <w:t>得分率</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eastAsia="仿宋_GB2312"/>
                <w:szCs w:val="21"/>
              </w:rPr>
            </w:pPr>
            <w:r>
              <w:rPr>
                <w:rFonts w:eastAsia="仿宋_GB2312"/>
                <w:szCs w:val="21"/>
              </w:rPr>
              <w:t>项目决策</w:t>
            </w:r>
          </w:p>
        </w:tc>
        <w:tc>
          <w:tcPr>
            <w:tcW w:w="1927" w:type="dxa"/>
            <w:tcBorders>
              <w:top w:val="nil"/>
              <w:left w:val="nil"/>
              <w:bottom w:val="single" w:color="auto" w:sz="4" w:space="0"/>
              <w:right w:val="single" w:color="auto" w:sz="4" w:space="0"/>
            </w:tcBorders>
            <w:shd w:val="clear" w:color="auto" w:fill="auto"/>
            <w:vAlign w:val="center"/>
          </w:tcPr>
          <w:p>
            <w:pPr>
              <w:jc w:val="center"/>
              <w:rPr>
                <w:rFonts w:eastAsia="仿宋_GB2312"/>
                <w:szCs w:val="21"/>
              </w:rPr>
            </w:pPr>
            <w:r>
              <w:rPr>
                <w:rFonts w:eastAsia="仿宋_GB2312"/>
                <w:szCs w:val="21"/>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eastAsia="仿宋_GB2312"/>
                <w:szCs w:val="21"/>
              </w:rPr>
            </w:pPr>
            <w:r>
              <w:rPr>
                <w:rFonts w:hint="eastAsia" w:eastAsia="仿宋_GB2312"/>
                <w:szCs w:val="21"/>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eastAsia="仿宋_GB2312"/>
                <w:szCs w:val="21"/>
              </w:rPr>
            </w:pPr>
            <w:r>
              <w:rPr>
                <w:rFonts w:hint="eastAsia" w:eastAsia="仿宋_GB2312"/>
                <w:szCs w:val="21"/>
              </w:rPr>
              <w:t>100%</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eastAsia="仿宋_GB2312"/>
                <w:szCs w:val="21"/>
              </w:rPr>
            </w:pPr>
            <w:r>
              <w:rPr>
                <w:rFonts w:eastAsia="仿宋_GB2312"/>
                <w:szCs w:val="21"/>
              </w:rPr>
              <w:t>项目过程</w:t>
            </w:r>
          </w:p>
        </w:tc>
        <w:tc>
          <w:tcPr>
            <w:tcW w:w="1927" w:type="dxa"/>
            <w:tcBorders>
              <w:top w:val="nil"/>
              <w:left w:val="nil"/>
              <w:bottom w:val="single" w:color="auto" w:sz="4" w:space="0"/>
              <w:right w:val="single" w:color="auto" w:sz="4" w:space="0"/>
            </w:tcBorders>
            <w:shd w:val="clear" w:color="auto" w:fill="auto"/>
            <w:vAlign w:val="center"/>
          </w:tcPr>
          <w:p>
            <w:pPr>
              <w:jc w:val="center"/>
              <w:rPr>
                <w:rFonts w:eastAsia="仿宋_GB2312"/>
                <w:szCs w:val="21"/>
              </w:rPr>
            </w:pPr>
            <w:r>
              <w:rPr>
                <w:rFonts w:eastAsia="仿宋_GB2312"/>
                <w:szCs w:val="21"/>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eastAsia="仿宋_GB2312"/>
                <w:szCs w:val="21"/>
              </w:rPr>
            </w:pPr>
            <w:r>
              <w:rPr>
                <w:rFonts w:hint="eastAsia" w:eastAsia="仿宋_GB2312"/>
                <w:szCs w:val="21"/>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eastAsia="仿宋_GB2312"/>
                <w:szCs w:val="21"/>
              </w:rPr>
            </w:pPr>
            <w:r>
              <w:rPr>
                <w:rFonts w:hint="eastAsia" w:eastAsia="仿宋_GB2312"/>
                <w:szCs w:val="21"/>
              </w:rPr>
              <w:t>100%</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eastAsia="仿宋_GB2312"/>
                <w:szCs w:val="21"/>
              </w:rPr>
            </w:pPr>
            <w:r>
              <w:rPr>
                <w:rFonts w:eastAsia="仿宋_GB2312"/>
                <w:szCs w:val="21"/>
              </w:rPr>
              <w:t>项目产出</w:t>
            </w:r>
          </w:p>
        </w:tc>
        <w:tc>
          <w:tcPr>
            <w:tcW w:w="1927" w:type="dxa"/>
            <w:tcBorders>
              <w:top w:val="nil"/>
              <w:left w:val="nil"/>
              <w:bottom w:val="single" w:color="auto" w:sz="4" w:space="0"/>
              <w:right w:val="single" w:color="auto" w:sz="4" w:space="0"/>
            </w:tcBorders>
            <w:shd w:val="clear" w:color="auto" w:fill="auto"/>
            <w:vAlign w:val="center"/>
          </w:tcPr>
          <w:p>
            <w:pPr>
              <w:jc w:val="center"/>
              <w:rPr>
                <w:rFonts w:eastAsia="仿宋_GB2312"/>
                <w:szCs w:val="21"/>
              </w:rPr>
            </w:pPr>
            <w:r>
              <w:rPr>
                <w:rFonts w:eastAsia="仿宋_GB2312"/>
                <w:szCs w:val="21"/>
              </w:rPr>
              <w:t>40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eastAsia="仿宋_GB2312"/>
                <w:szCs w:val="21"/>
                <w:lang w:val="en-US" w:eastAsia="zh-CN"/>
              </w:rPr>
            </w:pPr>
            <w:r>
              <w:rPr>
                <w:rFonts w:hint="eastAsia" w:eastAsia="仿宋_GB2312"/>
                <w:szCs w:val="21"/>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pPr>
              <w:jc w:val="center"/>
              <w:rPr>
                <w:rFonts w:eastAsia="仿宋_GB2312"/>
                <w:szCs w:val="21"/>
              </w:rPr>
            </w:pPr>
            <w:r>
              <w:rPr>
                <w:rFonts w:hint="eastAsia" w:eastAsia="仿宋_GB2312"/>
                <w:szCs w:val="21"/>
              </w:rPr>
              <w:t>100%</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eastAsia="仿宋_GB2312"/>
                <w:szCs w:val="21"/>
              </w:rPr>
            </w:pPr>
            <w:r>
              <w:rPr>
                <w:rFonts w:eastAsia="仿宋_GB2312"/>
                <w:szCs w:val="21"/>
              </w:rPr>
              <w:t>项目效益</w:t>
            </w:r>
          </w:p>
        </w:tc>
        <w:tc>
          <w:tcPr>
            <w:tcW w:w="1927" w:type="dxa"/>
            <w:tcBorders>
              <w:top w:val="nil"/>
              <w:left w:val="nil"/>
              <w:bottom w:val="single" w:color="auto" w:sz="4" w:space="0"/>
              <w:right w:val="single" w:color="auto" w:sz="4" w:space="0"/>
            </w:tcBorders>
            <w:shd w:val="clear" w:color="auto" w:fill="auto"/>
            <w:vAlign w:val="center"/>
          </w:tcPr>
          <w:p>
            <w:pPr>
              <w:jc w:val="center"/>
              <w:rPr>
                <w:rFonts w:eastAsia="仿宋_GB2312"/>
                <w:szCs w:val="21"/>
              </w:rPr>
            </w:pPr>
            <w:r>
              <w:rPr>
                <w:rFonts w:eastAsia="仿宋_GB2312"/>
                <w:szCs w:val="21"/>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eastAsia="仿宋_GB2312"/>
                <w:szCs w:val="21"/>
              </w:rPr>
            </w:pPr>
            <w:r>
              <w:rPr>
                <w:rFonts w:hint="eastAsia" w:eastAsia="仿宋_GB2312"/>
                <w:szCs w:val="21"/>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eastAsia="仿宋_GB2312"/>
                <w:szCs w:val="21"/>
              </w:rPr>
            </w:pPr>
            <w:r>
              <w:rPr>
                <w:rFonts w:hint="eastAsia" w:eastAsia="仿宋_GB2312"/>
                <w:szCs w:val="21"/>
              </w:rPr>
              <w:t>100%</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eastAsia="仿宋_GB2312"/>
                <w:b/>
                <w:bCs/>
                <w:szCs w:val="21"/>
              </w:rPr>
            </w:pPr>
            <w:r>
              <w:rPr>
                <w:rFonts w:eastAsia="仿宋_GB2312"/>
                <w:b/>
                <w:bCs/>
                <w:szCs w:val="21"/>
              </w:rPr>
              <w:t>合计</w:t>
            </w:r>
          </w:p>
        </w:tc>
        <w:tc>
          <w:tcPr>
            <w:tcW w:w="1927" w:type="dxa"/>
            <w:tcBorders>
              <w:top w:val="nil"/>
              <w:left w:val="nil"/>
              <w:bottom w:val="single" w:color="auto" w:sz="4" w:space="0"/>
              <w:right w:val="single" w:color="auto" w:sz="4" w:space="0"/>
            </w:tcBorders>
            <w:shd w:val="clear" w:color="auto" w:fill="auto"/>
            <w:vAlign w:val="center"/>
          </w:tcPr>
          <w:p>
            <w:pPr>
              <w:jc w:val="center"/>
              <w:rPr>
                <w:rFonts w:eastAsia="仿宋_GB2312"/>
                <w:b/>
                <w:bCs/>
                <w:szCs w:val="21"/>
              </w:rPr>
            </w:pPr>
            <w:r>
              <w:rPr>
                <w:rFonts w:eastAsia="仿宋_GB2312"/>
                <w:b/>
                <w:bCs/>
                <w:szCs w:val="21"/>
              </w:rPr>
              <w:t>100</w:t>
            </w:r>
          </w:p>
        </w:tc>
        <w:tc>
          <w:tcPr>
            <w:tcW w:w="2023" w:type="dxa"/>
            <w:tcBorders>
              <w:top w:val="nil"/>
              <w:left w:val="nil"/>
              <w:bottom w:val="single" w:color="auto" w:sz="4" w:space="0"/>
              <w:right w:val="single" w:color="auto" w:sz="4" w:space="0"/>
            </w:tcBorders>
            <w:shd w:val="clear" w:color="auto" w:fill="auto"/>
            <w:vAlign w:val="center"/>
          </w:tcPr>
          <w:p>
            <w:pPr>
              <w:jc w:val="center"/>
              <w:rPr>
                <w:rFonts w:eastAsia="仿宋_GB2312"/>
                <w:b/>
                <w:bCs/>
                <w:szCs w:val="21"/>
              </w:rPr>
            </w:pPr>
            <w:r>
              <w:rPr>
                <w:rFonts w:hint="eastAsia" w:eastAsia="仿宋_GB2312"/>
                <w:b/>
                <w:bCs/>
                <w:szCs w:val="21"/>
              </w:rPr>
              <w:t>100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szCs w:val="21"/>
                <w:lang w:val="en-US" w:eastAsia="zh-CN"/>
              </w:rPr>
            </w:pPr>
            <w:r>
              <w:rPr>
                <w:rFonts w:hint="eastAsia" w:eastAsia="仿宋_GB2312"/>
                <w:b/>
                <w:bCs/>
                <w:szCs w:val="21"/>
                <w:lang w:val="en-US" w:eastAsia="zh-CN"/>
              </w:rPr>
              <w:t>100%</w:t>
            </w:r>
          </w:p>
        </w:tc>
      </w:tr>
    </w:tbl>
    <w:p>
      <w:pPr>
        <w:spacing w:line="560" w:lineRule="exact"/>
        <w:ind w:firstLine="640" w:firstLineChars="200"/>
        <w:rPr>
          <w:rFonts w:eastAsia="黑体"/>
          <w:sz w:val="32"/>
          <w:szCs w:val="32"/>
        </w:rPr>
      </w:pPr>
      <w:r>
        <w:rPr>
          <w:rFonts w:eastAsia="黑体"/>
          <w:sz w:val="32"/>
          <w:szCs w:val="32"/>
        </w:rPr>
        <w:t>四、绩效评价指标分析</w:t>
      </w:r>
    </w:p>
    <w:p>
      <w:pPr>
        <w:pStyle w:val="2"/>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（一）项目决策情况</w:t>
      </w:r>
    </w:p>
    <w:p>
      <w:pPr>
        <w:spacing w:line="600" w:lineRule="exact"/>
        <w:ind w:firstLine="640" w:firstLineChars="200"/>
        <w:outlineLvl w:val="0"/>
        <w:rPr>
          <w:rFonts w:eastAsia="仿宋_GB2312"/>
          <w:color w:val="FF0000"/>
          <w:sz w:val="32"/>
          <w:szCs w:val="32"/>
        </w:rPr>
      </w:pPr>
      <w:r>
        <w:rPr>
          <w:rFonts w:eastAsia="仿宋_GB2312"/>
          <w:sz w:val="32"/>
          <w:szCs w:val="32"/>
        </w:rPr>
        <w:t>项目决策类指标包括项目立项、绩效目标和资金投入三方面的内容，由</w:t>
      </w:r>
      <w:r>
        <w:rPr>
          <w:rFonts w:hint="eastAsia" w:eastAsia="仿宋_GB2312"/>
          <w:sz w:val="32"/>
          <w:szCs w:val="32"/>
        </w:rPr>
        <w:t>6</w:t>
      </w:r>
      <w:r>
        <w:rPr>
          <w:rFonts w:eastAsia="仿宋_GB2312"/>
          <w:sz w:val="32"/>
          <w:szCs w:val="32"/>
        </w:rPr>
        <w:t>个三级指标构成，权重分值为20分，实际得分</w:t>
      </w:r>
      <w:r>
        <w:rPr>
          <w:rFonts w:hint="eastAsia" w:eastAsia="仿宋_GB2312"/>
          <w:sz w:val="32"/>
          <w:szCs w:val="32"/>
        </w:rPr>
        <w:t>20</w:t>
      </w:r>
      <w:r>
        <w:rPr>
          <w:rFonts w:eastAsia="仿宋_GB2312"/>
          <w:sz w:val="32"/>
          <w:szCs w:val="32"/>
        </w:rPr>
        <w:t>分，得分率为</w:t>
      </w:r>
      <w:r>
        <w:rPr>
          <w:rFonts w:hint="eastAsia" w:eastAsia="仿宋_GB2312"/>
          <w:sz w:val="32"/>
          <w:szCs w:val="32"/>
        </w:rPr>
        <w:t>100</w:t>
      </w:r>
      <w:r>
        <w:rPr>
          <w:rFonts w:eastAsia="仿宋_GB2312"/>
          <w:sz w:val="32"/>
          <w:szCs w:val="32"/>
        </w:rPr>
        <w:t>%。</w:t>
      </w:r>
    </w:p>
    <w:p>
      <w:pPr>
        <w:pStyle w:val="19"/>
        <w:spacing w:line="560" w:lineRule="exact"/>
        <w:ind w:firstLine="640"/>
        <w:rPr>
          <w:rFonts w:eastAsia="仿宋_GB2312"/>
          <w:b/>
          <w:bCs/>
          <w:sz w:val="32"/>
          <w:szCs w:val="32"/>
        </w:rPr>
      </w:pPr>
      <w:r>
        <w:rPr>
          <w:rFonts w:eastAsia="仿宋_GB2312"/>
          <w:b/>
          <w:bCs/>
          <w:color w:val="000000" w:themeColor="text1"/>
          <w:sz w:val="32"/>
          <w:szCs w:val="32"/>
          <w14:textFill>
            <w14:solidFill>
              <w14:schemeClr w14:val="tx1"/>
            </w14:solidFill>
          </w14:textFill>
        </w:rPr>
        <w:t>1.</w:t>
      </w:r>
      <w:r>
        <w:rPr>
          <w:rFonts w:eastAsia="仿宋_GB2312"/>
          <w:b/>
          <w:bCs/>
          <w:sz w:val="32"/>
          <w:szCs w:val="32"/>
        </w:rPr>
        <w:t>项目立项</w:t>
      </w:r>
    </w:p>
    <w:p>
      <w:pPr>
        <w:spacing w:line="600" w:lineRule="exact"/>
        <w:ind w:firstLine="640" w:firstLineChars="200"/>
        <w:outlineLvl w:val="0"/>
        <w:rPr>
          <w:rFonts w:eastAsia="仿宋_GB2312"/>
          <w:sz w:val="32"/>
          <w:szCs w:val="32"/>
        </w:rPr>
      </w:pPr>
      <w:r>
        <w:rPr>
          <w:rFonts w:eastAsia="仿宋_GB2312"/>
          <w:sz w:val="32"/>
          <w:szCs w:val="32"/>
        </w:rPr>
        <w:t>（1）立项依据充分性</w:t>
      </w:r>
    </w:p>
    <w:p>
      <w:pPr>
        <w:spacing w:line="600" w:lineRule="exact"/>
        <w:ind w:firstLine="640" w:firstLineChars="200"/>
        <w:outlineLvl w:val="0"/>
        <w:rPr>
          <w:rFonts w:eastAsia="仿宋_GB2312"/>
          <w:sz w:val="32"/>
          <w:szCs w:val="32"/>
        </w:rPr>
      </w:pPr>
      <w:r>
        <w:rPr>
          <w:rFonts w:eastAsia="仿宋_GB2312"/>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pacing w:line="600" w:lineRule="exact"/>
        <w:ind w:firstLine="640" w:firstLineChars="200"/>
        <w:outlineLvl w:val="0"/>
        <w:rPr>
          <w:rFonts w:eastAsia="仿宋_GB2312"/>
          <w:sz w:val="32"/>
          <w:szCs w:val="32"/>
        </w:rPr>
      </w:pPr>
      <w:r>
        <w:rPr>
          <w:rFonts w:eastAsia="仿宋_GB2312"/>
          <w:sz w:val="32"/>
          <w:szCs w:val="32"/>
        </w:rPr>
        <w:t>（2）立项程序规范性</w:t>
      </w:r>
    </w:p>
    <w:p>
      <w:pPr>
        <w:spacing w:line="600" w:lineRule="exact"/>
        <w:ind w:firstLine="640" w:firstLineChars="200"/>
        <w:outlineLvl w:val="0"/>
        <w:rPr>
          <w:rFonts w:eastAsia="仿宋_GB2312"/>
          <w:sz w:val="32"/>
          <w:szCs w:val="32"/>
        </w:rPr>
      </w:pPr>
      <w:r>
        <w:rPr>
          <w:rFonts w:eastAsia="仿宋_GB2312"/>
          <w:sz w:val="32"/>
          <w:szCs w:val="32"/>
        </w:rPr>
        <w:t>项目申请、设立过程符合相关要求，</w:t>
      </w:r>
      <w:r>
        <w:rPr>
          <w:rFonts w:eastAsia="仿宋_GB2312"/>
          <w:sz w:val="32"/>
          <w:szCs w:val="32"/>
          <w:lang w:eastAsia="zh-Hans"/>
        </w:rPr>
        <w:t>严格按照审批流程准备符合要求的文件、材料；</w:t>
      </w:r>
      <w:r>
        <w:rPr>
          <w:rFonts w:eastAsia="仿宋_GB2312"/>
          <w:sz w:val="32"/>
          <w:szCs w:val="32"/>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19"/>
        <w:spacing w:line="560" w:lineRule="exact"/>
        <w:ind w:firstLine="640"/>
        <w:rPr>
          <w:rFonts w:eastAsia="仿宋_GB2312"/>
          <w:b/>
          <w:bCs/>
          <w:sz w:val="32"/>
          <w:szCs w:val="32"/>
        </w:rPr>
      </w:pPr>
      <w:r>
        <w:rPr>
          <w:rFonts w:eastAsia="仿宋_GB2312"/>
          <w:b/>
          <w:bCs/>
          <w:sz w:val="32"/>
          <w:szCs w:val="32"/>
        </w:rPr>
        <w:t>2.绩效目标</w:t>
      </w:r>
    </w:p>
    <w:p>
      <w:pPr>
        <w:spacing w:line="600" w:lineRule="exact"/>
        <w:ind w:firstLine="640" w:firstLineChars="200"/>
        <w:outlineLvl w:val="0"/>
        <w:rPr>
          <w:rFonts w:eastAsia="仿宋_GB2312"/>
          <w:sz w:val="32"/>
          <w:szCs w:val="32"/>
        </w:rPr>
      </w:pPr>
      <w:r>
        <w:rPr>
          <w:rFonts w:eastAsia="仿宋_GB2312"/>
          <w:sz w:val="32"/>
          <w:szCs w:val="32"/>
        </w:rPr>
        <w:t>（1）绩效目标合理性</w:t>
      </w:r>
    </w:p>
    <w:p>
      <w:pPr>
        <w:spacing w:line="600" w:lineRule="exact"/>
        <w:ind w:firstLine="640" w:firstLineChars="200"/>
        <w:outlineLvl w:val="0"/>
        <w:rPr>
          <w:rFonts w:eastAsia="仿宋_GB2312"/>
          <w:sz w:val="32"/>
          <w:szCs w:val="32"/>
        </w:rPr>
      </w:pPr>
      <w:r>
        <w:rPr>
          <w:rFonts w:eastAsia="仿宋_GB2312"/>
          <w:sz w:val="32"/>
          <w:szCs w:val="32"/>
          <w:lang w:eastAsia="zh-Hans"/>
        </w:rPr>
        <w:t>年初结合实际工作内容</w:t>
      </w:r>
      <w:r>
        <w:rPr>
          <w:rFonts w:eastAsia="仿宋_GB2312"/>
          <w:sz w:val="32"/>
          <w:szCs w:val="32"/>
        </w:rPr>
        <w:t>设定绩效目标</w:t>
      </w:r>
      <w:r>
        <w:rPr>
          <w:rFonts w:eastAsia="仿宋_GB2312"/>
          <w:sz w:val="32"/>
          <w:szCs w:val="32"/>
          <w:lang w:eastAsia="zh-Hans"/>
        </w:rPr>
        <w:t>，绩效目标</w:t>
      </w:r>
      <w:r>
        <w:rPr>
          <w:rFonts w:eastAsia="仿宋_GB2312"/>
          <w:sz w:val="32"/>
          <w:szCs w:val="32"/>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pacing w:line="600" w:lineRule="exact"/>
        <w:ind w:firstLine="640" w:firstLineChars="200"/>
        <w:outlineLvl w:val="0"/>
        <w:rPr>
          <w:rFonts w:eastAsia="仿宋_GB2312"/>
          <w:sz w:val="32"/>
          <w:szCs w:val="32"/>
        </w:rPr>
      </w:pPr>
      <w:r>
        <w:rPr>
          <w:rFonts w:eastAsia="仿宋_GB2312"/>
          <w:sz w:val="32"/>
          <w:szCs w:val="32"/>
        </w:rPr>
        <w:t>（2）绩效指标明确性</w:t>
      </w:r>
    </w:p>
    <w:p>
      <w:pPr>
        <w:spacing w:line="600" w:lineRule="exact"/>
        <w:ind w:firstLine="640" w:firstLineChars="200"/>
        <w:outlineLvl w:val="0"/>
        <w:rPr>
          <w:rFonts w:eastAsia="仿宋_GB2312"/>
          <w:sz w:val="32"/>
          <w:szCs w:val="32"/>
        </w:rPr>
      </w:pPr>
      <w:r>
        <w:rPr>
          <w:rFonts w:eastAsia="仿宋_GB2312"/>
          <w:sz w:val="32"/>
          <w:szCs w:val="32"/>
        </w:rPr>
        <w:t>项目设置了明确的预期产出效益和效果，将绩效目标细化分解为具体的绩效指标，绩效目标与项目目标任务数相对应，绩效目标设定的绩效指标清晰、细化、可衡量。</w:t>
      </w:r>
    </w:p>
    <w:p>
      <w:pPr>
        <w:pStyle w:val="19"/>
        <w:spacing w:line="560" w:lineRule="exact"/>
        <w:ind w:firstLine="640"/>
        <w:rPr>
          <w:rFonts w:eastAsia="仿宋_GB2312"/>
          <w:b/>
          <w:bCs/>
          <w:sz w:val="32"/>
          <w:szCs w:val="32"/>
        </w:rPr>
      </w:pPr>
      <w:r>
        <w:rPr>
          <w:rFonts w:eastAsia="仿宋_GB2312"/>
          <w:b/>
          <w:bCs/>
          <w:sz w:val="32"/>
          <w:szCs w:val="32"/>
        </w:rPr>
        <w:t>3.资金投入</w:t>
      </w:r>
    </w:p>
    <w:p>
      <w:pPr>
        <w:spacing w:line="600" w:lineRule="exact"/>
        <w:ind w:firstLine="640" w:firstLineChars="200"/>
        <w:outlineLvl w:val="0"/>
        <w:rPr>
          <w:rFonts w:eastAsia="仿宋_GB2312"/>
          <w:sz w:val="32"/>
          <w:szCs w:val="32"/>
        </w:rPr>
      </w:pPr>
      <w:r>
        <w:rPr>
          <w:rFonts w:eastAsia="仿宋_GB2312"/>
          <w:sz w:val="32"/>
          <w:szCs w:val="32"/>
        </w:rPr>
        <w:t>（1）预算编制科学性</w:t>
      </w:r>
    </w:p>
    <w:p>
      <w:pPr>
        <w:spacing w:line="560" w:lineRule="exact"/>
        <w:ind w:firstLine="640" w:firstLineChars="200"/>
        <w:rPr>
          <w:rFonts w:eastAsia="仿宋_GB2312"/>
          <w:sz w:val="32"/>
          <w:szCs w:val="32"/>
        </w:rPr>
      </w:pPr>
      <w:r>
        <w:rPr>
          <w:rFonts w:eastAsia="仿宋_GB2312"/>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pacing w:line="600" w:lineRule="exact"/>
        <w:ind w:firstLine="640" w:firstLineChars="200"/>
        <w:outlineLvl w:val="0"/>
        <w:rPr>
          <w:rFonts w:eastAsia="仿宋_GB2312"/>
          <w:sz w:val="32"/>
          <w:szCs w:val="32"/>
        </w:rPr>
      </w:pPr>
      <w:r>
        <w:rPr>
          <w:rFonts w:eastAsia="仿宋_GB2312"/>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pacing w:line="600" w:lineRule="exact"/>
        <w:ind w:firstLine="640" w:firstLineChars="200"/>
        <w:outlineLvl w:val="0"/>
        <w:rPr>
          <w:rFonts w:eastAsia="仿宋_GB2312"/>
          <w:sz w:val="32"/>
          <w:szCs w:val="32"/>
        </w:rPr>
      </w:pPr>
      <w:r>
        <w:rPr>
          <w:rFonts w:eastAsia="仿宋_GB2312"/>
          <w:sz w:val="32"/>
          <w:szCs w:val="32"/>
        </w:rPr>
        <w:t>（2）资金分配合理性</w:t>
      </w:r>
    </w:p>
    <w:p>
      <w:pPr>
        <w:spacing w:line="560" w:lineRule="exact"/>
        <w:ind w:firstLine="640" w:firstLineChars="200"/>
        <w:rPr>
          <w:rFonts w:eastAsia="仿宋_GB2312"/>
          <w:sz w:val="32"/>
          <w:szCs w:val="32"/>
        </w:rPr>
      </w:pPr>
      <w:r>
        <w:rPr>
          <w:rFonts w:eastAsia="仿宋_GB2312"/>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spacing w:line="560" w:lineRule="exact"/>
        <w:ind w:firstLine="640" w:firstLineChars="200"/>
        <w:rPr>
          <w:rFonts w:eastAsia="仿宋_GB2312"/>
          <w:sz w:val="32"/>
          <w:szCs w:val="32"/>
        </w:rPr>
      </w:pPr>
      <w:r>
        <w:rPr>
          <w:rFonts w:eastAsia="仿宋_GB2312"/>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spacing w:line="560" w:lineRule="exact"/>
        <w:ind w:firstLine="640" w:firstLineChars="200"/>
        <w:rPr>
          <w:rFonts w:eastAsia="仿宋_GB2312"/>
          <w:sz w:val="32"/>
          <w:szCs w:val="32"/>
        </w:rPr>
      </w:pPr>
      <w:r>
        <w:rPr>
          <w:rFonts w:eastAsia="仿宋_GB2312"/>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2"/>
        <w:numPr>
          <w:ilvl w:val="0"/>
          <w:numId w:val="5"/>
        </w:numPr>
        <w:spacing w:before="0" w:after="0" w:line="560" w:lineRule="exact"/>
        <w:ind w:firstLine="643" w:firstLineChars="200"/>
        <w:jc w:val="both"/>
        <w:rPr>
          <w:rFonts w:ascii="Times New Roman" w:hAnsi="Times New Roman" w:eastAsia="楷体"/>
        </w:rPr>
      </w:pPr>
      <w:r>
        <w:rPr>
          <w:rFonts w:ascii="Times New Roman" w:hAnsi="Times New Roman" w:eastAsia="楷体"/>
        </w:rPr>
        <w:t>项目过程情况</w:t>
      </w:r>
    </w:p>
    <w:p>
      <w:pPr>
        <w:spacing w:line="600" w:lineRule="exact"/>
        <w:ind w:firstLine="640" w:firstLineChars="200"/>
        <w:outlineLvl w:val="0"/>
        <w:rPr>
          <w:rFonts w:eastAsia="仿宋_GB2312"/>
          <w:color w:val="FF0000"/>
          <w:sz w:val="32"/>
          <w:szCs w:val="32"/>
        </w:rPr>
      </w:pPr>
      <w:r>
        <w:rPr>
          <w:rFonts w:eastAsia="仿宋_GB2312"/>
          <w:sz w:val="32"/>
          <w:szCs w:val="32"/>
        </w:rPr>
        <w:t>项目过程类指标包括资金管理和组织实施两方面的内容，由</w:t>
      </w:r>
      <w:r>
        <w:rPr>
          <w:rFonts w:hint="eastAsia" w:eastAsia="仿宋_GB2312"/>
          <w:sz w:val="32"/>
          <w:szCs w:val="32"/>
          <w:lang w:val="en-US" w:eastAsia="zh-CN"/>
        </w:rPr>
        <w:t>5</w:t>
      </w:r>
      <w:r>
        <w:rPr>
          <w:rFonts w:eastAsia="仿宋_GB2312"/>
          <w:sz w:val="32"/>
          <w:szCs w:val="32"/>
        </w:rPr>
        <w:t>个三级指标构成，权重分值为20分，实际得分</w:t>
      </w:r>
      <w:r>
        <w:rPr>
          <w:rFonts w:hint="eastAsia" w:eastAsia="仿宋_GB2312"/>
          <w:sz w:val="32"/>
          <w:szCs w:val="32"/>
        </w:rPr>
        <w:t>20</w:t>
      </w:r>
      <w:r>
        <w:rPr>
          <w:rFonts w:eastAsia="仿宋_GB2312"/>
          <w:sz w:val="32"/>
          <w:szCs w:val="32"/>
        </w:rPr>
        <w:t>分，得分率为</w:t>
      </w:r>
      <w:r>
        <w:rPr>
          <w:rFonts w:hint="eastAsia" w:eastAsia="仿宋_GB2312"/>
          <w:sz w:val="32"/>
          <w:szCs w:val="32"/>
        </w:rPr>
        <w:t>100</w:t>
      </w:r>
      <w:r>
        <w:rPr>
          <w:rFonts w:eastAsia="仿宋_GB2312"/>
          <w:sz w:val="32"/>
          <w:szCs w:val="32"/>
        </w:rPr>
        <w:t>%。</w:t>
      </w:r>
    </w:p>
    <w:p>
      <w:pPr>
        <w:pStyle w:val="19"/>
        <w:spacing w:line="560" w:lineRule="exact"/>
        <w:ind w:firstLine="640"/>
        <w:rPr>
          <w:rFonts w:eastAsia="仿宋_GB2312"/>
          <w:b/>
          <w:bCs/>
          <w:sz w:val="32"/>
          <w:szCs w:val="32"/>
        </w:rPr>
      </w:pPr>
      <w:r>
        <w:rPr>
          <w:rFonts w:eastAsia="仿宋_GB2312"/>
          <w:b/>
          <w:bCs/>
          <w:color w:val="000000" w:themeColor="text1"/>
          <w:sz w:val="32"/>
          <w:szCs w:val="32"/>
          <w14:textFill>
            <w14:solidFill>
              <w14:schemeClr w14:val="tx1"/>
            </w14:solidFill>
          </w14:textFill>
        </w:rPr>
        <w:t>1</w:t>
      </w:r>
      <w:r>
        <w:rPr>
          <w:rFonts w:eastAsia="仿宋_GB2312"/>
          <w:b/>
          <w:bCs/>
          <w:sz w:val="32"/>
          <w:szCs w:val="32"/>
        </w:rPr>
        <w:t>.资金管理</w:t>
      </w:r>
    </w:p>
    <w:p>
      <w:pPr>
        <w:spacing w:line="600" w:lineRule="exact"/>
        <w:ind w:firstLine="640" w:firstLineChars="200"/>
        <w:outlineLvl w:val="0"/>
        <w:rPr>
          <w:rFonts w:eastAsia="仿宋_GB2312"/>
          <w:sz w:val="32"/>
          <w:szCs w:val="32"/>
        </w:rPr>
      </w:pPr>
      <w:r>
        <w:rPr>
          <w:rFonts w:eastAsia="仿宋_GB2312"/>
          <w:sz w:val="32"/>
          <w:szCs w:val="32"/>
        </w:rPr>
        <w:t>（1）资金到位率</w:t>
      </w:r>
    </w:p>
    <w:p>
      <w:pPr>
        <w:spacing w:line="600" w:lineRule="exact"/>
        <w:ind w:firstLine="640" w:firstLineChars="200"/>
        <w:outlineLvl w:val="0"/>
        <w:rPr>
          <w:rFonts w:eastAsia="仿宋_GB2312"/>
          <w:sz w:val="32"/>
          <w:szCs w:val="32"/>
        </w:rPr>
      </w:pPr>
      <w:r>
        <w:rPr>
          <w:rFonts w:eastAsia="仿宋_GB2312"/>
          <w:sz w:val="32"/>
          <w:szCs w:val="32"/>
        </w:rPr>
        <w:t>本项目总投资</w:t>
      </w:r>
      <w:r>
        <w:rPr>
          <w:rFonts w:hint="eastAsia" w:eastAsia="仿宋_GB2312"/>
          <w:sz w:val="32"/>
          <w:szCs w:val="32"/>
        </w:rPr>
        <w:t>80.61万</w:t>
      </w:r>
      <w:r>
        <w:rPr>
          <w:rFonts w:eastAsia="仿宋_GB2312"/>
          <w:sz w:val="32"/>
          <w:szCs w:val="32"/>
        </w:rPr>
        <w:t>元，财政资金及时足额到位，到位率</w:t>
      </w:r>
      <w:r>
        <w:rPr>
          <w:rFonts w:hint="eastAsia" w:eastAsia="仿宋_GB2312"/>
          <w:sz w:val="32"/>
          <w:szCs w:val="32"/>
        </w:rPr>
        <w:t>100</w:t>
      </w:r>
      <w:r>
        <w:rPr>
          <w:rFonts w:eastAsia="仿宋_GB2312"/>
          <w:sz w:val="32"/>
          <w:szCs w:val="32"/>
        </w:rPr>
        <w:t>%，预算资金按计划进度执行。</w:t>
      </w:r>
    </w:p>
    <w:p>
      <w:pPr>
        <w:spacing w:line="600" w:lineRule="exact"/>
        <w:ind w:firstLine="640" w:firstLineChars="200"/>
        <w:outlineLvl w:val="0"/>
        <w:rPr>
          <w:rFonts w:eastAsia="仿宋_GB2312"/>
          <w:sz w:val="32"/>
          <w:szCs w:val="32"/>
        </w:rPr>
      </w:pPr>
      <w:r>
        <w:rPr>
          <w:rFonts w:eastAsia="仿宋_GB2312"/>
          <w:sz w:val="32"/>
          <w:szCs w:val="32"/>
        </w:rPr>
        <w:t>（2）预算执行率</w:t>
      </w:r>
    </w:p>
    <w:p>
      <w:pPr>
        <w:spacing w:line="600" w:lineRule="exact"/>
        <w:ind w:firstLine="640" w:firstLineChars="200"/>
        <w:outlineLvl w:val="0"/>
        <w:rPr>
          <w:rFonts w:eastAsia="仿宋_GB2312"/>
          <w:sz w:val="32"/>
          <w:szCs w:val="32"/>
        </w:rPr>
      </w:pPr>
      <w:r>
        <w:rPr>
          <w:rFonts w:eastAsia="仿宋_GB2312"/>
          <w:sz w:val="32"/>
          <w:szCs w:val="32"/>
        </w:rPr>
        <w:t>预算编制较为详细，项目资金支出总体能够按照预算执行，预算资金支出</w:t>
      </w:r>
      <w:r>
        <w:rPr>
          <w:rFonts w:hint="eastAsia" w:eastAsia="仿宋_GB2312"/>
          <w:sz w:val="32"/>
          <w:szCs w:val="32"/>
        </w:rPr>
        <w:t>80.61万</w:t>
      </w:r>
      <w:r>
        <w:rPr>
          <w:rFonts w:eastAsia="仿宋_GB2312"/>
          <w:sz w:val="32"/>
          <w:szCs w:val="32"/>
        </w:rPr>
        <w:t>元，预算执行率为</w:t>
      </w:r>
      <w:r>
        <w:rPr>
          <w:rFonts w:hint="eastAsia" w:eastAsia="仿宋_GB2312"/>
          <w:sz w:val="32"/>
          <w:szCs w:val="32"/>
        </w:rPr>
        <w:t>100</w:t>
      </w:r>
      <w:r>
        <w:rPr>
          <w:rFonts w:eastAsia="仿宋_GB2312"/>
          <w:sz w:val="32"/>
          <w:szCs w:val="32"/>
        </w:rPr>
        <w:t>%。</w:t>
      </w:r>
    </w:p>
    <w:p>
      <w:pPr>
        <w:spacing w:line="600" w:lineRule="exact"/>
        <w:ind w:firstLine="640" w:firstLineChars="200"/>
        <w:outlineLvl w:val="0"/>
        <w:rPr>
          <w:rFonts w:eastAsia="仿宋_GB2312"/>
          <w:sz w:val="32"/>
          <w:szCs w:val="32"/>
        </w:rPr>
      </w:pPr>
      <w:r>
        <w:rPr>
          <w:rFonts w:eastAsia="仿宋_GB2312"/>
          <w:sz w:val="32"/>
          <w:szCs w:val="32"/>
        </w:rPr>
        <w:t>（3）资金使用合规性</w:t>
      </w:r>
    </w:p>
    <w:p>
      <w:pPr>
        <w:spacing w:line="560" w:lineRule="exact"/>
        <w:ind w:firstLine="640" w:firstLineChars="200"/>
        <w:rPr>
          <w:rFonts w:eastAsia="仿宋_GB2312"/>
          <w:sz w:val="32"/>
          <w:szCs w:val="32"/>
        </w:rPr>
      </w:pPr>
      <w:r>
        <w:rPr>
          <w:rFonts w:eastAsia="仿宋_GB2312"/>
          <w:sz w:val="32"/>
          <w:szCs w:val="32"/>
        </w:rPr>
        <w:t>本项目的资金使用严格遵循了国家相关法律法规与财务制度，确保了资金的合规性与安全性。在资金使用过程中，我们建立了完善的财务管理体系，对资金的流动进行了全程监控与记录。</w:t>
      </w:r>
    </w:p>
    <w:p>
      <w:pPr>
        <w:spacing w:line="560" w:lineRule="exact"/>
        <w:ind w:firstLine="640" w:firstLineChars="200"/>
        <w:rPr>
          <w:rFonts w:eastAsia="仿宋_GB2312"/>
          <w:sz w:val="32"/>
          <w:szCs w:val="32"/>
        </w:rPr>
      </w:pPr>
      <w:r>
        <w:rPr>
          <w:rFonts w:eastAsia="仿宋_GB2312"/>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spacing w:line="560" w:lineRule="exact"/>
        <w:ind w:firstLine="640" w:firstLineChars="200"/>
        <w:rPr>
          <w:rFonts w:eastAsia="仿宋_GB2312"/>
          <w:sz w:val="32"/>
          <w:szCs w:val="32"/>
        </w:rPr>
      </w:pPr>
      <w:r>
        <w:rPr>
          <w:rFonts w:eastAsia="仿宋_GB2312"/>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19"/>
        <w:spacing w:line="560" w:lineRule="exact"/>
        <w:ind w:firstLine="640"/>
        <w:rPr>
          <w:rFonts w:eastAsia="仿宋_GB2312"/>
          <w:b/>
          <w:bCs/>
          <w:sz w:val="32"/>
          <w:szCs w:val="32"/>
        </w:rPr>
      </w:pPr>
      <w:r>
        <w:rPr>
          <w:rFonts w:eastAsia="仿宋_GB2312"/>
          <w:b/>
          <w:bCs/>
          <w:sz w:val="32"/>
          <w:szCs w:val="32"/>
        </w:rPr>
        <w:t>2.组织实施</w:t>
      </w:r>
    </w:p>
    <w:p>
      <w:pPr>
        <w:spacing w:line="600" w:lineRule="exact"/>
        <w:ind w:firstLine="640" w:firstLineChars="200"/>
        <w:outlineLvl w:val="0"/>
        <w:rPr>
          <w:rFonts w:eastAsia="仿宋_GB2312"/>
          <w:sz w:val="32"/>
          <w:szCs w:val="32"/>
        </w:rPr>
      </w:pPr>
      <w:r>
        <w:rPr>
          <w:rFonts w:eastAsia="仿宋_GB2312"/>
          <w:sz w:val="32"/>
          <w:szCs w:val="32"/>
        </w:rPr>
        <w:t>（1）管理制度健全性</w:t>
      </w:r>
    </w:p>
    <w:p>
      <w:pPr>
        <w:spacing w:line="560" w:lineRule="exact"/>
        <w:ind w:firstLine="640" w:firstLineChars="200"/>
        <w:rPr>
          <w:rFonts w:eastAsia="仿宋_GB2312"/>
          <w:sz w:val="32"/>
          <w:szCs w:val="32"/>
        </w:rPr>
      </w:pPr>
      <w:r>
        <w:rPr>
          <w:rFonts w:eastAsia="仿宋_GB2312"/>
          <w:sz w:val="32"/>
          <w:szCs w:val="32"/>
        </w:rPr>
        <w:t>本项目拥有一套完善、健全的管理制度体系，为项目的成功实施提供了坚实的制度保障。项目管理制度的制定紧密结合了项目的特点与实际情况，涵盖了项目的策划、组织、实施、监控与收尾等各个环节。</w:t>
      </w:r>
    </w:p>
    <w:p>
      <w:pPr>
        <w:spacing w:line="560" w:lineRule="exact"/>
        <w:ind w:firstLine="640" w:firstLineChars="200"/>
        <w:rPr>
          <w:rFonts w:eastAsia="仿宋_GB2312"/>
          <w:sz w:val="32"/>
          <w:szCs w:val="32"/>
        </w:rPr>
      </w:pPr>
      <w:r>
        <w:rPr>
          <w:rFonts w:eastAsia="仿宋_GB2312"/>
          <w:sz w:val="32"/>
          <w:szCs w:val="32"/>
        </w:rPr>
        <w:t>在制度设计上，我们注重了制度的科学性与可操作性，确保制度能够切实指导项目的执行与管理。</w:t>
      </w:r>
    </w:p>
    <w:p>
      <w:pPr>
        <w:spacing w:line="560" w:lineRule="exact"/>
        <w:ind w:firstLine="640" w:firstLineChars="200"/>
        <w:rPr>
          <w:rFonts w:eastAsia="仿宋_GB2312"/>
          <w:sz w:val="32"/>
          <w:szCs w:val="32"/>
        </w:rPr>
      </w:pPr>
      <w:r>
        <w:rPr>
          <w:rFonts w:eastAsia="仿宋_GB2312"/>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pacing w:line="600" w:lineRule="exact"/>
        <w:ind w:firstLine="640" w:firstLineChars="200"/>
        <w:outlineLvl w:val="0"/>
        <w:rPr>
          <w:rFonts w:eastAsia="仿宋_GB2312"/>
          <w:sz w:val="32"/>
          <w:szCs w:val="32"/>
        </w:rPr>
      </w:pPr>
      <w:r>
        <w:rPr>
          <w:rFonts w:eastAsia="仿宋_GB2312"/>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p>
    <w:p>
      <w:pPr>
        <w:spacing w:line="600" w:lineRule="exact"/>
        <w:ind w:firstLine="640" w:firstLineChars="200"/>
        <w:outlineLvl w:val="0"/>
        <w:rPr>
          <w:rFonts w:eastAsia="仿宋_GB2312"/>
          <w:sz w:val="32"/>
          <w:szCs w:val="32"/>
        </w:rPr>
      </w:pPr>
      <w:r>
        <w:rPr>
          <w:rFonts w:eastAsia="仿宋_GB2312"/>
          <w:sz w:val="32"/>
          <w:szCs w:val="32"/>
        </w:rPr>
        <w:t>（2）制度执行有效性</w:t>
      </w:r>
    </w:p>
    <w:p>
      <w:pPr>
        <w:spacing w:line="560" w:lineRule="exact"/>
        <w:ind w:firstLine="640" w:firstLineChars="200"/>
        <w:rPr>
          <w:rFonts w:eastAsia="仿宋_GB2312"/>
          <w:sz w:val="32"/>
          <w:szCs w:val="32"/>
        </w:rPr>
      </w:pPr>
      <w:r>
        <w:rPr>
          <w:rFonts w:eastAsia="仿宋_GB2312"/>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pPr>
        <w:spacing w:line="560" w:lineRule="exact"/>
        <w:ind w:firstLine="640" w:firstLineChars="200"/>
        <w:rPr>
          <w:rFonts w:eastAsia="仿宋_GB2312"/>
          <w:sz w:val="32"/>
          <w:szCs w:val="32"/>
        </w:rPr>
      </w:pPr>
      <w:r>
        <w:rPr>
          <w:rFonts w:eastAsia="仿宋_GB2312"/>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p>
    <w:p>
      <w:pPr>
        <w:spacing w:line="560" w:lineRule="exact"/>
        <w:ind w:firstLine="640" w:firstLineChars="200"/>
        <w:rPr>
          <w:rFonts w:eastAsia="仿宋_GB2312"/>
          <w:sz w:val="32"/>
          <w:szCs w:val="32"/>
        </w:rPr>
      </w:pPr>
      <w:r>
        <w:rPr>
          <w:rFonts w:eastAsia="仿宋_GB2312"/>
          <w:sz w:val="32"/>
          <w:szCs w:val="32"/>
        </w:rPr>
        <w:t>综上所述，本项目的管理制度在执行过程中表现出了高度的有效性，既确保了项目的顺利进行，又实现了项目目标的有效达成。</w:t>
      </w:r>
    </w:p>
    <w:p>
      <w:pPr>
        <w:pStyle w:val="12"/>
        <w:numPr>
          <w:ilvl w:val="0"/>
          <w:numId w:val="5"/>
        </w:numPr>
        <w:tabs>
          <w:tab w:val="center" w:pos="4274"/>
        </w:tabs>
        <w:spacing w:line="560" w:lineRule="exact"/>
        <w:ind w:firstLine="643"/>
        <w:rPr>
          <w:rFonts w:eastAsia="楷体_GB2312"/>
          <w:b/>
          <w:bCs/>
          <w:sz w:val="32"/>
          <w:szCs w:val="32"/>
        </w:rPr>
      </w:pPr>
      <w:r>
        <w:rPr>
          <w:rFonts w:eastAsia="楷体_GB2312"/>
          <w:b/>
          <w:bCs/>
          <w:sz w:val="32"/>
          <w:szCs w:val="32"/>
        </w:rPr>
        <w:t>项目产出情况</w:t>
      </w:r>
    </w:p>
    <w:p>
      <w:pPr>
        <w:spacing w:line="600" w:lineRule="exact"/>
        <w:ind w:firstLine="640" w:firstLineChars="200"/>
        <w:outlineLvl w:val="0"/>
        <w:rPr>
          <w:rFonts w:eastAsia="仿宋_GB2312"/>
          <w:sz w:val="32"/>
          <w:szCs w:val="32"/>
        </w:rPr>
      </w:pPr>
      <w:r>
        <w:rPr>
          <w:rFonts w:eastAsia="仿宋_GB2312"/>
          <w:sz w:val="32"/>
          <w:szCs w:val="32"/>
        </w:rPr>
        <w:t>项目产出类指标包括产出数量、产出质量、产出时效、产出成本四方面的内容，由</w:t>
      </w:r>
      <w:r>
        <w:rPr>
          <w:rFonts w:hint="eastAsia" w:eastAsia="仿宋_GB2312"/>
          <w:sz w:val="32"/>
          <w:szCs w:val="32"/>
        </w:rPr>
        <w:t>6</w:t>
      </w:r>
      <w:r>
        <w:rPr>
          <w:rFonts w:eastAsia="仿宋_GB2312"/>
          <w:sz w:val="32"/>
          <w:szCs w:val="32"/>
        </w:rPr>
        <w:t>个三级指标构成，权重分为</w:t>
      </w:r>
      <w:r>
        <w:rPr>
          <w:rFonts w:hint="eastAsia" w:eastAsia="仿宋_GB2312"/>
          <w:sz w:val="32"/>
          <w:szCs w:val="32"/>
          <w:lang w:val="en-US" w:eastAsia="zh-CN"/>
        </w:rPr>
        <w:t>4</w:t>
      </w:r>
      <w:r>
        <w:rPr>
          <w:rFonts w:hint="eastAsia" w:eastAsia="仿宋_GB2312"/>
          <w:sz w:val="32"/>
          <w:szCs w:val="32"/>
        </w:rPr>
        <w:t>0</w:t>
      </w:r>
      <w:r>
        <w:rPr>
          <w:rFonts w:eastAsia="仿宋_GB2312"/>
          <w:sz w:val="32"/>
          <w:szCs w:val="32"/>
        </w:rPr>
        <w:t>分，实际得分</w:t>
      </w:r>
      <w:r>
        <w:rPr>
          <w:rFonts w:hint="eastAsia" w:eastAsia="仿宋_GB2312"/>
          <w:sz w:val="32"/>
          <w:szCs w:val="32"/>
          <w:lang w:val="en-US" w:eastAsia="zh-CN"/>
        </w:rPr>
        <w:t>4</w:t>
      </w:r>
      <w:r>
        <w:rPr>
          <w:rFonts w:hint="eastAsia" w:eastAsia="仿宋_GB2312"/>
          <w:sz w:val="32"/>
          <w:szCs w:val="32"/>
        </w:rPr>
        <w:t>0</w:t>
      </w:r>
      <w:r>
        <w:rPr>
          <w:rFonts w:eastAsia="仿宋_GB2312"/>
          <w:sz w:val="32"/>
          <w:szCs w:val="32"/>
        </w:rPr>
        <w:t>分，得分率为</w:t>
      </w:r>
      <w:r>
        <w:rPr>
          <w:rFonts w:hint="eastAsia" w:eastAsia="仿宋_GB2312"/>
          <w:sz w:val="32"/>
          <w:szCs w:val="32"/>
        </w:rPr>
        <w:t>100</w:t>
      </w:r>
      <w:r>
        <w:rPr>
          <w:rFonts w:eastAsia="仿宋_GB2312"/>
          <w:sz w:val="32"/>
          <w:szCs w:val="32"/>
        </w:rPr>
        <w:t>%。具体产出指标完成情况如下：</w:t>
      </w:r>
    </w:p>
    <w:p>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1 \* GB3 </w:instrText>
      </w:r>
      <w:r>
        <w:rPr>
          <w:rFonts w:eastAsia="仿宋_GB2312"/>
          <w:sz w:val="32"/>
          <w:szCs w:val="32"/>
        </w:rPr>
        <w:fldChar w:fldCharType="separate"/>
      </w:r>
      <w:r>
        <w:rPr>
          <w:rFonts w:eastAsia="仿宋_GB2312"/>
          <w:sz w:val="32"/>
          <w:szCs w:val="32"/>
        </w:rPr>
        <w:t>①</w:t>
      </w:r>
      <w:r>
        <w:rPr>
          <w:rFonts w:eastAsia="仿宋_GB2312"/>
          <w:sz w:val="32"/>
          <w:szCs w:val="32"/>
        </w:rPr>
        <w:fldChar w:fldCharType="end"/>
      </w:r>
      <w:r>
        <w:rPr>
          <w:rFonts w:eastAsia="仿宋_GB2312"/>
          <w:sz w:val="32"/>
          <w:szCs w:val="32"/>
        </w:rPr>
        <w:t>数量指标：</w:t>
      </w:r>
    </w:p>
    <w:p>
      <w:pPr>
        <w:spacing w:line="600" w:lineRule="exact"/>
        <w:ind w:firstLine="640" w:firstLineChars="200"/>
        <w:outlineLvl w:val="0"/>
        <w:rPr>
          <w:rFonts w:eastAsia="仿宋_GB2312"/>
          <w:sz w:val="32"/>
          <w:szCs w:val="32"/>
        </w:rPr>
      </w:pPr>
      <w:r>
        <w:rPr>
          <w:rFonts w:eastAsia="仿宋_GB2312"/>
          <w:sz w:val="32"/>
          <w:szCs w:val="32"/>
        </w:rPr>
        <w:t>指标1：</w:t>
      </w:r>
      <w:r>
        <w:rPr>
          <w:rFonts w:hint="eastAsia" w:eastAsia="仿宋_GB2312"/>
          <w:sz w:val="32"/>
          <w:szCs w:val="32"/>
        </w:rPr>
        <w:t>寄宿生补助学生人数（人）</w:t>
      </w:r>
      <w:r>
        <w:rPr>
          <w:rFonts w:eastAsia="仿宋_GB2312"/>
          <w:sz w:val="32"/>
          <w:szCs w:val="32"/>
        </w:rPr>
        <w:t>，指标值：</w:t>
      </w:r>
      <w:r>
        <w:rPr>
          <w:rFonts w:hint="eastAsia" w:eastAsia="仿宋_GB2312"/>
          <w:sz w:val="32"/>
          <w:szCs w:val="32"/>
        </w:rPr>
        <w:t>=150人</w:t>
      </w:r>
      <w:r>
        <w:rPr>
          <w:rFonts w:eastAsia="仿宋_GB2312"/>
          <w:sz w:val="32"/>
          <w:szCs w:val="32"/>
        </w:rPr>
        <w:t>，实际完成值：</w:t>
      </w:r>
      <w:r>
        <w:rPr>
          <w:rFonts w:hint="eastAsia" w:eastAsia="仿宋_GB2312"/>
          <w:sz w:val="32"/>
          <w:szCs w:val="32"/>
        </w:rPr>
        <w:t>=150人</w:t>
      </w:r>
      <w:r>
        <w:rPr>
          <w:rFonts w:eastAsia="仿宋_GB2312"/>
          <w:sz w:val="32"/>
          <w:szCs w:val="32"/>
        </w:rPr>
        <w:t>，指标完成率</w:t>
      </w:r>
      <w:r>
        <w:rPr>
          <w:rFonts w:hint="eastAsia" w:eastAsia="仿宋_GB2312"/>
          <w:sz w:val="32"/>
          <w:szCs w:val="32"/>
        </w:rPr>
        <w:t>100</w:t>
      </w:r>
      <w:r>
        <w:rPr>
          <w:rFonts w:eastAsia="仿宋_GB2312"/>
          <w:sz w:val="32"/>
          <w:szCs w:val="32"/>
        </w:rPr>
        <w:t xml:space="preserve"> %</w:t>
      </w:r>
      <w:r>
        <w:rPr>
          <w:rFonts w:hint="eastAsia" w:eastAsia="仿宋_GB2312"/>
          <w:sz w:val="32"/>
          <w:szCs w:val="32"/>
        </w:rPr>
        <w:t>。</w:t>
      </w:r>
    </w:p>
    <w:p>
      <w:pPr>
        <w:spacing w:line="600" w:lineRule="exact"/>
        <w:ind w:firstLine="640" w:firstLineChars="200"/>
        <w:outlineLvl w:val="0"/>
      </w:pPr>
      <w:r>
        <w:rPr>
          <w:rFonts w:eastAsia="仿宋_GB2312"/>
          <w:sz w:val="32"/>
          <w:szCs w:val="32"/>
        </w:rPr>
        <w:t>指标</w:t>
      </w:r>
      <w:r>
        <w:rPr>
          <w:rFonts w:hint="eastAsia" w:eastAsia="仿宋_GB2312"/>
          <w:sz w:val="32"/>
          <w:szCs w:val="32"/>
        </w:rPr>
        <w:t>2</w:t>
      </w:r>
      <w:r>
        <w:rPr>
          <w:rFonts w:eastAsia="仿宋_GB2312"/>
          <w:sz w:val="32"/>
          <w:szCs w:val="32"/>
        </w:rPr>
        <w:t>：</w:t>
      </w:r>
      <w:r>
        <w:rPr>
          <w:rFonts w:hint="eastAsia" w:eastAsia="仿宋_GB2312"/>
          <w:sz w:val="32"/>
          <w:szCs w:val="32"/>
        </w:rPr>
        <w:t>义务段学校保障经费享受人数（人）</w:t>
      </w:r>
      <w:r>
        <w:rPr>
          <w:rFonts w:eastAsia="仿宋_GB2312"/>
          <w:sz w:val="32"/>
          <w:szCs w:val="32"/>
        </w:rPr>
        <w:t>，指标值：</w:t>
      </w:r>
      <w:r>
        <w:rPr>
          <w:rFonts w:hint="eastAsia" w:eastAsia="仿宋_GB2312"/>
          <w:sz w:val="32"/>
          <w:szCs w:val="32"/>
        </w:rPr>
        <w:t>=536人</w:t>
      </w:r>
      <w:r>
        <w:rPr>
          <w:rFonts w:eastAsia="仿宋_GB2312"/>
          <w:sz w:val="32"/>
          <w:szCs w:val="32"/>
        </w:rPr>
        <w:t>，实际完成值：</w:t>
      </w:r>
      <w:r>
        <w:rPr>
          <w:rFonts w:hint="eastAsia" w:eastAsia="仿宋_GB2312"/>
          <w:sz w:val="32"/>
          <w:szCs w:val="32"/>
        </w:rPr>
        <w:t>=536人</w:t>
      </w:r>
      <w:r>
        <w:rPr>
          <w:rFonts w:eastAsia="仿宋_GB2312"/>
          <w:sz w:val="32"/>
          <w:szCs w:val="32"/>
        </w:rPr>
        <w:t>，指标完成率</w:t>
      </w:r>
      <w:r>
        <w:rPr>
          <w:rFonts w:hint="eastAsia" w:eastAsia="仿宋_GB2312"/>
          <w:sz w:val="32"/>
          <w:szCs w:val="32"/>
        </w:rPr>
        <w:t>100</w:t>
      </w:r>
      <w:r>
        <w:rPr>
          <w:rFonts w:eastAsia="仿宋_GB2312"/>
          <w:sz w:val="32"/>
          <w:szCs w:val="32"/>
        </w:rPr>
        <w:t xml:space="preserve"> %</w:t>
      </w:r>
      <w:r>
        <w:rPr>
          <w:rFonts w:hint="eastAsia" w:eastAsia="仿宋_GB2312"/>
          <w:sz w:val="32"/>
          <w:szCs w:val="32"/>
        </w:rPr>
        <w:t>。</w:t>
      </w:r>
    </w:p>
    <w:p>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2 \* GB3 </w:instrText>
      </w:r>
      <w:r>
        <w:rPr>
          <w:rFonts w:eastAsia="仿宋_GB2312"/>
          <w:sz w:val="32"/>
          <w:szCs w:val="32"/>
        </w:rPr>
        <w:fldChar w:fldCharType="separate"/>
      </w:r>
      <w:r>
        <w:rPr>
          <w:rFonts w:eastAsia="仿宋_GB2312"/>
          <w:sz w:val="32"/>
          <w:szCs w:val="32"/>
        </w:rPr>
        <w:t>②</w:t>
      </w:r>
      <w:r>
        <w:rPr>
          <w:rFonts w:eastAsia="仿宋_GB2312"/>
          <w:sz w:val="32"/>
          <w:szCs w:val="32"/>
        </w:rPr>
        <w:fldChar w:fldCharType="end"/>
      </w:r>
      <w:r>
        <w:rPr>
          <w:rFonts w:eastAsia="仿宋_GB2312"/>
          <w:sz w:val="32"/>
          <w:szCs w:val="32"/>
        </w:rPr>
        <w:t>质量指标：</w:t>
      </w:r>
    </w:p>
    <w:p>
      <w:pPr>
        <w:spacing w:line="600" w:lineRule="exact"/>
        <w:ind w:firstLine="640" w:firstLineChars="200"/>
        <w:outlineLvl w:val="0"/>
        <w:rPr>
          <w:rFonts w:eastAsia="仿宋_GB2312"/>
          <w:sz w:val="32"/>
          <w:szCs w:val="32"/>
        </w:rPr>
      </w:pPr>
      <w:r>
        <w:rPr>
          <w:rFonts w:hint="eastAsia" w:eastAsia="仿宋_GB2312"/>
          <w:sz w:val="32"/>
          <w:szCs w:val="32"/>
        </w:rPr>
        <w:t>指标1：补助发放准确率</w:t>
      </w:r>
      <w:r>
        <w:rPr>
          <w:rFonts w:eastAsia="仿宋_GB2312"/>
          <w:sz w:val="32"/>
          <w:szCs w:val="32"/>
        </w:rPr>
        <w:t>，指标值：</w:t>
      </w:r>
      <w:r>
        <w:rPr>
          <w:rFonts w:hint="eastAsia" w:eastAsia="仿宋_GB2312"/>
          <w:sz w:val="32"/>
          <w:szCs w:val="32"/>
        </w:rPr>
        <w:t>=100%</w:t>
      </w:r>
      <w:r>
        <w:rPr>
          <w:rFonts w:eastAsia="仿宋_GB2312"/>
          <w:sz w:val="32"/>
          <w:szCs w:val="32"/>
        </w:rPr>
        <w:t xml:space="preserve"> ，实际完成值：100%，指标完成率</w:t>
      </w:r>
      <w:r>
        <w:rPr>
          <w:rFonts w:hint="eastAsia" w:eastAsia="仿宋_GB2312"/>
          <w:sz w:val="32"/>
          <w:szCs w:val="32"/>
        </w:rPr>
        <w:t>100</w:t>
      </w:r>
      <w:r>
        <w:rPr>
          <w:rFonts w:eastAsia="仿宋_GB2312"/>
          <w:sz w:val="32"/>
          <w:szCs w:val="32"/>
        </w:rPr>
        <w:t>%，</w:t>
      </w:r>
    </w:p>
    <w:p>
      <w:pPr>
        <w:spacing w:line="600" w:lineRule="exact"/>
        <w:ind w:firstLine="640" w:firstLineChars="200"/>
        <w:outlineLvl w:val="0"/>
        <w:rPr>
          <w:rFonts w:eastAsia="仿宋_GB2312"/>
          <w:sz w:val="32"/>
          <w:szCs w:val="32"/>
        </w:rPr>
      </w:pPr>
      <w:r>
        <w:rPr>
          <w:rFonts w:eastAsia="仿宋_GB2312"/>
          <w:sz w:val="32"/>
          <w:szCs w:val="32"/>
        </w:rPr>
        <w:t>③</w:t>
      </w:r>
      <w:r>
        <w:rPr>
          <w:rFonts w:hint="eastAsia" w:eastAsia="仿宋_GB2312"/>
          <w:sz w:val="32"/>
          <w:szCs w:val="32"/>
        </w:rPr>
        <w:t>时效</w:t>
      </w:r>
      <w:r>
        <w:rPr>
          <w:rFonts w:eastAsia="仿宋_GB2312"/>
          <w:sz w:val="32"/>
          <w:szCs w:val="32"/>
        </w:rPr>
        <w:t>指标</w:t>
      </w:r>
    </w:p>
    <w:p>
      <w:pPr>
        <w:spacing w:line="600" w:lineRule="exact"/>
        <w:ind w:firstLine="640" w:firstLineChars="200"/>
        <w:outlineLvl w:val="0"/>
        <w:rPr>
          <w:rFonts w:eastAsia="仿宋_GB2312"/>
          <w:sz w:val="32"/>
          <w:szCs w:val="32"/>
        </w:rPr>
      </w:pPr>
      <w:r>
        <w:rPr>
          <w:rFonts w:eastAsia="仿宋_GB2312"/>
          <w:sz w:val="32"/>
          <w:szCs w:val="32"/>
        </w:rPr>
        <w:t>指标1：</w:t>
      </w:r>
      <w:r>
        <w:rPr>
          <w:rFonts w:hint="eastAsia" w:eastAsia="仿宋_GB2312"/>
          <w:sz w:val="32"/>
          <w:szCs w:val="32"/>
        </w:rPr>
        <w:t>补助发放及时率（%）</w:t>
      </w:r>
      <w:r>
        <w:rPr>
          <w:rFonts w:eastAsia="仿宋_GB2312"/>
          <w:sz w:val="32"/>
          <w:szCs w:val="32"/>
        </w:rPr>
        <w:t>，指标值：</w:t>
      </w:r>
      <w:r>
        <w:rPr>
          <w:rFonts w:hint="eastAsia" w:eastAsia="仿宋_GB2312"/>
          <w:sz w:val="32"/>
          <w:szCs w:val="32"/>
        </w:rPr>
        <w:t>=100%</w:t>
      </w:r>
      <w:r>
        <w:rPr>
          <w:rFonts w:eastAsia="仿宋_GB2312"/>
          <w:sz w:val="32"/>
          <w:szCs w:val="32"/>
        </w:rPr>
        <w:t>，实际完成值：</w:t>
      </w:r>
      <w:r>
        <w:rPr>
          <w:rFonts w:hint="eastAsia" w:eastAsia="仿宋_GB2312"/>
          <w:sz w:val="32"/>
          <w:szCs w:val="32"/>
        </w:rPr>
        <w:t>100%</w:t>
      </w:r>
      <w:r>
        <w:rPr>
          <w:rFonts w:eastAsia="仿宋_GB2312"/>
          <w:sz w:val="32"/>
          <w:szCs w:val="32"/>
        </w:rPr>
        <w:t>，指标完成率</w:t>
      </w:r>
      <w:r>
        <w:rPr>
          <w:rFonts w:hint="eastAsia" w:eastAsia="仿宋_GB2312"/>
          <w:sz w:val="32"/>
          <w:szCs w:val="32"/>
        </w:rPr>
        <w:t>100</w:t>
      </w:r>
      <w:r>
        <w:rPr>
          <w:rFonts w:eastAsia="仿宋_GB2312"/>
          <w:sz w:val="32"/>
          <w:szCs w:val="32"/>
        </w:rPr>
        <w:t xml:space="preserve"> %</w:t>
      </w:r>
      <w:r>
        <w:rPr>
          <w:rFonts w:hint="eastAsia" w:eastAsia="仿宋_GB2312"/>
          <w:sz w:val="32"/>
          <w:szCs w:val="32"/>
        </w:rPr>
        <w:t>。</w:t>
      </w:r>
    </w:p>
    <w:p>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4 \* GB3 </w:instrText>
      </w:r>
      <w:r>
        <w:rPr>
          <w:rFonts w:eastAsia="仿宋_GB2312"/>
          <w:sz w:val="32"/>
          <w:szCs w:val="32"/>
        </w:rPr>
        <w:fldChar w:fldCharType="separate"/>
      </w:r>
      <w:r>
        <w:rPr>
          <w:rFonts w:eastAsia="仿宋_GB2312"/>
          <w:sz w:val="32"/>
          <w:szCs w:val="32"/>
        </w:rPr>
        <w:t>④</w:t>
      </w:r>
      <w:r>
        <w:rPr>
          <w:rFonts w:eastAsia="仿宋_GB2312"/>
          <w:sz w:val="32"/>
          <w:szCs w:val="32"/>
        </w:rPr>
        <w:fldChar w:fldCharType="end"/>
      </w:r>
      <w:r>
        <w:rPr>
          <w:rFonts w:eastAsia="仿宋_GB2312"/>
          <w:sz w:val="32"/>
          <w:szCs w:val="32"/>
        </w:rPr>
        <w:t>成本指标：</w:t>
      </w:r>
    </w:p>
    <w:p>
      <w:pPr>
        <w:spacing w:line="600" w:lineRule="exact"/>
        <w:ind w:firstLine="640" w:firstLineChars="200"/>
        <w:outlineLvl w:val="0"/>
        <w:rPr>
          <w:rFonts w:eastAsia="仿宋_GB2312"/>
          <w:sz w:val="32"/>
          <w:szCs w:val="32"/>
        </w:rPr>
      </w:pPr>
      <w:r>
        <w:rPr>
          <w:rFonts w:eastAsia="仿宋_GB2312"/>
          <w:sz w:val="32"/>
          <w:szCs w:val="32"/>
        </w:rPr>
        <w:t>指标1：</w:t>
      </w:r>
      <w:r>
        <w:rPr>
          <w:rFonts w:hint="eastAsia" w:eastAsia="仿宋_GB2312"/>
          <w:sz w:val="32"/>
          <w:szCs w:val="32"/>
        </w:rPr>
        <w:t>义务段小学非寄宿生助学金发放标准</w:t>
      </w:r>
      <w:r>
        <w:rPr>
          <w:rFonts w:eastAsia="仿宋_GB2312"/>
          <w:sz w:val="32"/>
          <w:szCs w:val="32"/>
        </w:rPr>
        <w:t>，指标值：</w:t>
      </w:r>
      <w:r>
        <w:rPr>
          <w:rFonts w:hint="eastAsia" w:eastAsia="仿宋_GB2312"/>
          <w:sz w:val="32"/>
          <w:szCs w:val="32"/>
        </w:rPr>
        <w:t>=312.5元/生/学期</w:t>
      </w:r>
      <w:r>
        <w:rPr>
          <w:rFonts w:eastAsia="仿宋_GB2312"/>
          <w:sz w:val="32"/>
          <w:szCs w:val="32"/>
        </w:rPr>
        <w:t>，实际完成值：</w:t>
      </w:r>
      <w:r>
        <w:rPr>
          <w:rFonts w:hint="eastAsia" w:eastAsia="仿宋_GB2312"/>
          <w:sz w:val="32"/>
          <w:szCs w:val="32"/>
        </w:rPr>
        <w:t>312.5元/生/学期</w:t>
      </w:r>
      <w:r>
        <w:rPr>
          <w:rFonts w:eastAsia="仿宋_GB2312"/>
          <w:sz w:val="32"/>
          <w:szCs w:val="32"/>
        </w:rPr>
        <w:t xml:space="preserve"> ，指标完成率</w:t>
      </w:r>
      <w:r>
        <w:rPr>
          <w:rFonts w:hint="eastAsia" w:eastAsia="仿宋_GB2312"/>
          <w:sz w:val="32"/>
          <w:szCs w:val="32"/>
        </w:rPr>
        <w:t>100</w:t>
      </w:r>
      <w:r>
        <w:rPr>
          <w:rFonts w:eastAsia="仿宋_GB2312"/>
          <w:sz w:val="32"/>
          <w:szCs w:val="32"/>
        </w:rPr>
        <w:t xml:space="preserve"> %</w:t>
      </w:r>
      <w:r>
        <w:rPr>
          <w:rFonts w:hint="eastAsia" w:eastAsia="仿宋_GB2312"/>
          <w:sz w:val="32"/>
          <w:szCs w:val="32"/>
        </w:rPr>
        <w:t>。</w:t>
      </w:r>
    </w:p>
    <w:p>
      <w:pPr>
        <w:spacing w:line="600" w:lineRule="exact"/>
        <w:ind w:firstLine="640" w:firstLineChars="200"/>
        <w:outlineLvl w:val="0"/>
        <w:rPr>
          <w:rFonts w:eastAsia="仿宋_GB2312"/>
          <w:sz w:val="32"/>
          <w:szCs w:val="32"/>
        </w:rPr>
      </w:pPr>
      <w:r>
        <w:rPr>
          <w:rFonts w:eastAsia="仿宋_GB2312"/>
          <w:sz w:val="32"/>
          <w:szCs w:val="32"/>
        </w:rPr>
        <w:t>指标</w:t>
      </w:r>
      <w:r>
        <w:rPr>
          <w:rFonts w:hint="eastAsia" w:eastAsia="仿宋_GB2312"/>
          <w:sz w:val="32"/>
          <w:szCs w:val="32"/>
        </w:rPr>
        <w:t>2</w:t>
      </w:r>
      <w:r>
        <w:rPr>
          <w:rFonts w:eastAsia="仿宋_GB2312"/>
          <w:sz w:val="32"/>
          <w:szCs w:val="32"/>
        </w:rPr>
        <w:t>：</w:t>
      </w:r>
      <w:r>
        <w:rPr>
          <w:rFonts w:hint="eastAsia" w:eastAsia="仿宋_GB2312"/>
          <w:sz w:val="32"/>
          <w:szCs w:val="32"/>
        </w:rPr>
        <w:t xml:space="preserve">义务段小学寄宿生助学金发放标准 </w:t>
      </w:r>
      <w:r>
        <w:rPr>
          <w:rFonts w:eastAsia="仿宋_GB2312"/>
          <w:sz w:val="32"/>
          <w:szCs w:val="32"/>
        </w:rPr>
        <w:t>，指标值：</w:t>
      </w:r>
      <w:r>
        <w:rPr>
          <w:rFonts w:hint="eastAsia" w:eastAsia="仿宋_GB2312"/>
          <w:sz w:val="32"/>
          <w:szCs w:val="32"/>
        </w:rPr>
        <w:t>=625元/生/学期</w:t>
      </w:r>
      <w:r>
        <w:rPr>
          <w:rFonts w:eastAsia="仿宋_GB2312"/>
          <w:sz w:val="32"/>
          <w:szCs w:val="32"/>
        </w:rPr>
        <w:t>，实际完成值：</w:t>
      </w:r>
      <w:r>
        <w:rPr>
          <w:rFonts w:hint="eastAsia" w:eastAsia="仿宋_GB2312"/>
          <w:sz w:val="32"/>
          <w:szCs w:val="32"/>
        </w:rPr>
        <w:t>=625元/生/学期</w:t>
      </w:r>
      <w:r>
        <w:rPr>
          <w:rFonts w:eastAsia="仿宋_GB2312"/>
          <w:sz w:val="32"/>
          <w:szCs w:val="32"/>
        </w:rPr>
        <w:t xml:space="preserve"> ，指标完成率</w:t>
      </w:r>
      <w:r>
        <w:rPr>
          <w:rFonts w:hint="eastAsia" w:eastAsia="仿宋_GB2312"/>
          <w:sz w:val="32"/>
          <w:szCs w:val="32"/>
        </w:rPr>
        <w:t>100</w:t>
      </w:r>
      <w:r>
        <w:rPr>
          <w:rFonts w:eastAsia="仿宋_GB2312"/>
          <w:sz w:val="32"/>
          <w:szCs w:val="32"/>
        </w:rPr>
        <w:t xml:space="preserve"> %</w:t>
      </w:r>
      <w:r>
        <w:rPr>
          <w:rFonts w:hint="eastAsia" w:eastAsia="仿宋_GB2312"/>
          <w:sz w:val="32"/>
          <w:szCs w:val="32"/>
        </w:rPr>
        <w:t>。</w:t>
      </w:r>
    </w:p>
    <w:p>
      <w:pPr>
        <w:pStyle w:val="12"/>
        <w:numPr>
          <w:ilvl w:val="0"/>
          <w:numId w:val="5"/>
        </w:numPr>
        <w:spacing w:line="560" w:lineRule="exact"/>
        <w:ind w:firstLine="643"/>
        <w:rPr>
          <w:rFonts w:eastAsia="楷体_GB2312"/>
          <w:b/>
          <w:bCs/>
          <w:sz w:val="32"/>
          <w:szCs w:val="32"/>
        </w:rPr>
      </w:pPr>
      <w:r>
        <w:rPr>
          <w:rFonts w:eastAsia="楷体_GB2312"/>
          <w:b/>
          <w:bCs/>
          <w:sz w:val="32"/>
          <w:szCs w:val="32"/>
        </w:rPr>
        <w:t>项目效益情况</w:t>
      </w:r>
    </w:p>
    <w:p>
      <w:pPr>
        <w:spacing w:line="600" w:lineRule="exact"/>
        <w:ind w:firstLine="640" w:firstLineChars="200"/>
        <w:outlineLvl w:val="0"/>
        <w:rPr>
          <w:rFonts w:eastAsia="仿宋_GB2312"/>
          <w:sz w:val="32"/>
          <w:szCs w:val="32"/>
        </w:rPr>
      </w:pPr>
      <w:r>
        <w:rPr>
          <w:rFonts w:eastAsia="仿宋_GB2312"/>
          <w:sz w:val="32"/>
          <w:szCs w:val="32"/>
        </w:rPr>
        <w:t>项目效益类指标包括项目实施效益和满意度两方面的内容，由</w:t>
      </w:r>
      <w:r>
        <w:rPr>
          <w:rFonts w:hint="eastAsia" w:eastAsia="仿宋_GB2312"/>
          <w:sz w:val="32"/>
          <w:szCs w:val="32"/>
        </w:rPr>
        <w:t>2</w:t>
      </w:r>
      <w:r>
        <w:rPr>
          <w:rFonts w:eastAsia="仿宋_GB2312"/>
          <w:sz w:val="32"/>
          <w:szCs w:val="32"/>
        </w:rPr>
        <w:t>个三级指标构成，权重分为20分，实际得分</w:t>
      </w:r>
      <w:r>
        <w:rPr>
          <w:rFonts w:hint="eastAsia" w:eastAsia="仿宋_GB2312"/>
          <w:sz w:val="32"/>
          <w:szCs w:val="32"/>
        </w:rPr>
        <w:t>20</w:t>
      </w:r>
      <w:r>
        <w:rPr>
          <w:rFonts w:eastAsia="仿宋_GB2312"/>
          <w:sz w:val="32"/>
          <w:szCs w:val="32"/>
        </w:rPr>
        <w:t>分，得分率为</w:t>
      </w:r>
      <w:r>
        <w:rPr>
          <w:rFonts w:hint="eastAsia" w:eastAsia="仿宋_GB2312"/>
          <w:sz w:val="32"/>
          <w:szCs w:val="32"/>
        </w:rPr>
        <w:t>100</w:t>
      </w:r>
      <w:r>
        <w:rPr>
          <w:rFonts w:eastAsia="仿宋_GB2312"/>
          <w:sz w:val="32"/>
          <w:szCs w:val="32"/>
        </w:rPr>
        <w:t>%。具体效益指标及满意度指标完成情况如下：</w:t>
      </w:r>
    </w:p>
    <w:p>
      <w:pPr>
        <w:numPr>
          <w:ilvl w:val="0"/>
          <w:numId w:val="6"/>
        </w:numPr>
        <w:spacing w:line="600" w:lineRule="exact"/>
        <w:ind w:firstLine="640" w:firstLineChars="200"/>
        <w:outlineLvl w:val="0"/>
        <w:rPr>
          <w:rFonts w:eastAsia="仿宋_GB2312"/>
          <w:sz w:val="32"/>
          <w:szCs w:val="32"/>
        </w:rPr>
      </w:pPr>
      <w:r>
        <w:rPr>
          <w:rFonts w:eastAsia="仿宋_GB2312"/>
          <w:sz w:val="32"/>
          <w:szCs w:val="32"/>
        </w:rPr>
        <w:t>实施效益</w:t>
      </w:r>
    </w:p>
    <w:p>
      <w:pPr>
        <w:spacing w:line="600" w:lineRule="exact"/>
        <w:ind w:firstLine="640" w:firstLineChars="200"/>
        <w:outlineLvl w:val="0"/>
        <w:rPr>
          <w:rFonts w:eastAsia="仿宋_GB2312"/>
          <w:sz w:val="32"/>
          <w:szCs w:val="32"/>
        </w:rPr>
      </w:pPr>
      <w:r>
        <w:rPr>
          <w:rFonts w:eastAsia="仿宋_GB2312"/>
          <w:sz w:val="32"/>
          <w:szCs w:val="32"/>
        </w:rPr>
        <w:t>①社会效益指标：</w:t>
      </w:r>
    </w:p>
    <w:p>
      <w:pPr>
        <w:spacing w:line="600" w:lineRule="exact"/>
        <w:ind w:firstLine="640" w:firstLineChars="200"/>
        <w:outlineLvl w:val="0"/>
        <w:rPr>
          <w:rFonts w:eastAsia="仿宋_GB2312"/>
          <w:sz w:val="32"/>
          <w:szCs w:val="32"/>
        </w:rPr>
      </w:pPr>
      <w:r>
        <w:rPr>
          <w:rFonts w:eastAsia="仿宋_GB2312"/>
          <w:sz w:val="32"/>
          <w:szCs w:val="32"/>
        </w:rPr>
        <w:t>指标1：</w:t>
      </w:r>
      <w:r>
        <w:rPr>
          <w:rFonts w:hint="eastAsia" w:eastAsia="仿宋_GB2312"/>
          <w:sz w:val="32"/>
          <w:szCs w:val="32"/>
        </w:rPr>
        <w:t>提高学生的学习环境</w:t>
      </w:r>
      <w:r>
        <w:rPr>
          <w:rFonts w:eastAsia="仿宋_GB2312"/>
          <w:sz w:val="32"/>
          <w:szCs w:val="32"/>
        </w:rPr>
        <w:t>，指标值：</w:t>
      </w:r>
      <w:r>
        <w:rPr>
          <w:rFonts w:hint="eastAsia" w:eastAsia="仿宋_GB2312"/>
          <w:sz w:val="32"/>
          <w:szCs w:val="32"/>
        </w:rPr>
        <w:t>有效提高</w:t>
      </w:r>
      <w:r>
        <w:rPr>
          <w:rFonts w:eastAsia="仿宋_GB2312"/>
          <w:sz w:val="32"/>
          <w:szCs w:val="32"/>
        </w:rPr>
        <w:t>，实际完成值：</w:t>
      </w:r>
      <w:r>
        <w:rPr>
          <w:rFonts w:hint="eastAsia" w:eastAsia="仿宋_GB2312"/>
          <w:sz w:val="32"/>
          <w:szCs w:val="32"/>
        </w:rPr>
        <w:t>有效提高</w:t>
      </w:r>
      <w:r>
        <w:rPr>
          <w:rFonts w:eastAsia="仿宋_GB2312"/>
          <w:sz w:val="32"/>
          <w:szCs w:val="32"/>
        </w:rPr>
        <w:t>，指标完成率</w:t>
      </w:r>
      <w:r>
        <w:rPr>
          <w:rFonts w:hint="eastAsia" w:eastAsia="仿宋_GB2312"/>
          <w:sz w:val="32"/>
          <w:szCs w:val="32"/>
        </w:rPr>
        <w:t>100</w:t>
      </w:r>
      <w:r>
        <w:rPr>
          <w:rFonts w:eastAsia="仿宋_GB2312"/>
          <w:sz w:val="32"/>
          <w:szCs w:val="32"/>
        </w:rPr>
        <w:t xml:space="preserve"> %</w:t>
      </w:r>
      <w:r>
        <w:rPr>
          <w:rFonts w:hint="eastAsia" w:eastAsia="仿宋_GB2312"/>
          <w:sz w:val="32"/>
          <w:szCs w:val="32"/>
        </w:rPr>
        <w:t>，无</w:t>
      </w:r>
      <w:r>
        <w:rPr>
          <w:rFonts w:eastAsia="仿宋_GB2312"/>
          <w:sz w:val="32"/>
          <w:szCs w:val="32"/>
        </w:rPr>
        <w:t>偏差</w:t>
      </w:r>
      <w:r>
        <w:rPr>
          <w:rFonts w:hint="eastAsia" w:eastAsia="仿宋_GB2312"/>
          <w:sz w:val="32"/>
          <w:szCs w:val="32"/>
        </w:rPr>
        <w:t>。</w:t>
      </w:r>
    </w:p>
    <w:p>
      <w:pPr>
        <w:spacing w:line="600" w:lineRule="exact"/>
        <w:ind w:firstLine="640" w:firstLineChars="200"/>
        <w:outlineLvl w:val="0"/>
        <w:rPr>
          <w:rFonts w:eastAsia="仿宋_GB2312"/>
          <w:sz w:val="32"/>
          <w:szCs w:val="32"/>
        </w:rPr>
      </w:pPr>
      <w:r>
        <w:rPr>
          <w:rFonts w:eastAsia="仿宋_GB2312"/>
          <w:sz w:val="32"/>
          <w:szCs w:val="32"/>
        </w:rPr>
        <w:t>2.满意度</w:t>
      </w:r>
    </w:p>
    <w:p>
      <w:pPr>
        <w:spacing w:line="600" w:lineRule="exact"/>
        <w:ind w:firstLine="640" w:firstLineChars="200"/>
        <w:outlineLvl w:val="0"/>
        <w:rPr>
          <w:rFonts w:eastAsia="仿宋_GB2312"/>
          <w:sz w:val="32"/>
          <w:szCs w:val="32"/>
        </w:rPr>
      </w:pPr>
      <w:r>
        <w:rPr>
          <w:rFonts w:eastAsia="仿宋_GB2312"/>
          <w:sz w:val="32"/>
          <w:szCs w:val="32"/>
        </w:rPr>
        <w:t>①指标1：</w:t>
      </w:r>
      <w:r>
        <w:rPr>
          <w:rFonts w:hint="eastAsia" w:eastAsia="仿宋_GB2312"/>
          <w:sz w:val="32"/>
          <w:szCs w:val="32"/>
        </w:rPr>
        <w:t>学生满意度（%）</w:t>
      </w:r>
      <w:r>
        <w:rPr>
          <w:rFonts w:eastAsia="仿宋_GB2312"/>
          <w:sz w:val="32"/>
          <w:szCs w:val="32"/>
        </w:rPr>
        <w:t>，指标值：</w:t>
      </w:r>
      <w:r>
        <w:rPr>
          <w:rFonts w:hint="eastAsia" w:eastAsia="仿宋_GB2312"/>
          <w:sz w:val="32"/>
          <w:szCs w:val="32"/>
        </w:rPr>
        <w:t>&gt;=90%</w:t>
      </w:r>
      <w:r>
        <w:rPr>
          <w:rFonts w:eastAsia="仿宋_GB2312"/>
          <w:sz w:val="32"/>
          <w:szCs w:val="32"/>
        </w:rPr>
        <w:t xml:space="preserve"> ，实际完成值：</w:t>
      </w:r>
      <w:r>
        <w:rPr>
          <w:rFonts w:hint="eastAsia" w:eastAsia="仿宋_GB2312"/>
          <w:sz w:val="32"/>
          <w:szCs w:val="32"/>
        </w:rPr>
        <w:t>90%</w:t>
      </w:r>
      <w:r>
        <w:rPr>
          <w:rFonts w:eastAsia="仿宋_GB2312"/>
          <w:sz w:val="32"/>
          <w:szCs w:val="32"/>
        </w:rPr>
        <w:t>，指标完成率</w:t>
      </w:r>
      <w:r>
        <w:rPr>
          <w:rFonts w:hint="eastAsia" w:eastAsia="仿宋_GB2312"/>
          <w:sz w:val="32"/>
          <w:szCs w:val="32"/>
        </w:rPr>
        <w:t>100</w:t>
      </w:r>
      <w:r>
        <w:rPr>
          <w:rFonts w:eastAsia="仿宋_GB2312"/>
          <w:sz w:val="32"/>
          <w:szCs w:val="32"/>
        </w:rPr>
        <w:t xml:space="preserve"> %，</w:t>
      </w:r>
      <w:r>
        <w:rPr>
          <w:rFonts w:hint="eastAsia" w:eastAsia="仿宋_GB2312"/>
          <w:sz w:val="32"/>
          <w:szCs w:val="32"/>
        </w:rPr>
        <w:t>无</w:t>
      </w:r>
      <w:r>
        <w:rPr>
          <w:rFonts w:eastAsia="仿宋_GB2312"/>
          <w:sz w:val="32"/>
          <w:szCs w:val="32"/>
        </w:rPr>
        <w:t>偏差</w:t>
      </w:r>
      <w:r>
        <w:rPr>
          <w:rFonts w:hint="eastAsia" w:eastAsia="仿宋_GB2312"/>
          <w:sz w:val="32"/>
          <w:szCs w:val="32"/>
        </w:rPr>
        <w:t>。</w:t>
      </w:r>
    </w:p>
    <w:p>
      <w:pPr>
        <w:spacing w:line="600" w:lineRule="exact"/>
        <w:ind w:firstLine="640" w:firstLineChars="200"/>
        <w:outlineLvl w:val="0"/>
        <w:rPr>
          <w:rFonts w:eastAsia="仿宋_GB2312"/>
          <w:sz w:val="32"/>
          <w:szCs w:val="32"/>
        </w:rPr>
      </w:pPr>
      <w:r>
        <w:rPr>
          <w:rFonts w:eastAsia="仿宋_GB2312"/>
          <w:sz w:val="32"/>
          <w:szCs w:val="32"/>
        </w:rPr>
        <w:t>指标</w:t>
      </w:r>
      <w:r>
        <w:rPr>
          <w:rFonts w:hint="eastAsia" w:eastAsia="仿宋_GB2312"/>
          <w:sz w:val="32"/>
          <w:szCs w:val="32"/>
        </w:rPr>
        <w:t>2</w:t>
      </w:r>
      <w:r>
        <w:rPr>
          <w:rFonts w:eastAsia="仿宋_GB2312"/>
          <w:sz w:val="32"/>
          <w:szCs w:val="32"/>
        </w:rPr>
        <w:t>：</w:t>
      </w:r>
      <w:r>
        <w:rPr>
          <w:rFonts w:hint="eastAsia" w:eastAsia="仿宋_GB2312"/>
          <w:sz w:val="32"/>
          <w:szCs w:val="32"/>
        </w:rPr>
        <w:t>家长满意率（%）</w:t>
      </w:r>
      <w:r>
        <w:rPr>
          <w:rFonts w:eastAsia="仿宋_GB2312"/>
          <w:sz w:val="32"/>
          <w:szCs w:val="32"/>
        </w:rPr>
        <w:t>，指标值：</w:t>
      </w:r>
      <w:r>
        <w:rPr>
          <w:rFonts w:hint="eastAsia" w:eastAsia="仿宋_GB2312"/>
          <w:sz w:val="32"/>
          <w:szCs w:val="32"/>
        </w:rPr>
        <w:t>&gt;=90%</w:t>
      </w:r>
      <w:r>
        <w:rPr>
          <w:rFonts w:eastAsia="仿宋_GB2312"/>
          <w:sz w:val="32"/>
          <w:szCs w:val="32"/>
        </w:rPr>
        <w:t xml:space="preserve"> ，实际完成值：</w:t>
      </w:r>
      <w:r>
        <w:rPr>
          <w:rFonts w:hint="eastAsia" w:eastAsia="仿宋_GB2312"/>
          <w:sz w:val="32"/>
          <w:szCs w:val="32"/>
        </w:rPr>
        <w:t>90%</w:t>
      </w:r>
      <w:r>
        <w:rPr>
          <w:rFonts w:eastAsia="仿宋_GB2312"/>
          <w:sz w:val="32"/>
          <w:szCs w:val="32"/>
        </w:rPr>
        <w:t>，指标完成率</w:t>
      </w:r>
      <w:r>
        <w:rPr>
          <w:rFonts w:hint="eastAsia" w:eastAsia="仿宋_GB2312"/>
          <w:sz w:val="32"/>
          <w:szCs w:val="32"/>
        </w:rPr>
        <w:t>100</w:t>
      </w:r>
      <w:r>
        <w:rPr>
          <w:rFonts w:eastAsia="仿宋_GB2312"/>
          <w:sz w:val="32"/>
          <w:szCs w:val="32"/>
        </w:rPr>
        <w:t xml:space="preserve"> %，</w:t>
      </w:r>
      <w:r>
        <w:rPr>
          <w:rFonts w:hint="eastAsia" w:eastAsia="仿宋_GB2312"/>
          <w:sz w:val="32"/>
          <w:szCs w:val="32"/>
        </w:rPr>
        <w:t>无</w:t>
      </w:r>
      <w:r>
        <w:rPr>
          <w:rFonts w:eastAsia="仿宋_GB2312"/>
          <w:sz w:val="32"/>
          <w:szCs w:val="32"/>
        </w:rPr>
        <w:t>偏差</w:t>
      </w:r>
      <w:r>
        <w:rPr>
          <w:rFonts w:hint="eastAsia" w:eastAsia="仿宋_GB2312"/>
          <w:sz w:val="32"/>
          <w:szCs w:val="32"/>
        </w:rPr>
        <w:t>。</w:t>
      </w:r>
    </w:p>
    <w:p>
      <w:pPr>
        <w:spacing w:line="560" w:lineRule="exact"/>
        <w:ind w:firstLine="643" w:firstLineChars="200"/>
        <w:rPr>
          <w:rFonts w:eastAsia="楷体_GB2312"/>
          <w:b/>
          <w:bCs/>
          <w:sz w:val="32"/>
          <w:szCs w:val="32"/>
          <w:lang w:eastAsia="zh-Hans"/>
        </w:rPr>
      </w:pPr>
      <w:r>
        <w:rPr>
          <w:rFonts w:eastAsia="楷体_GB2312"/>
          <w:b/>
          <w:bCs/>
          <w:sz w:val="32"/>
          <w:szCs w:val="32"/>
        </w:rPr>
        <w:t>（五）</w:t>
      </w:r>
      <w:r>
        <w:rPr>
          <w:rFonts w:eastAsia="楷体_GB2312"/>
          <w:b/>
          <w:bCs/>
          <w:sz w:val="32"/>
          <w:szCs w:val="32"/>
          <w:lang w:eastAsia="zh-Hans"/>
        </w:rPr>
        <w:t>预算执行进度与绩效指标总体完成率偏差</w:t>
      </w:r>
    </w:p>
    <w:p>
      <w:pPr>
        <w:spacing w:line="600" w:lineRule="exact"/>
        <w:ind w:firstLine="640" w:firstLineChars="200"/>
        <w:outlineLvl w:val="0"/>
        <w:rPr>
          <w:rFonts w:eastAsia="方正仿宋_GBK"/>
          <w:sz w:val="32"/>
          <w:szCs w:val="32"/>
        </w:rPr>
      </w:pPr>
      <w:r>
        <w:rPr>
          <w:rFonts w:hint="eastAsia" w:eastAsia="仿宋_GB2312"/>
          <w:sz w:val="32"/>
          <w:szCs w:val="32"/>
        </w:rPr>
        <w:t>昌州财教【2023】90号《关于提前下达2024年城乡义务教育补助经费预算[中央直达资金]的通知》，-小学公用经费，</w:t>
      </w:r>
      <w:r>
        <w:rPr>
          <w:rFonts w:eastAsia="仿宋_GB2312"/>
          <w:sz w:val="32"/>
          <w:szCs w:val="32"/>
        </w:rPr>
        <w:t>年初预算</w:t>
      </w:r>
      <w:r>
        <w:rPr>
          <w:rFonts w:hint="eastAsia" w:eastAsia="仿宋_GB2312"/>
          <w:sz w:val="32"/>
          <w:szCs w:val="32"/>
        </w:rPr>
        <w:t>93.99</w:t>
      </w:r>
      <w:r>
        <w:rPr>
          <w:rFonts w:eastAsia="仿宋_GB2312"/>
          <w:sz w:val="32"/>
          <w:szCs w:val="32"/>
        </w:rPr>
        <w:t>万元，全年预算</w:t>
      </w:r>
      <w:r>
        <w:rPr>
          <w:rFonts w:hint="eastAsia" w:eastAsia="仿宋_GB2312"/>
          <w:sz w:val="32"/>
          <w:szCs w:val="32"/>
        </w:rPr>
        <w:t>80.61</w:t>
      </w:r>
      <w:r>
        <w:rPr>
          <w:rFonts w:eastAsia="仿宋_GB2312"/>
          <w:sz w:val="32"/>
          <w:szCs w:val="32"/>
        </w:rPr>
        <w:t>万元，实际支出</w:t>
      </w:r>
      <w:r>
        <w:rPr>
          <w:rFonts w:hint="eastAsia" w:eastAsia="仿宋_GB2312"/>
          <w:sz w:val="32"/>
          <w:szCs w:val="32"/>
        </w:rPr>
        <w:t>80.61</w:t>
      </w:r>
      <w:r>
        <w:rPr>
          <w:rFonts w:eastAsia="仿宋_GB2312"/>
          <w:sz w:val="32"/>
          <w:szCs w:val="32"/>
        </w:rPr>
        <w:t>万元，预算执行率为</w:t>
      </w:r>
      <w:r>
        <w:rPr>
          <w:rFonts w:hint="eastAsia" w:eastAsia="仿宋_GB2312"/>
          <w:sz w:val="32"/>
          <w:szCs w:val="32"/>
        </w:rPr>
        <w:t>100</w:t>
      </w:r>
      <w:r>
        <w:rPr>
          <w:rFonts w:eastAsia="仿宋_GB2312"/>
          <w:sz w:val="32"/>
          <w:szCs w:val="32"/>
        </w:rPr>
        <w:t>%，项目绩效指标总体完成率为</w:t>
      </w:r>
      <w:r>
        <w:rPr>
          <w:rFonts w:hint="eastAsia" w:eastAsia="仿宋_GB2312"/>
          <w:sz w:val="32"/>
          <w:szCs w:val="32"/>
        </w:rPr>
        <w:t>100</w:t>
      </w:r>
      <w:r>
        <w:rPr>
          <w:rFonts w:eastAsia="仿宋_GB2312"/>
          <w:sz w:val="32"/>
          <w:szCs w:val="32"/>
        </w:rPr>
        <w:t>%，</w:t>
      </w:r>
      <w:r>
        <w:rPr>
          <w:rFonts w:eastAsia="仿宋_GB2312"/>
          <w:sz w:val="32"/>
          <w:szCs w:val="32"/>
          <w:lang w:eastAsia="zh-Hans"/>
        </w:rPr>
        <w:t>总体</w:t>
      </w:r>
      <w:r>
        <w:rPr>
          <w:rFonts w:eastAsia="仿宋_GB2312"/>
          <w:sz w:val="32"/>
          <w:szCs w:val="32"/>
        </w:rPr>
        <w:t>偏差率为</w:t>
      </w:r>
      <w:r>
        <w:rPr>
          <w:rFonts w:hint="eastAsia" w:eastAsia="仿宋_GB2312"/>
          <w:sz w:val="32"/>
          <w:szCs w:val="32"/>
        </w:rPr>
        <w:t>0</w:t>
      </w:r>
      <w:r>
        <w:rPr>
          <w:rFonts w:eastAsia="仿宋_GB2312"/>
          <w:sz w:val="32"/>
          <w:szCs w:val="32"/>
        </w:rPr>
        <w:t>%。</w:t>
      </w:r>
    </w:p>
    <w:p>
      <w:pPr>
        <w:spacing w:line="560" w:lineRule="exact"/>
        <w:ind w:firstLine="640" w:firstLineChars="200"/>
        <w:rPr>
          <w:rStyle w:val="18"/>
          <w:rFonts w:ascii="Times New Roman" w:hAnsi="Times New Roman" w:cs="Times New Roman"/>
          <w:color w:val="auto"/>
        </w:rPr>
      </w:pPr>
      <w:r>
        <w:rPr>
          <w:rFonts w:hint="eastAsia" w:eastAsia="黑体"/>
          <w:sz w:val="32"/>
          <w:szCs w:val="32"/>
        </w:rPr>
        <w:t>五、</w:t>
      </w:r>
      <w:r>
        <w:rPr>
          <w:rFonts w:eastAsia="黑体"/>
          <w:sz w:val="32"/>
          <w:szCs w:val="32"/>
        </w:rPr>
        <w:t>主要经验及做法、存在的问题及原因分析</w:t>
      </w:r>
    </w:p>
    <w:p>
      <w:pPr>
        <w:spacing w:line="560" w:lineRule="exact"/>
        <w:ind w:firstLine="627" w:firstLineChars="200"/>
        <w:rPr>
          <w:rFonts w:eastAsia="楷体"/>
          <w:b/>
          <w:spacing w:val="-4"/>
          <w:sz w:val="32"/>
          <w:szCs w:val="32"/>
        </w:rPr>
      </w:pPr>
      <w:r>
        <w:rPr>
          <w:rFonts w:eastAsia="楷体"/>
          <w:b/>
          <w:spacing w:val="-4"/>
          <w:sz w:val="32"/>
          <w:szCs w:val="32"/>
        </w:rPr>
        <w:t>（一）主要经验及做法</w:t>
      </w:r>
    </w:p>
    <w:p>
      <w:pP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在学校公用经费的管理上，我们采取了一系列有效的措施以确保资金的合理使用和高效运转。首先，我们建立了严格的预算制度，每年根据学校的实际需求和财务状况制定详细的经费预算，并严格按照预算执行，避免了资金的浪费和滥用。其次，我们加强了经费使用的透明度，所有经费支出都经过严格的审批程序，并定期向教职工公开经费使用情况，增强了教职工对经费管理的信任感。此外，我们还注重经费使用的效益评估，对每项经费支出都进行认真的效益分析，确保每一分钱都用在刀刃上，为学校的发展提供了有力的财务保障。</w:t>
      </w:r>
    </w:p>
    <w:p>
      <w:pPr>
        <w:spacing w:line="560" w:lineRule="exact"/>
        <w:ind w:firstLine="627" w:firstLineChars="200"/>
        <w:rPr>
          <w:rFonts w:hint="eastAsia" w:ascii="Times New Roman" w:hAnsi="Times New Roman" w:eastAsia="楷体" w:cs="Times New Roman"/>
          <w:b/>
          <w:color w:val="auto"/>
          <w:spacing w:val="-4"/>
          <w:sz w:val="32"/>
          <w:szCs w:val="32"/>
          <w:highlight w:val="none"/>
          <w:lang w:val="en-US" w:eastAsia="zh-CN"/>
        </w:rPr>
      </w:pPr>
      <w:r>
        <w:rPr>
          <w:rFonts w:hint="eastAsia" w:ascii="Times New Roman" w:hAnsi="Times New Roman" w:eastAsia="楷体" w:cs="Times New Roman"/>
          <w:b/>
          <w:color w:val="auto"/>
          <w:spacing w:val="-4"/>
          <w:sz w:val="32"/>
          <w:szCs w:val="32"/>
          <w:highlight w:val="none"/>
          <w:rPrChange w:id="0" w:author="" w:date="2025-05-07T13:06:37Z">
            <w:rPr>
              <w:rFonts w:hint="default" w:ascii="Times New Roman" w:hAnsi="Times New Roman" w:eastAsia="楷体" w:cs="Times New Roman"/>
              <w:b/>
              <w:color w:val="auto"/>
              <w:spacing w:val="-4"/>
              <w:sz w:val="32"/>
              <w:szCs w:val="32"/>
              <w:highlight w:val="none"/>
            </w:rPr>
          </w:rPrChange>
        </w:rPr>
        <w:t>（</w:t>
      </w:r>
      <w:r>
        <w:rPr>
          <w:rFonts w:hint="default" w:ascii="Times New Roman" w:hAnsi="Times New Roman" w:eastAsia="楷体" w:cs="Times New Roman"/>
          <w:b/>
          <w:color w:val="auto"/>
          <w:spacing w:val="-4"/>
          <w:sz w:val="32"/>
          <w:szCs w:val="32"/>
          <w:highlight w:val="none"/>
          <w:lang w:val="en-US" w:eastAsia="zh-CN"/>
          <w:rPrChange w:id="1" w:author="" w:date="2025-05-07T13:06:37Z">
            <w:rPr>
              <w:rFonts w:hint="eastAsia" w:ascii="Times New Roman" w:hAnsi="Times New Roman" w:eastAsia="楷体" w:cs="Times New Roman"/>
              <w:b/>
              <w:color w:val="auto"/>
              <w:spacing w:val="-4"/>
              <w:sz w:val="32"/>
              <w:szCs w:val="32"/>
              <w:highlight w:val="none"/>
              <w:lang w:val="en-US" w:eastAsia="zh-CN"/>
            </w:rPr>
          </w:rPrChange>
        </w:rPr>
        <w:t>二</w:t>
      </w:r>
      <w:r>
        <w:rPr>
          <w:rFonts w:hint="eastAsia" w:ascii="Times New Roman" w:hAnsi="Times New Roman" w:eastAsia="楷体" w:cs="Times New Roman"/>
          <w:b/>
          <w:color w:val="auto"/>
          <w:spacing w:val="-4"/>
          <w:sz w:val="32"/>
          <w:szCs w:val="32"/>
          <w:highlight w:val="none"/>
          <w:rPrChange w:id="2" w:author="" w:date="2025-05-07T13:06:37Z">
            <w:rPr>
              <w:rFonts w:hint="default" w:ascii="Times New Roman" w:hAnsi="Times New Roman" w:eastAsia="楷体" w:cs="Times New Roman"/>
              <w:b/>
              <w:color w:val="auto"/>
              <w:spacing w:val="-4"/>
              <w:sz w:val="32"/>
              <w:szCs w:val="32"/>
              <w:highlight w:val="none"/>
            </w:rPr>
          </w:rPrChange>
        </w:rPr>
        <w:t>）</w:t>
      </w:r>
      <w:r>
        <w:rPr>
          <w:rFonts w:hint="eastAsia" w:ascii="Times New Roman" w:hAnsi="Times New Roman" w:eastAsia="楷体" w:cs="Times New Roman"/>
          <w:b/>
          <w:bCs w:val="0"/>
          <w:color w:val="auto"/>
          <w:spacing w:val="-4"/>
          <w:sz w:val="32"/>
          <w:szCs w:val="32"/>
          <w:highlight w:val="none"/>
        </w:rPr>
        <w:t>存在的问题及原因分析</w:t>
      </w:r>
    </w:p>
    <w:p>
      <w:pPr>
        <w:spacing w:line="560" w:lineRule="exact"/>
        <w:ind w:firstLine="640" w:firstLineChars="200"/>
        <w:rPr>
          <w:rFonts w:hint="eastAsia"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相关绩效管理方面专业知识的系统性学习有待加强。</w:t>
      </w:r>
      <w:r>
        <w:rPr>
          <w:rFonts w:hint="eastAsia" w:ascii="Times New Roman" w:hAnsi="Times New Roman" w:eastAsia="仿宋_GB2312" w:cs="Times New Roman"/>
          <w:color w:val="auto"/>
          <w:sz w:val="32"/>
          <w:szCs w:val="32"/>
          <w:highlight w:val="none"/>
          <w:lang w:val="en-US" w:eastAsia="zh-CN"/>
        </w:rPr>
        <w:t>然而，尽管我们取得了上述成绩，在学校公用经费的管理上仍存在一些不容忽视的问题。一方面，预算制定和执行过程中存在一定的灵活性不足，有时难以完全适应学校突发事件的资金需求，导致部分紧急项目因资金问题而延误。另一方面，经费使用的审批流程虽然严格，但在实际操作中，有时会出现审批周期过长的情况，影响了教学工作的正常进行。针对这些问题，我们需要深入分析原因，寻找改进措施。预算灵活性不足的问题，可能与我们对学校未来需求的预测不够准确有关，需要加强市场调研和需求分析。而审批流程过长的问题，则可能与各部门之间的沟通不畅、信息传递不及时有关，需要加强内部协调和信息化建设。</w:t>
      </w:r>
    </w:p>
    <w:p>
      <w:pPr>
        <w:spacing w:line="560" w:lineRule="exact"/>
        <w:ind w:firstLine="640" w:firstLineChars="200"/>
        <w:rPr>
          <w:rFonts w:hint="default" w:ascii="Times New Roman" w:hAnsi="Times New Roman" w:eastAsia="黑体" w:cs="Times New Roman"/>
          <w:color w:val="auto"/>
          <w:sz w:val="32"/>
          <w:szCs w:val="32"/>
          <w:highlight w:val="none"/>
        </w:rPr>
      </w:pPr>
      <w:r>
        <w:rPr>
          <w:rFonts w:hint="eastAsia" w:eastAsia="黑体" w:cs="Times New Roman"/>
          <w:color w:val="auto"/>
          <w:sz w:val="32"/>
          <w:szCs w:val="32"/>
          <w:highlight w:val="none"/>
          <w:lang w:val="en-US" w:eastAsia="zh-CN"/>
        </w:rPr>
        <w:t>六、</w:t>
      </w:r>
      <w:r>
        <w:rPr>
          <w:rFonts w:hint="default" w:ascii="Times New Roman" w:hAnsi="Times New Roman" w:eastAsia="黑体" w:cs="Times New Roman"/>
          <w:color w:val="auto"/>
          <w:sz w:val="32"/>
          <w:szCs w:val="32"/>
          <w:highlight w:val="none"/>
        </w:rPr>
        <w:t>有关建议</w:t>
      </w:r>
    </w:p>
    <w:p>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关于学校公用经费的有关建议</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1.多进行有关绩效管理工作方面的培训。积极组织第三方开展绩效管理工作培训，进一步夯实业务基础，提高我单位绩效人员水平。</w:t>
      </w:r>
    </w:p>
    <w:p>
      <w:pPr>
        <w:spacing w:line="560" w:lineRule="exact"/>
        <w:ind w:firstLine="640" w:firstLineChars="20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2.建立健全绩效评价体系。制定科学、合理的绩效评价标准和流程，确保评价结果的客观性和公正性，为学校公用经费的合理使用提供有力保障。</w:t>
      </w:r>
    </w:p>
    <w:p>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 xml:space="preserve"> 3.强化经费监管力度。建立健全经费监管机制，加强对学校公用经费使用的监督和检查，确保经费使用的合规性和效益性。</w:t>
      </w:r>
    </w:p>
    <w:p>
      <w:pPr>
        <w:shd w:val="clear" w:color="000000" w:fill="auto"/>
        <w:spacing w:line="600" w:lineRule="exact"/>
        <w:ind w:firstLine="640" w:firstLineChars="200"/>
        <w:outlineLvl w:val="0"/>
        <w:rPr>
          <w:rFonts w:hint="default" w:ascii="Times New Roman" w:hAnsi="Times New Roman" w:cs="Times New Roman"/>
          <w:color w:val="auto"/>
          <w:sz w:val="22"/>
          <w:szCs w:val="28"/>
          <w:highlight w:val="none"/>
        </w:rPr>
      </w:pPr>
      <w:r>
        <w:rPr>
          <w:rFonts w:hint="default" w:ascii="Times New Roman" w:hAnsi="Times New Roman" w:eastAsia="仿宋_GB2312" w:cs="Times New Roman"/>
          <w:color w:val="auto"/>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color w:val="auto"/>
          <w:sz w:val="36"/>
          <w:szCs w:val="32"/>
          <w:highlight w:val="none"/>
        </w:rPr>
        <w:t>。</w:t>
      </w:r>
    </w:p>
    <w:p>
      <w:pPr>
        <w:spacing w:line="560" w:lineRule="exact"/>
        <w:ind w:firstLine="640" w:firstLineChars="200"/>
        <w:rPr>
          <w:rFonts w:eastAsia="黑体"/>
          <w:sz w:val="32"/>
          <w:szCs w:val="32"/>
        </w:rPr>
      </w:pPr>
      <w:r>
        <w:rPr>
          <w:rFonts w:hint="eastAsia" w:eastAsia="黑体"/>
          <w:sz w:val="32"/>
          <w:szCs w:val="32"/>
        </w:rPr>
        <w:t>七、</w:t>
      </w:r>
      <w:r>
        <w:rPr>
          <w:rFonts w:eastAsia="黑体"/>
          <w:sz w:val="32"/>
          <w:szCs w:val="32"/>
        </w:rPr>
        <w:t>其他需要说</w:t>
      </w:r>
      <w:bookmarkStart w:id="0" w:name="page8"/>
      <w:bookmarkEnd w:id="0"/>
      <w:r>
        <w:rPr>
          <w:rFonts w:eastAsia="黑体"/>
          <w:sz w:val="32"/>
          <w:szCs w:val="32"/>
        </w:rPr>
        <w:t>明的问题</w:t>
      </w:r>
    </w:p>
    <w:p>
      <w:pPr>
        <w:pStyle w:val="13"/>
        <w:spacing w:after="0" w:line="560" w:lineRule="exact"/>
        <w:ind w:left="0" w:leftChars="0" w:firstLine="640"/>
        <w:rPr>
          <w:rFonts w:ascii="Times New Roman" w:hAnsi="Times New Roman" w:eastAsia="仿宋_GB2312"/>
          <w:sz w:val="32"/>
          <w:szCs w:val="32"/>
          <w:lang w:eastAsia="zh-Hans"/>
        </w:rPr>
      </w:pPr>
      <w:r>
        <w:rPr>
          <w:rFonts w:ascii="Times New Roman" w:hAnsi="Times New Roman" w:eastAsia="仿宋_GB2312"/>
          <w:sz w:val="32"/>
          <w:szCs w:val="32"/>
          <w:lang w:eastAsia="zh-Hans"/>
        </w:rPr>
        <w:t>本项目无其他需说明的问题。</w:t>
      </w:r>
    </w:p>
    <w:p>
      <w:pPr>
        <w:spacing w:line="600" w:lineRule="exact"/>
        <w:rPr>
          <w:rFonts w:eastAsia="黑体"/>
          <w:sz w:val="32"/>
          <w:szCs w:val="32"/>
        </w:rPr>
        <w:sectPr>
          <w:footerReference r:id="rId3" w:type="default"/>
          <w:pgSz w:w="11906" w:h="16838"/>
          <w:pgMar w:top="1440" w:right="1558" w:bottom="1440" w:left="1800" w:header="851" w:footer="992" w:gutter="0"/>
          <w:pgNumType w:start="1"/>
          <w:cols w:space="425" w:num="1"/>
          <w:docGrid w:type="lines" w:linePitch="312" w:charSpace="0"/>
        </w:sectPr>
      </w:pPr>
    </w:p>
    <w:p>
      <w:pPr>
        <w:spacing w:line="600" w:lineRule="exact"/>
        <w:rPr>
          <w:rFonts w:eastAsia="黑体"/>
          <w:sz w:val="32"/>
          <w:szCs w:val="32"/>
        </w:rPr>
      </w:pPr>
      <w:r>
        <w:rPr>
          <w:rFonts w:hint="eastAsia" w:eastAsia="黑体"/>
          <w:sz w:val="32"/>
          <w:szCs w:val="32"/>
        </w:rPr>
        <w:t>附件1</w:t>
      </w:r>
    </w:p>
    <w:p>
      <w:pPr>
        <w:pStyle w:val="19"/>
        <w:ind w:firstLine="562"/>
        <w:jc w:val="center"/>
        <w:rPr>
          <w:rFonts w:ascii="仿宋_GB2312" w:hAnsi="仿宋_GB2312" w:eastAsia="仿宋_GB2312" w:cs="仿宋_GB2312"/>
          <w:sz w:val="28"/>
          <w:szCs w:val="40"/>
        </w:rPr>
      </w:pPr>
      <w:bookmarkStart w:id="1" w:name="_Toc30064_WPSOffice_Level1"/>
      <w:bookmarkStart w:id="2" w:name="_Toc26499_WPSOffice_Level2"/>
      <w:r>
        <w:rPr>
          <w:rFonts w:hint="eastAsia" w:ascii="仿宋_GB2312" w:hAnsi="仿宋_GB2312" w:eastAsia="仿宋_GB2312" w:cs="仿宋_GB2312"/>
          <w:b/>
          <w:bCs/>
          <w:sz w:val="28"/>
          <w:szCs w:val="40"/>
        </w:rPr>
        <w:t>2024年城乡义务教育补助经费-小学公用经费项目绩效评价指标体系及综合评分表</w:t>
      </w:r>
      <w:bookmarkEnd w:id="1"/>
      <w:bookmarkEnd w:id="2"/>
    </w:p>
    <w:tbl>
      <w:tblPr>
        <w:tblStyle w:val="14"/>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1"/>
        <w:gridCol w:w="1000"/>
        <w:gridCol w:w="1071"/>
        <w:gridCol w:w="1724"/>
        <w:gridCol w:w="5219"/>
        <w:gridCol w:w="1304"/>
        <w:gridCol w:w="136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52" w:hRule="atLeast"/>
          <w:tblHeader/>
          <w:jc w:val="center"/>
        </w:trPr>
        <w:tc>
          <w:tcPr>
            <w:tcW w:w="1001" w:type="dxa"/>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一级指标</w:t>
            </w:r>
          </w:p>
        </w:tc>
        <w:tc>
          <w:tcPr>
            <w:tcW w:w="1000" w:type="dxa"/>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二级指标</w:t>
            </w:r>
          </w:p>
        </w:tc>
        <w:tc>
          <w:tcPr>
            <w:tcW w:w="1071" w:type="dxa"/>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三级指标</w:t>
            </w:r>
          </w:p>
        </w:tc>
        <w:tc>
          <w:tcPr>
            <w:tcW w:w="1724" w:type="dxa"/>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指标解释</w:t>
            </w:r>
          </w:p>
        </w:tc>
        <w:tc>
          <w:tcPr>
            <w:tcW w:w="5219" w:type="dxa"/>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指标说明</w:t>
            </w:r>
          </w:p>
        </w:tc>
        <w:tc>
          <w:tcPr>
            <w:tcW w:w="1304" w:type="dxa"/>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权重</w:t>
            </w:r>
          </w:p>
        </w:tc>
        <w:tc>
          <w:tcPr>
            <w:tcW w:w="1364" w:type="dxa"/>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1001" w:type="dxa"/>
            <w:vMerge w:val="restart"/>
            <w:shd w:val="clear" w:color="auto" w:fill="FFFFFF"/>
            <w:vAlign w:val="center"/>
          </w:tcPr>
          <w:p>
            <w:pPr>
              <w:widowControl/>
              <w:spacing w:line="0" w:lineRule="atLeast"/>
              <w:jc w:val="center"/>
              <w:rPr>
                <w:rFonts w:eastAsia="仿宋_GB2312"/>
                <w:kern w:val="0"/>
                <w:sz w:val="18"/>
                <w:szCs w:val="18"/>
              </w:rPr>
            </w:pPr>
          </w:p>
          <w:p>
            <w:pPr>
              <w:widowControl/>
              <w:spacing w:line="0" w:lineRule="atLeast"/>
              <w:jc w:val="center"/>
              <w:rPr>
                <w:rFonts w:eastAsia="仿宋_GB2312"/>
                <w:kern w:val="0"/>
                <w:sz w:val="18"/>
                <w:szCs w:val="18"/>
              </w:rPr>
            </w:pPr>
          </w:p>
          <w:p>
            <w:pPr>
              <w:widowControl/>
              <w:spacing w:line="0" w:lineRule="atLeast"/>
              <w:jc w:val="center"/>
              <w:rPr>
                <w:rFonts w:eastAsia="仿宋_GB2312"/>
                <w:kern w:val="0"/>
                <w:sz w:val="18"/>
                <w:szCs w:val="18"/>
              </w:rPr>
            </w:pPr>
          </w:p>
          <w:p>
            <w:pPr>
              <w:widowControl/>
              <w:spacing w:line="0" w:lineRule="atLeast"/>
              <w:jc w:val="center"/>
              <w:rPr>
                <w:rFonts w:eastAsia="仿宋_GB2312"/>
                <w:kern w:val="0"/>
                <w:sz w:val="18"/>
                <w:szCs w:val="18"/>
              </w:rPr>
            </w:pPr>
          </w:p>
          <w:p>
            <w:pPr>
              <w:widowControl/>
              <w:spacing w:line="0" w:lineRule="atLeast"/>
              <w:jc w:val="center"/>
              <w:rPr>
                <w:rFonts w:eastAsia="仿宋_GB2312"/>
                <w:kern w:val="0"/>
                <w:sz w:val="18"/>
                <w:szCs w:val="18"/>
              </w:rPr>
            </w:pPr>
          </w:p>
          <w:p>
            <w:pPr>
              <w:widowControl/>
              <w:spacing w:line="0" w:lineRule="atLeast"/>
              <w:jc w:val="center"/>
              <w:rPr>
                <w:rFonts w:eastAsia="仿宋_GB2312"/>
                <w:kern w:val="0"/>
                <w:sz w:val="18"/>
                <w:szCs w:val="18"/>
              </w:rPr>
            </w:pPr>
          </w:p>
          <w:p>
            <w:pPr>
              <w:widowControl/>
              <w:spacing w:line="0" w:lineRule="atLeast"/>
              <w:jc w:val="center"/>
              <w:rPr>
                <w:rFonts w:eastAsia="仿宋_GB2312"/>
                <w:kern w:val="0"/>
                <w:sz w:val="18"/>
                <w:szCs w:val="18"/>
              </w:rPr>
            </w:pPr>
            <w:r>
              <w:rPr>
                <w:rFonts w:eastAsia="仿宋_GB2312"/>
                <w:kern w:val="0"/>
                <w:sz w:val="18"/>
                <w:szCs w:val="18"/>
              </w:rPr>
              <w:t>决策　</w:t>
            </w:r>
          </w:p>
        </w:tc>
        <w:tc>
          <w:tcPr>
            <w:tcW w:w="1000" w:type="dxa"/>
            <w:vMerge w:val="restar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项目立项　</w:t>
            </w:r>
          </w:p>
        </w:tc>
        <w:tc>
          <w:tcPr>
            <w:tcW w:w="1071" w:type="dxa"/>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立项依据</w:t>
            </w:r>
          </w:p>
          <w:p>
            <w:pPr>
              <w:widowControl/>
              <w:spacing w:line="0" w:lineRule="atLeast"/>
              <w:jc w:val="center"/>
              <w:rPr>
                <w:rFonts w:eastAsia="仿宋_GB2312"/>
                <w:kern w:val="0"/>
                <w:sz w:val="18"/>
                <w:szCs w:val="18"/>
              </w:rPr>
            </w:pPr>
            <w:r>
              <w:rPr>
                <w:rFonts w:eastAsia="仿宋_GB2312"/>
                <w:kern w:val="0"/>
                <w:sz w:val="18"/>
                <w:szCs w:val="18"/>
              </w:rPr>
              <w:t>充分性</w:t>
            </w:r>
          </w:p>
        </w:tc>
        <w:tc>
          <w:tcPr>
            <w:tcW w:w="1724" w:type="dxa"/>
            <w:shd w:val="clear" w:color="auto" w:fill="FFFFFF"/>
            <w:vAlign w:val="center"/>
          </w:tcPr>
          <w:p>
            <w:pPr>
              <w:widowControl/>
              <w:spacing w:line="0" w:lineRule="atLeast"/>
              <w:rPr>
                <w:rFonts w:eastAsia="仿宋_GB2312"/>
                <w:kern w:val="0"/>
                <w:sz w:val="18"/>
                <w:szCs w:val="18"/>
              </w:rPr>
            </w:pPr>
            <w:r>
              <w:rPr>
                <w:rFonts w:eastAsia="仿宋_GB2312"/>
                <w:kern w:val="0"/>
                <w:sz w:val="18"/>
                <w:szCs w:val="18"/>
              </w:rPr>
              <w:t>项目立项是否符合法律法规、相关政策、发展规划以及部门职责，用以反映和考核项目立项依据情况。</w:t>
            </w:r>
          </w:p>
        </w:tc>
        <w:tc>
          <w:tcPr>
            <w:tcW w:w="5219" w:type="dxa"/>
            <w:shd w:val="clear" w:color="auto" w:fill="FFFFFF"/>
            <w:vAlign w:val="center"/>
          </w:tcPr>
          <w:p>
            <w:pPr>
              <w:widowControl/>
              <w:spacing w:line="0" w:lineRule="atLeast"/>
              <w:jc w:val="left"/>
              <w:rPr>
                <w:rFonts w:eastAsia="仿宋_GB2312"/>
                <w:kern w:val="0"/>
                <w:sz w:val="18"/>
                <w:szCs w:val="18"/>
              </w:rPr>
            </w:pPr>
            <w:r>
              <w:rPr>
                <w:rFonts w:eastAsia="仿宋_GB2312"/>
                <w:kern w:val="0"/>
                <w:sz w:val="18"/>
                <w:szCs w:val="18"/>
              </w:rPr>
              <w:t>评价要点：</w:t>
            </w:r>
            <w:r>
              <w:rPr>
                <w:rFonts w:eastAsia="仿宋_GB2312"/>
                <w:kern w:val="0"/>
                <w:sz w:val="18"/>
                <w:szCs w:val="18"/>
              </w:rPr>
              <w:br w:type="textWrapping"/>
            </w:r>
            <w:r>
              <w:rPr>
                <w:rFonts w:eastAsia="仿宋_GB2312"/>
                <w:kern w:val="0"/>
                <w:sz w:val="18"/>
                <w:szCs w:val="18"/>
              </w:rPr>
              <w:t>①项目立项是否符合国家法律法规、国民经济发展规划和相关政策；</w:t>
            </w:r>
            <w:r>
              <w:rPr>
                <w:rFonts w:eastAsia="仿宋_GB2312"/>
                <w:kern w:val="0"/>
                <w:sz w:val="18"/>
                <w:szCs w:val="18"/>
              </w:rPr>
              <w:br w:type="textWrapping"/>
            </w:r>
            <w:r>
              <w:rPr>
                <w:rFonts w:eastAsia="仿宋_GB2312"/>
                <w:kern w:val="0"/>
                <w:sz w:val="18"/>
                <w:szCs w:val="18"/>
              </w:rPr>
              <w:t>②项目立项是否符合行业发展规划和政策要求；</w:t>
            </w:r>
            <w:r>
              <w:rPr>
                <w:rFonts w:eastAsia="仿宋_GB2312"/>
                <w:kern w:val="0"/>
                <w:sz w:val="18"/>
                <w:szCs w:val="18"/>
              </w:rPr>
              <w:br w:type="textWrapping"/>
            </w:r>
            <w:r>
              <w:rPr>
                <w:rFonts w:eastAsia="仿宋_GB2312"/>
                <w:kern w:val="0"/>
                <w:sz w:val="18"/>
                <w:szCs w:val="18"/>
              </w:rPr>
              <w:t>③项目立项是否与部门职责范围相符，属于部门履职所需；</w:t>
            </w:r>
            <w:r>
              <w:rPr>
                <w:rFonts w:eastAsia="仿宋_GB2312"/>
                <w:kern w:val="0"/>
                <w:sz w:val="18"/>
                <w:szCs w:val="18"/>
              </w:rPr>
              <w:br w:type="textWrapping"/>
            </w:r>
            <w:r>
              <w:rPr>
                <w:rFonts w:eastAsia="仿宋_GB2312"/>
                <w:kern w:val="0"/>
                <w:sz w:val="18"/>
                <w:szCs w:val="18"/>
              </w:rPr>
              <w:t>④项目是否属于公共财政支持范围，是否符合中央、地方事权支出责任划分原则；</w:t>
            </w:r>
            <w:r>
              <w:rPr>
                <w:rFonts w:eastAsia="仿宋_GB2312"/>
                <w:kern w:val="0"/>
                <w:sz w:val="18"/>
                <w:szCs w:val="18"/>
              </w:rPr>
              <w:br w:type="textWrapping"/>
            </w:r>
            <w:r>
              <w:rPr>
                <w:rFonts w:eastAsia="仿宋_GB2312"/>
                <w:kern w:val="0"/>
                <w:sz w:val="18"/>
                <w:szCs w:val="18"/>
              </w:rPr>
              <w:t>⑤项目是否与相关部门同类项目或部门内部相关项目重复。</w:t>
            </w:r>
          </w:p>
        </w:tc>
        <w:tc>
          <w:tcPr>
            <w:tcW w:w="1304" w:type="dxa"/>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3</w:t>
            </w:r>
          </w:p>
        </w:tc>
        <w:tc>
          <w:tcPr>
            <w:tcW w:w="1364" w:type="dxa"/>
            <w:shd w:val="clear" w:color="auto"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1001" w:type="dxa"/>
            <w:vMerge w:val="continue"/>
            <w:shd w:val="clear" w:color="auto" w:fill="FFFFFF"/>
            <w:vAlign w:val="center"/>
          </w:tcPr>
          <w:p>
            <w:pPr>
              <w:spacing w:line="0" w:lineRule="atLeast"/>
              <w:jc w:val="center"/>
              <w:rPr>
                <w:rFonts w:eastAsia="仿宋_GB2312"/>
                <w:kern w:val="0"/>
                <w:sz w:val="18"/>
                <w:szCs w:val="18"/>
              </w:rPr>
            </w:pPr>
          </w:p>
        </w:tc>
        <w:tc>
          <w:tcPr>
            <w:tcW w:w="1000" w:type="dxa"/>
            <w:vMerge w:val="continue"/>
            <w:shd w:val="clear" w:color="auto" w:fill="FFFFFF"/>
            <w:vAlign w:val="center"/>
          </w:tcPr>
          <w:p>
            <w:pPr>
              <w:widowControl/>
              <w:spacing w:line="0" w:lineRule="atLeast"/>
              <w:jc w:val="center"/>
              <w:rPr>
                <w:rFonts w:eastAsia="仿宋_GB2312"/>
                <w:kern w:val="0"/>
                <w:sz w:val="18"/>
                <w:szCs w:val="18"/>
              </w:rPr>
            </w:pPr>
          </w:p>
        </w:tc>
        <w:tc>
          <w:tcPr>
            <w:tcW w:w="1071" w:type="dxa"/>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立项程序</w:t>
            </w:r>
          </w:p>
          <w:p>
            <w:pPr>
              <w:widowControl/>
              <w:spacing w:line="0" w:lineRule="atLeast"/>
              <w:jc w:val="center"/>
              <w:rPr>
                <w:rFonts w:eastAsia="仿宋_GB2312"/>
                <w:kern w:val="0"/>
                <w:sz w:val="18"/>
                <w:szCs w:val="18"/>
              </w:rPr>
            </w:pPr>
            <w:r>
              <w:rPr>
                <w:rFonts w:eastAsia="仿宋_GB2312"/>
                <w:kern w:val="0"/>
                <w:sz w:val="18"/>
                <w:szCs w:val="18"/>
              </w:rPr>
              <w:t>规范性</w:t>
            </w:r>
          </w:p>
        </w:tc>
        <w:tc>
          <w:tcPr>
            <w:tcW w:w="1724" w:type="dxa"/>
            <w:shd w:val="clear" w:color="auto" w:fill="FFFFFF"/>
            <w:vAlign w:val="center"/>
          </w:tcPr>
          <w:p>
            <w:pPr>
              <w:widowControl/>
              <w:spacing w:line="0" w:lineRule="atLeast"/>
              <w:rPr>
                <w:rFonts w:eastAsia="仿宋_GB2312"/>
                <w:kern w:val="0"/>
                <w:sz w:val="18"/>
                <w:szCs w:val="18"/>
              </w:rPr>
            </w:pPr>
            <w:r>
              <w:rPr>
                <w:rFonts w:eastAsia="仿宋_GB2312"/>
                <w:kern w:val="0"/>
                <w:sz w:val="18"/>
                <w:szCs w:val="18"/>
              </w:rPr>
              <w:t>项目申请、设立过程是否符合相关要求，用以反映和考核项目立项的规范情况。</w:t>
            </w:r>
          </w:p>
        </w:tc>
        <w:tc>
          <w:tcPr>
            <w:tcW w:w="5219" w:type="dxa"/>
            <w:shd w:val="clear" w:color="auto" w:fill="FFFFFF"/>
            <w:vAlign w:val="center"/>
          </w:tcPr>
          <w:p>
            <w:pPr>
              <w:widowControl/>
              <w:spacing w:line="0" w:lineRule="atLeast"/>
              <w:jc w:val="left"/>
              <w:rPr>
                <w:rFonts w:eastAsia="仿宋_GB2312"/>
                <w:kern w:val="0"/>
                <w:sz w:val="18"/>
                <w:szCs w:val="18"/>
              </w:rPr>
            </w:pPr>
            <w:r>
              <w:rPr>
                <w:rFonts w:eastAsia="仿宋_GB2312"/>
                <w:kern w:val="0"/>
                <w:sz w:val="18"/>
                <w:szCs w:val="18"/>
              </w:rPr>
              <w:t>评价要点：</w:t>
            </w:r>
            <w:r>
              <w:rPr>
                <w:rFonts w:eastAsia="仿宋_GB2312"/>
                <w:kern w:val="0"/>
                <w:sz w:val="18"/>
                <w:szCs w:val="18"/>
              </w:rPr>
              <w:br w:type="textWrapping"/>
            </w:r>
            <w:r>
              <w:rPr>
                <w:rFonts w:eastAsia="仿宋_GB2312"/>
                <w:kern w:val="0"/>
                <w:sz w:val="18"/>
                <w:szCs w:val="18"/>
              </w:rPr>
              <w:t>①项目是否按照规定的程序申请设立；</w:t>
            </w:r>
            <w:r>
              <w:rPr>
                <w:rFonts w:eastAsia="仿宋_GB2312"/>
                <w:kern w:val="0"/>
                <w:sz w:val="18"/>
                <w:szCs w:val="18"/>
              </w:rPr>
              <w:br w:type="textWrapping"/>
            </w:r>
            <w:r>
              <w:rPr>
                <w:rFonts w:eastAsia="仿宋_GB2312"/>
                <w:kern w:val="0"/>
                <w:sz w:val="18"/>
                <w:szCs w:val="18"/>
              </w:rPr>
              <w:t>②审批文件、材料是否符合相关要求；</w:t>
            </w:r>
            <w:r>
              <w:rPr>
                <w:rFonts w:eastAsia="仿宋_GB2312"/>
                <w:kern w:val="0"/>
                <w:sz w:val="18"/>
                <w:szCs w:val="18"/>
              </w:rPr>
              <w:br w:type="textWrapping"/>
            </w:r>
            <w:r>
              <w:rPr>
                <w:rFonts w:eastAsia="仿宋_GB2312"/>
                <w:kern w:val="0"/>
                <w:sz w:val="18"/>
                <w:szCs w:val="18"/>
              </w:rPr>
              <w:t>③事前是否已经过必要的可行性研究、专家论证、风险评估、绩效评估、集体决策。</w:t>
            </w:r>
          </w:p>
        </w:tc>
        <w:tc>
          <w:tcPr>
            <w:tcW w:w="1304" w:type="dxa"/>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3</w:t>
            </w:r>
          </w:p>
        </w:tc>
        <w:tc>
          <w:tcPr>
            <w:tcW w:w="1364" w:type="dxa"/>
            <w:shd w:val="clear" w:color="auto"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1001" w:type="dxa"/>
            <w:vMerge w:val="continue"/>
            <w:shd w:val="clear" w:color="auto" w:fill="FFFFFF"/>
            <w:vAlign w:val="center"/>
          </w:tcPr>
          <w:p>
            <w:pPr>
              <w:spacing w:line="0" w:lineRule="atLeast"/>
              <w:jc w:val="center"/>
              <w:rPr>
                <w:rFonts w:eastAsia="仿宋_GB2312"/>
                <w:kern w:val="0"/>
                <w:sz w:val="18"/>
                <w:szCs w:val="18"/>
              </w:rPr>
            </w:pPr>
          </w:p>
        </w:tc>
        <w:tc>
          <w:tcPr>
            <w:tcW w:w="1000" w:type="dxa"/>
            <w:vMerge w:val="restar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绩效目标　</w:t>
            </w:r>
          </w:p>
        </w:tc>
        <w:tc>
          <w:tcPr>
            <w:tcW w:w="1071" w:type="dxa"/>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绩效目标</w:t>
            </w:r>
          </w:p>
          <w:p>
            <w:pPr>
              <w:widowControl/>
              <w:spacing w:line="0" w:lineRule="atLeast"/>
              <w:jc w:val="center"/>
              <w:rPr>
                <w:rFonts w:eastAsia="仿宋_GB2312"/>
                <w:kern w:val="0"/>
                <w:sz w:val="18"/>
                <w:szCs w:val="18"/>
              </w:rPr>
            </w:pPr>
            <w:r>
              <w:rPr>
                <w:rFonts w:eastAsia="仿宋_GB2312"/>
                <w:kern w:val="0"/>
                <w:sz w:val="18"/>
                <w:szCs w:val="18"/>
              </w:rPr>
              <w:t>合理性</w:t>
            </w:r>
          </w:p>
        </w:tc>
        <w:tc>
          <w:tcPr>
            <w:tcW w:w="1724" w:type="dxa"/>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项目所设定的绩效目标是否依据充分，是否符合客观实际，用以反映和考核项目绩效目标与项目实施的相符情况。</w:t>
            </w:r>
          </w:p>
        </w:tc>
        <w:tc>
          <w:tcPr>
            <w:tcW w:w="5219" w:type="dxa"/>
            <w:shd w:val="clear" w:color="000000" w:fill="FFFFFF"/>
            <w:vAlign w:val="center"/>
          </w:tcPr>
          <w:p>
            <w:pPr>
              <w:widowControl/>
              <w:spacing w:line="0" w:lineRule="atLeast"/>
              <w:jc w:val="left"/>
              <w:rPr>
                <w:rFonts w:eastAsia="仿宋_GB2312"/>
                <w:kern w:val="0"/>
                <w:sz w:val="18"/>
                <w:szCs w:val="18"/>
              </w:rPr>
            </w:pPr>
            <w:r>
              <w:rPr>
                <w:rFonts w:eastAsia="仿宋_GB2312"/>
                <w:kern w:val="0"/>
                <w:sz w:val="18"/>
                <w:szCs w:val="18"/>
              </w:rPr>
              <w:t>评价要点：</w:t>
            </w:r>
            <w:r>
              <w:rPr>
                <w:rFonts w:eastAsia="仿宋_GB2312"/>
                <w:kern w:val="0"/>
                <w:sz w:val="18"/>
                <w:szCs w:val="18"/>
              </w:rPr>
              <w:br w:type="textWrapping"/>
            </w:r>
            <w:r>
              <w:rPr>
                <w:rFonts w:eastAsia="仿宋_GB2312"/>
                <w:kern w:val="0"/>
                <w:sz w:val="18"/>
                <w:szCs w:val="18"/>
              </w:rPr>
              <w:t>（如未设定预算绩效目标，也可考核其他工作任务目标）</w:t>
            </w:r>
            <w:r>
              <w:rPr>
                <w:rFonts w:eastAsia="仿宋_GB2312"/>
                <w:kern w:val="0"/>
                <w:sz w:val="18"/>
                <w:szCs w:val="18"/>
              </w:rPr>
              <w:br w:type="textWrapping"/>
            </w:r>
            <w:r>
              <w:rPr>
                <w:rFonts w:eastAsia="仿宋_GB2312"/>
                <w:kern w:val="0"/>
                <w:sz w:val="18"/>
                <w:szCs w:val="18"/>
              </w:rPr>
              <w:t>①项目是否有绩效目标；</w:t>
            </w:r>
            <w:r>
              <w:rPr>
                <w:rFonts w:eastAsia="仿宋_GB2312"/>
                <w:kern w:val="0"/>
                <w:sz w:val="18"/>
                <w:szCs w:val="18"/>
              </w:rPr>
              <w:br w:type="textWrapping"/>
            </w:r>
            <w:r>
              <w:rPr>
                <w:rFonts w:eastAsia="仿宋_GB2312"/>
                <w:kern w:val="0"/>
                <w:sz w:val="18"/>
                <w:szCs w:val="18"/>
              </w:rPr>
              <w:t>②项目绩效目标与实际工作内容是否具有相关性；</w:t>
            </w:r>
            <w:r>
              <w:rPr>
                <w:rFonts w:eastAsia="仿宋_GB2312"/>
                <w:kern w:val="0"/>
                <w:sz w:val="18"/>
                <w:szCs w:val="18"/>
              </w:rPr>
              <w:br w:type="textWrapping"/>
            </w:r>
            <w:r>
              <w:rPr>
                <w:rFonts w:eastAsia="仿宋_GB2312"/>
                <w:kern w:val="0"/>
                <w:sz w:val="18"/>
                <w:szCs w:val="18"/>
              </w:rPr>
              <w:t>③项目预期产出效益和效果是否符合正常的业绩水平；</w:t>
            </w:r>
          </w:p>
          <w:p>
            <w:pPr>
              <w:widowControl/>
              <w:spacing w:line="0" w:lineRule="atLeast"/>
              <w:jc w:val="left"/>
              <w:rPr>
                <w:rFonts w:eastAsia="仿宋_GB2312"/>
                <w:kern w:val="0"/>
                <w:sz w:val="18"/>
                <w:szCs w:val="18"/>
              </w:rPr>
            </w:pPr>
            <w:r>
              <w:rPr>
                <w:rFonts w:eastAsia="仿宋_GB2312"/>
                <w:kern w:val="0"/>
                <w:sz w:val="18"/>
                <w:szCs w:val="18"/>
              </w:rPr>
              <w:t>④是否与预算确定的项目投资额或资金量相匹配。</w:t>
            </w:r>
          </w:p>
        </w:tc>
        <w:tc>
          <w:tcPr>
            <w:tcW w:w="1304" w:type="dxa"/>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3</w:t>
            </w:r>
          </w:p>
        </w:tc>
        <w:tc>
          <w:tcPr>
            <w:tcW w:w="1364" w:type="dxa"/>
            <w:shd w:val="clear" w:color="000000"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1001" w:type="dxa"/>
            <w:vMerge w:val="continue"/>
            <w:shd w:val="clear" w:color="auto" w:fill="FFFFFF"/>
            <w:vAlign w:val="center"/>
          </w:tcPr>
          <w:p>
            <w:pPr>
              <w:widowControl/>
              <w:spacing w:line="0" w:lineRule="atLeast"/>
              <w:jc w:val="center"/>
              <w:rPr>
                <w:rFonts w:eastAsia="仿宋_GB2312"/>
                <w:kern w:val="0"/>
                <w:sz w:val="18"/>
                <w:szCs w:val="18"/>
              </w:rPr>
            </w:pPr>
          </w:p>
        </w:tc>
        <w:tc>
          <w:tcPr>
            <w:tcW w:w="1000" w:type="dxa"/>
            <w:vMerge w:val="continue"/>
            <w:shd w:val="clear" w:color="auto" w:fill="FFFFFF"/>
            <w:vAlign w:val="center"/>
          </w:tcPr>
          <w:p>
            <w:pPr>
              <w:widowControl/>
              <w:spacing w:line="0" w:lineRule="atLeast"/>
              <w:jc w:val="center"/>
              <w:rPr>
                <w:rFonts w:eastAsia="仿宋_GB2312"/>
                <w:kern w:val="0"/>
                <w:sz w:val="18"/>
                <w:szCs w:val="18"/>
              </w:rPr>
            </w:pPr>
          </w:p>
        </w:tc>
        <w:tc>
          <w:tcPr>
            <w:tcW w:w="1071" w:type="dxa"/>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绩效指标</w:t>
            </w:r>
          </w:p>
          <w:p>
            <w:pPr>
              <w:widowControl/>
              <w:spacing w:line="0" w:lineRule="atLeast"/>
              <w:jc w:val="center"/>
              <w:rPr>
                <w:rFonts w:eastAsia="仿宋_GB2312"/>
                <w:kern w:val="0"/>
                <w:sz w:val="18"/>
                <w:szCs w:val="18"/>
              </w:rPr>
            </w:pPr>
            <w:r>
              <w:rPr>
                <w:rFonts w:eastAsia="仿宋_GB2312"/>
                <w:kern w:val="0"/>
                <w:sz w:val="18"/>
                <w:szCs w:val="18"/>
              </w:rPr>
              <w:t>明确性</w:t>
            </w:r>
          </w:p>
        </w:tc>
        <w:tc>
          <w:tcPr>
            <w:tcW w:w="1724" w:type="dxa"/>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依据绩效目标设定的绩效指标是否清晰、细化、可衡量等，用以反映和考核项目绩效目标的明细化情况。</w:t>
            </w:r>
          </w:p>
        </w:tc>
        <w:tc>
          <w:tcPr>
            <w:tcW w:w="5219" w:type="dxa"/>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评价要点：</w:t>
            </w:r>
            <w:r>
              <w:rPr>
                <w:rFonts w:eastAsia="仿宋_GB2312"/>
                <w:kern w:val="0"/>
                <w:sz w:val="18"/>
                <w:szCs w:val="18"/>
              </w:rPr>
              <w:br w:type="textWrapping"/>
            </w:r>
            <w:r>
              <w:rPr>
                <w:rFonts w:eastAsia="仿宋_GB2312"/>
                <w:kern w:val="0"/>
                <w:sz w:val="18"/>
                <w:szCs w:val="18"/>
              </w:rPr>
              <w:t>①是否将项目绩效目标细化分解为具体的绩效指标；</w:t>
            </w:r>
            <w:r>
              <w:rPr>
                <w:rFonts w:eastAsia="仿宋_GB2312"/>
                <w:kern w:val="0"/>
                <w:sz w:val="18"/>
                <w:szCs w:val="18"/>
              </w:rPr>
              <w:br w:type="textWrapping"/>
            </w:r>
            <w:r>
              <w:rPr>
                <w:rFonts w:eastAsia="仿宋_GB2312"/>
                <w:kern w:val="0"/>
                <w:sz w:val="18"/>
                <w:szCs w:val="18"/>
              </w:rPr>
              <w:t>②是否通过清晰、可衡量的指标值予以体现；</w:t>
            </w:r>
            <w:r>
              <w:rPr>
                <w:rFonts w:eastAsia="仿宋_GB2312"/>
                <w:kern w:val="0"/>
                <w:sz w:val="18"/>
                <w:szCs w:val="18"/>
              </w:rPr>
              <w:br w:type="textWrapping"/>
            </w:r>
            <w:r>
              <w:rPr>
                <w:rFonts w:eastAsia="仿宋_GB2312"/>
                <w:kern w:val="0"/>
                <w:sz w:val="18"/>
                <w:szCs w:val="18"/>
              </w:rPr>
              <w:t>③是否与项目目标任务数或计划数相对应。</w:t>
            </w:r>
            <w:r>
              <w:rPr>
                <w:rFonts w:eastAsia="仿宋_GB2312"/>
                <w:kern w:val="0"/>
                <w:sz w:val="18"/>
                <w:szCs w:val="18"/>
              </w:rPr>
              <w:br w:type="textWrapping"/>
            </w:r>
          </w:p>
        </w:tc>
        <w:tc>
          <w:tcPr>
            <w:tcW w:w="1304" w:type="dxa"/>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3</w:t>
            </w:r>
          </w:p>
        </w:tc>
        <w:tc>
          <w:tcPr>
            <w:tcW w:w="1364" w:type="dxa"/>
            <w:shd w:val="clear" w:color="000000"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1001" w:type="dxa"/>
            <w:vMerge w:val="continue"/>
            <w:shd w:val="clear" w:color="auto" w:fill="FFFFFF"/>
            <w:vAlign w:val="center"/>
          </w:tcPr>
          <w:p>
            <w:pPr>
              <w:spacing w:line="0" w:lineRule="atLeast"/>
              <w:jc w:val="center"/>
              <w:rPr>
                <w:rFonts w:eastAsia="仿宋_GB2312"/>
                <w:kern w:val="0"/>
                <w:sz w:val="18"/>
                <w:szCs w:val="18"/>
              </w:rPr>
            </w:pPr>
          </w:p>
        </w:tc>
        <w:tc>
          <w:tcPr>
            <w:tcW w:w="1000" w:type="dxa"/>
            <w:vMerge w:val="restar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资金投入</w:t>
            </w:r>
          </w:p>
          <w:p>
            <w:pPr>
              <w:spacing w:line="0" w:lineRule="atLeast"/>
              <w:jc w:val="center"/>
              <w:rPr>
                <w:rFonts w:eastAsia="仿宋_GB2312"/>
                <w:kern w:val="0"/>
                <w:sz w:val="18"/>
                <w:szCs w:val="18"/>
              </w:rPr>
            </w:pPr>
            <w:r>
              <w:rPr>
                <w:rFonts w:eastAsia="仿宋_GB2312"/>
                <w:kern w:val="0"/>
                <w:sz w:val="18"/>
                <w:szCs w:val="18"/>
              </w:rPr>
              <w:t>　</w:t>
            </w:r>
          </w:p>
        </w:tc>
        <w:tc>
          <w:tcPr>
            <w:tcW w:w="1071" w:type="dxa"/>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预算编制</w:t>
            </w:r>
          </w:p>
          <w:p>
            <w:pPr>
              <w:widowControl/>
              <w:spacing w:line="0" w:lineRule="atLeast"/>
              <w:jc w:val="center"/>
              <w:rPr>
                <w:rFonts w:eastAsia="仿宋_GB2312"/>
                <w:kern w:val="0"/>
                <w:sz w:val="18"/>
                <w:szCs w:val="18"/>
              </w:rPr>
            </w:pPr>
            <w:r>
              <w:rPr>
                <w:rFonts w:eastAsia="仿宋_GB2312"/>
                <w:kern w:val="0"/>
                <w:sz w:val="18"/>
                <w:szCs w:val="18"/>
              </w:rPr>
              <w:t>科学性</w:t>
            </w:r>
          </w:p>
        </w:tc>
        <w:tc>
          <w:tcPr>
            <w:tcW w:w="1724" w:type="dxa"/>
            <w:shd w:val="clear" w:color="auto" w:fill="FFFFFF"/>
            <w:vAlign w:val="center"/>
          </w:tcPr>
          <w:p>
            <w:pPr>
              <w:widowControl/>
              <w:spacing w:line="0" w:lineRule="atLeast"/>
              <w:rPr>
                <w:rFonts w:eastAsia="仿宋_GB2312"/>
                <w:kern w:val="0"/>
                <w:sz w:val="18"/>
                <w:szCs w:val="18"/>
              </w:rPr>
            </w:pPr>
            <w:r>
              <w:rPr>
                <w:rFonts w:eastAsia="仿宋_GB2312"/>
                <w:kern w:val="0"/>
                <w:sz w:val="18"/>
                <w:szCs w:val="18"/>
              </w:rPr>
              <w:t>项目预算编制是否经过科学论证、有明确标准，资金额度与年度目标是否相适应，用以反映和考核项目预算编制的科学性、合理性情况。</w:t>
            </w:r>
          </w:p>
        </w:tc>
        <w:tc>
          <w:tcPr>
            <w:tcW w:w="5219" w:type="dxa"/>
            <w:shd w:val="clear" w:color="auto" w:fill="FFFFFF"/>
            <w:vAlign w:val="center"/>
          </w:tcPr>
          <w:p>
            <w:pPr>
              <w:widowControl/>
              <w:spacing w:line="0" w:lineRule="atLeast"/>
              <w:rPr>
                <w:rFonts w:eastAsia="仿宋_GB2312"/>
                <w:kern w:val="0"/>
                <w:sz w:val="18"/>
                <w:szCs w:val="18"/>
              </w:rPr>
            </w:pPr>
            <w:r>
              <w:rPr>
                <w:rFonts w:eastAsia="仿宋_GB2312"/>
                <w:kern w:val="0"/>
                <w:sz w:val="18"/>
                <w:szCs w:val="18"/>
              </w:rPr>
              <w:t>评价要点：</w:t>
            </w:r>
            <w:r>
              <w:rPr>
                <w:rFonts w:eastAsia="仿宋_GB2312"/>
                <w:kern w:val="0"/>
                <w:sz w:val="18"/>
                <w:szCs w:val="18"/>
              </w:rPr>
              <w:br w:type="textWrapping"/>
            </w:r>
            <w:r>
              <w:rPr>
                <w:rFonts w:eastAsia="仿宋_GB2312"/>
                <w:kern w:val="0"/>
                <w:sz w:val="18"/>
                <w:szCs w:val="18"/>
              </w:rPr>
              <w:t>①预算编制是否经过科学论证；</w:t>
            </w:r>
            <w:r>
              <w:rPr>
                <w:rFonts w:eastAsia="仿宋_GB2312"/>
                <w:kern w:val="0"/>
                <w:sz w:val="18"/>
                <w:szCs w:val="18"/>
              </w:rPr>
              <w:br w:type="textWrapping"/>
            </w:r>
            <w:r>
              <w:rPr>
                <w:rFonts w:eastAsia="仿宋_GB2312"/>
                <w:kern w:val="0"/>
                <w:sz w:val="18"/>
                <w:szCs w:val="18"/>
              </w:rPr>
              <w:t>②预算内容与项目内容是否匹配；</w:t>
            </w:r>
            <w:r>
              <w:rPr>
                <w:rFonts w:eastAsia="仿宋_GB2312"/>
                <w:kern w:val="0"/>
                <w:sz w:val="18"/>
                <w:szCs w:val="18"/>
              </w:rPr>
              <w:br w:type="textWrapping"/>
            </w:r>
            <w:r>
              <w:rPr>
                <w:rFonts w:eastAsia="仿宋_GB2312"/>
                <w:kern w:val="0"/>
                <w:sz w:val="18"/>
                <w:szCs w:val="18"/>
              </w:rPr>
              <w:t>③预算额度测算依据是否充分，是否按照标准编制；</w:t>
            </w:r>
            <w:r>
              <w:rPr>
                <w:rFonts w:eastAsia="仿宋_GB2312"/>
                <w:kern w:val="0"/>
                <w:sz w:val="18"/>
                <w:szCs w:val="18"/>
              </w:rPr>
              <w:br w:type="textWrapping"/>
            </w:r>
            <w:r>
              <w:rPr>
                <w:rFonts w:eastAsia="仿宋_GB2312"/>
                <w:kern w:val="0"/>
                <w:sz w:val="18"/>
                <w:szCs w:val="18"/>
              </w:rPr>
              <w:t>④预算确定的项目投资额或资金量是否与工作任务相匹配。</w:t>
            </w:r>
          </w:p>
        </w:tc>
        <w:tc>
          <w:tcPr>
            <w:tcW w:w="1304" w:type="dxa"/>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4</w:t>
            </w:r>
          </w:p>
        </w:tc>
        <w:tc>
          <w:tcPr>
            <w:tcW w:w="1364" w:type="dxa"/>
            <w:shd w:val="clear" w:color="auto"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1001" w:type="dxa"/>
            <w:vMerge w:val="continue"/>
            <w:shd w:val="clear" w:color="auto" w:fill="FFFFFF"/>
            <w:vAlign w:val="center"/>
          </w:tcPr>
          <w:p>
            <w:pPr>
              <w:widowControl/>
              <w:spacing w:line="0" w:lineRule="atLeast"/>
              <w:jc w:val="center"/>
              <w:rPr>
                <w:rFonts w:eastAsia="仿宋_GB2312"/>
                <w:kern w:val="0"/>
                <w:sz w:val="18"/>
                <w:szCs w:val="18"/>
              </w:rPr>
            </w:pPr>
          </w:p>
        </w:tc>
        <w:tc>
          <w:tcPr>
            <w:tcW w:w="1000" w:type="dxa"/>
            <w:vMerge w:val="continue"/>
            <w:shd w:val="clear" w:color="auto" w:fill="FFFFFF"/>
            <w:vAlign w:val="center"/>
          </w:tcPr>
          <w:p>
            <w:pPr>
              <w:widowControl/>
              <w:spacing w:line="0" w:lineRule="atLeast"/>
              <w:jc w:val="center"/>
              <w:rPr>
                <w:rFonts w:eastAsia="仿宋_GB2312"/>
                <w:kern w:val="0"/>
                <w:sz w:val="18"/>
                <w:szCs w:val="18"/>
              </w:rPr>
            </w:pPr>
          </w:p>
        </w:tc>
        <w:tc>
          <w:tcPr>
            <w:tcW w:w="1071" w:type="dxa"/>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资金分配</w:t>
            </w:r>
          </w:p>
          <w:p>
            <w:pPr>
              <w:widowControl/>
              <w:spacing w:line="0" w:lineRule="atLeast"/>
              <w:jc w:val="center"/>
              <w:rPr>
                <w:rFonts w:eastAsia="仿宋_GB2312"/>
                <w:kern w:val="0"/>
                <w:sz w:val="18"/>
                <w:szCs w:val="18"/>
              </w:rPr>
            </w:pPr>
            <w:r>
              <w:rPr>
                <w:rFonts w:eastAsia="仿宋_GB2312"/>
                <w:kern w:val="0"/>
                <w:sz w:val="18"/>
                <w:szCs w:val="18"/>
              </w:rPr>
              <w:t>合理性</w:t>
            </w:r>
          </w:p>
        </w:tc>
        <w:tc>
          <w:tcPr>
            <w:tcW w:w="1724" w:type="dxa"/>
            <w:shd w:val="clear" w:color="auto" w:fill="FFFFFF"/>
            <w:vAlign w:val="center"/>
          </w:tcPr>
          <w:p>
            <w:pPr>
              <w:widowControl/>
              <w:spacing w:line="0" w:lineRule="atLeast"/>
              <w:rPr>
                <w:rFonts w:eastAsia="仿宋_GB2312"/>
                <w:kern w:val="0"/>
                <w:sz w:val="18"/>
                <w:szCs w:val="18"/>
              </w:rPr>
            </w:pPr>
            <w:r>
              <w:rPr>
                <w:rFonts w:eastAsia="仿宋_GB2312"/>
                <w:kern w:val="0"/>
                <w:sz w:val="18"/>
                <w:szCs w:val="18"/>
              </w:rPr>
              <w:t>项目预算资金分配是否有测算依据，与补助单位或地方实际是否相适应，用以反映和考核项目预算资金分配的科学性、合理性情况。</w:t>
            </w:r>
          </w:p>
        </w:tc>
        <w:tc>
          <w:tcPr>
            <w:tcW w:w="5219" w:type="dxa"/>
            <w:shd w:val="clear" w:color="auto" w:fill="FFFFFF"/>
            <w:vAlign w:val="center"/>
          </w:tcPr>
          <w:p>
            <w:pPr>
              <w:widowControl/>
              <w:spacing w:line="0" w:lineRule="atLeast"/>
              <w:rPr>
                <w:rFonts w:eastAsia="仿宋_GB2312"/>
                <w:kern w:val="0"/>
                <w:sz w:val="18"/>
                <w:szCs w:val="18"/>
              </w:rPr>
            </w:pPr>
            <w:r>
              <w:rPr>
                <w:rFonts w:eastAsia="仿宋_GB2312"/>
                <w:kern w:val="0"/>
                <w:sz w:val="18"/>
                <w:szCs w:val="18"/>
              </w:rPr>
              <w:t>评价要点：</w:t>
            </w:r>
            <w:r>
              <w:rPr>
                <w:rFonts w:eastAsia="仿宋_GB2312"/>
                <w:kern w:val="0"/>
                <w:sz w:val="18"/>
                <w:szCs w:val="18"/>
              </w:rPr>
              <w:br w:type="textWrapping"/>
            </w:r>
            <w:r>
              <w:rPr>
                <w:rFonts w:eastAsia="仿宋_GB2312"/>
                <w:kern w:val="0"/>
                <w:sz w:val="18"/>
                <w:szCs w:val="18"/>
              </w:rPr>
              <w:t>①预算资金分配依据是否充分；</w:t>
            </w:r>
            <w:r>
              <w:rPr>
                <w:rFonts w:eastAsia="仿宋_GB2312"/>
                <w:kern w:val="0"/>
                <w:sz w:val="18"/>
                <w:szCs w:val="18"/>
              </w:rPr>
              <w:br w:type="textWrapping"/>
            </w:r>
            <w:r>
              <w:rPr>
                <w:rFonts w:eastAsia="仿宋_GB2312"/>
                <w:kern w:val="0"/>
                <w:sz w:val="18"/>
                <w:szCs w:val="18"/>
              </w:rPr>
              <w:t>②资金分配额度是否合理，与项目单位或地方实际是否相适应。</w:t>
            </w:r>
          </w:p>
        </w:tc>
        <w:tc>
          <w:tcPr>
            <w:tcW w:w="1304" w:type="dxa"/>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4</w:t>
            </w:r>
          </w:p>
        </w:tc>
        <w:tc>
          <w:tcPr>
            <w:tcW w:w="1364" w:type="dxa"/>
            <w:shd w:val="clear" w:color="auto"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1001" w:type="dxa"/>
            <w:vMerge w:val="restart"/>
            <w:shd w:val="clear" w:color="auto" w:fill="FFFFFF"/>
            <w:vAlign w:val="center"/>
          </w:tcPr>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r>
              <w:rPr>
                <w:rFonts w:eastAsia="仿宋_GB2312"/>
                <w:kern w:val="0"/>
                <w:sz w:val="18"/>
                <w:szCs w:val="18"/>
              </w:rPr>
              <w:t>过程</w:t>
            </w:r>
          </w:p>
          <w:p>
            <w:pPr>
              <w:widowControl/>
              <w:spacing w:line="0" w:lineRule="atLeast"/>
              <w:jc w:val="center"/>
              <w:rPr>
                <w:rFonts w:eastAsia="仿宋_GB2312"/>
                <w:kern w:val="0"/>
                <w:sz w:val="18"/>
                <w:szCs w:val="18"/>
              </w:rPr>
            </w:pPr>
            <w:r>
              <w:rPr>
                <w:rFonts w:eastAsia="仿宋_GB2312"/>
                <w:kern w:val="0"/>
                <w:sz w:val="18"/>
                <w:szCs w:val="18"/>
              </w:rPr>
              <w:t>　　</w:t>
            </w:r>
          </w:p>
        </w:tc>
        <w:tc>
          <w:tcPr>
            <w:tcW w:w="1000" w:type="dxa"/>
            <w:vMerge w:val="restar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资金管理</w:t>
            </w:r>
          </w:p>
        </w:tc>
        <w:tc>
          <w:tcPr>
            <w:tcW w:w="1071" w:type="dxa"/>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资金到位率</w:t>
            </w:r>
          </w:p>
        </w:tc>
        <w:tc>
          <w:tcPr>
            <w:tcW w:w="1724" w:type="dxa"/>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实际到位资金与预算资金的比率，用以反映和考核资金落实情况对项目实施的总体保障程度。</w:t>
            </w:r>
          </w:p>
        </w:tc>
        <w:tc>
          <w:tcPr>
            <w:tcW w:w="5219" w:type="dxa"/>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资金到位率=（实际到位资金/预算资金）×100%。</w:t>
            </w:r>
          </w:p>
          <w:p>
            <w:pPr>
              <w:widowControl/>
              <w:spacing w:line="0" w:lineRule="atLeast"/>
              <w:rPr>
                <w:rFonts w:eastAsia="仿宋_GB2312"/>
                <w:kern w:val="0"/>
                <w:sz w:val="18"/>
                <w:szCs w:val="18"/>
              </w:rPr>
            </w:pPr>
            <w:r>
              <w:rPr>
                <w:rFonts w:eastAsia="仿宋_GB2312"/>
                <w:kern w:val="0"/>
                <w:sz w:val="18"/>
                <w:szCs w:val="18"/>
              </w:rPr>
              <w:t>实际到位资金：一定时期（本年度或项目期）内落实到具体项目的资金。</w:t>
            </w:r>
          </w:p>
          <w:p>
            <w:pPr>
              <w:widowControl/>
              <w:spacing w:line="0" w:lineRule="atLeast"/>
              <w:rPr>
                <w:rFonts w:eastAsia="仿宋_GB2312"/>
                <w:kern w:val="0"/>
                <w:sz w:val="18"/>
                <w:szCs w:val="18"/>
              </w:rPr>
            </w:pPr>
            <w:r>
              <w:rPr>
                <w:rFonts w:eastAsia="仿宋_GB2312"/>
                <w:kern w:val="0"/>
                <w:sz w:val="18"/>
                <w:szCs w:val="18"/>
              </w:rPr>
              <w:t>预算资金：一定时期（本年度或项目期）内预算安排到具体项目的资金。</w:t>
            </w:r>
          </w:p>
        </w:tc>
        <w:tc>
          <w:tcPr>
            <w:tcW w:w="1304" w:type="dxa"/>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4</w:t>
            </w:r>
          </w:p>
        </w:tc>
        <w:tc>
          <w:tcPr>
            <w:tcW w:w="1364" w:type="dxa"/>
            <w:shd w:val="clear" w:color="000000"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1001" w:type="dxa"/>
            <w:vMerge w:val="continue"/>
            <w:shd w:val="clear" w:color="auto" w:fill="FFFFFF"/>
            <w:vAlign w:val="center"/>
          </w:tcPr>
          <w:p>
            <w:pPr>
              <w:spacing w:line="0" w:lineRule="atLeast"/>
              <w:jc w:val="center"/>
              <w:rPr>
                <w:rFonts w:eastAsia="仿宋_GB2312"/>
                <w:kern w:val="0"/>
                <w:sz w:val="18"/>
                <w:szCs w:val="18"/>
              </w:rPr>
            </w:pPr>
          </w:p>
        </w:tc>
        <w:tc>
          <w:tcPr>
            <w:tcW w:w="1000" w:type="dxa"/>
            <w:vMerge w:val="continue"/>
            <w:shd w:val="clear" w:color="auto" w:fill="FFFFFF"/>
            <w:vAlign w:val="center"/>
          </w:tcPr>
          <w:p>
            <w:pPr>
              <w:spacing w:line="0" w:lineRule="atLeast"/>
              <w:jc w:val="center"/>
              <w:rPr>
                <w:rFonts w:eastAsia="仿宋_GB2312"/>
                <w:kern w:val="0"/>
                <w:sz w:val="18"/>
                <w:szCs w:val="18"/>
              </w:rPr>
            </w:pPr>
          </w:p>
        </w:tc>
        <w:tc>
          <w:tcPr>
            <w:tcW w:w="1071" w:type="dxa"/>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预算执行率</w:t>
            </w:r>
          </w:p>
        </w:tc>
        <w:tc>
          <w:tcPr>
            <w:tcW w:w="1724" w:type="dxa"/>
            <w:shd w:val="clear" w:color="auto" w:fill="FFFFFF"/>
            <w:vAlign w:val="center"/>
          </w:tcPr>
          <w:p>
            <w:pPr>
              <w:widowControl/>
              <w:spacing w:line="0" w:lineRule="atLeast"/>
              <w:rPr>
                <w:rFonts w:eastAsia="仿宋_GB2312"/>
                <w:kern w:val="0"/>
                <w:sz w:val="18"/>
                <w:szCs w:val="18"/>
              </w:rPr>
            </w:pPr>
            <w:r>
              <w:rPr>
                <w:rFonts w:eastAsia="仿宋_GB2312"/>
                <w:kern w:val="0"/>
                <w:sz w:val="18"/>
                <w:szCs w:val="18"/>
              </w:rPr>
              <w:t>项目预算资金是否按照计划执行，用以反映或考核项目预算执行情况。</w:t>
            </w:r>
          </w:p>
        </w:tc>
        <w:tc>
          <w:tcPr>
            <w:tcW w:w="5219" w:type="dxa"/>
            <w:shd w:val="clear" w:color="auto" w:fill="FFFFFF"/>
            <w:vAlign w:val="center"/>
          </w:tcPr>
          <w:p>
            <w:pPr>
              <w:widowControl/>
              <w:spacing w:line="0" w:lineRule="atLeast"/>
              <w:rPr>
                <w:rFonts w:eastAsia="仿宋_GB2312"/>
                <w:kern w:val="0"/>
                <w:sz w:val="18"/>
                <w:szCs w:val="18"/>
              </w:rPr>
            </w:pPr>
            <w:r>
              <w:rPr>
                <w:rFonts w:eastAsia="仿宋_GB2312"/>
                <w:kern w:val="0"/>
                <w:sz w:val="18"/>
                <w:szCs w:val="18"/>
              </w:rPr>
              <w:t>预算执行率=（实际支出资金/实际到位资金）×100%。</w:t>
            </w:r>
            <w:r>
              <w:rPr>
                <w:rFonts w:eastAsia="仿宋_GB2312"/>
                <w:kern w:val="0"/>
                <w:sz w:val="18"/>
                <w:szCs w:val="18"/>
              </w:rPr>
              <w:br w:type="textWrapping"/>
            </w:r>
            <w:r>
              <w:rPr>
                <w:rFonts w:eastAsia="仿宋_GB2312"/>
                <w:kern w:val="0"/>
                <w:sz w:val="18"/>
                <w:szCs w:val="18"/>
              </w:rPr>
              <w:t>实际支出资金：一定时期（本年度或项目期）内项目实际拨付的资金。</w:t>
            </w:r>
          </w:p>
        </w:tc>
        <w:tc>
          <w:tcPr>
            <w:tcW w:w="1304" w:type="dxa"/>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4</w:t>
            </w:r>
          </w:p>
        </w:tc>
        <w:tc>
          <w:tcPr>
            <w:tcW w:w="1364" w:type="dxa"/>
            <w:shd w:val="clear" w:color="auto"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1001" w:type="dxa"/>
            <w:vMerge w:val="continue"/>
            <w:shd w:val="clear" w:color="auto" w:fill="FFFFFF"/>
            <w:vAlign w:val="center"/>
          </w:tcPr>
          <w:p>
            <w:pPr>
              <w:spacing w:line="0" w:lineRule="atLeast"/>
              <w:jc w:val="center"/>
              <w:rPr>
                <w:rFonts w:eastAsia="仿宋_GB2312"/>
                <w:kern w:val="0"/>
                <w:sz w:val="18"/>
                <w:szCs w:val="18"/>
              </w:rPr>
            </w:pPr>
          </w:p>
        </w:tc>
        <w:tc>
          <w:tcPr>
            <w:tcW w:w="1000" w:type="dxa"/>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资金管理</w:t>
            </w:r>
          </w:p>
        </w:tc>
        <w:tc>
          <w:tcPr>
            <w:tcW w:w="1071" w:type="dxa"/>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资金使用</w:t>
            </w:r>
          </w:p>
          <w:p>
            <w:pPr>
              <w:widowControl/>
              <w:spacing w:line="0" w:lineRule="atLeast"/>
              <w:jc w:val="center"/>
              <w:rPr>
                <w:rFonts w:eastAsia="仿宋_GB2312"/>
                <w:kern w:val="0"/>
                <w:sz w:val="18"/>
                <w:szCs w:val="18"/>
              </w:rPr>
            </w:pPr>
            <w:r>
              <w:rPr>
                <w:rFonts w:eastAsia="仿宋_GB2312"/>
                <w:kern w:val="0"/>
                <w:sz w:val="18"/>
                <w:szCs w:val="18"/>
              </w:rPr>
              <w:t>合规性</w:t>
            </w:r>
          </w:p>
        </w:tc>
        <w:tc>
          <w:tcPr>
            <w:tcW w:w="1724" w:type="dxa"/>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项目资金使用是否符合相关的财务管理制度规定，用以反映和考核项目资金的规范运行情况。</w:t>
            </w:r>
          </w:p>
        </w:tc>
        <w:tc>
          <w:tcPr>
            <w:tcW w:w="5219" w:type="dxa"/>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评价要点：</w:t>
            </w:r>
            <w:r>
              <w:rPr>
                <w:rFonts w:eastAsia="仿宋_GB2312"/>
                <w:kern w:val="0"/>
                <w:sz w:val="18"/>
                <w:szCs w:val="18"/>
              </w:rPr>
              <w:br w:type="textWrapping"/>
            </w:r>
            <w:r>
              <w:rPr>
                <w:rFonts w:eastAsia="仿宋_GB2312"/>
                <w:kern w:val="0"/>
                <w:sz w:val="18"/>
                <w:szCs w:val="18"/>
              </w:rPr>
              <w:t>①是否符合国家财经法规和财务管理制度以及有关专项资金管理办法的规定；</w:t>
            </w:r>
            <w:r>
              <w:rPr>
                <w:rFonts w:eastAsia="仿宋_GB2312"/>
                <w:kern w:val="0"/>
                <w:sz w:val="18"/>
                <w:szCs w:val="18"/>
              </w:rPr>
              <w:br w:type="textWrapping"/>
            </w:r>
            <w:r>
              <w:rPr>
                <w:rFonts w:eastAsia="仿宋_GB2312"/>
                <w:kern w:val="0"/>
                <w:sz w:val="18"/>
                <w:szCs w:val="18"/>
              </w:rPr>
              <w:t>②资金的拨付是否有完整的审批程序和手续；</w:t>
            </w:r>
            <w:r>
              <w:rPr>
                <w:rFonts w:eastAsia="仿宋_GB2312"/>
                <w:kern w:val="0"/>
                <w:sz w:val="18"/>
                <w:szCs w:val="18"/>
              </w:rPr>
              <w:br w:type="textWrapping"/>
            </w:r>
            <w:r>
              <w:rPr>
                <w:rFonts w:eastAsia="仿宋_GB2312"/>
                <w:kern w:val="0"/>
                <w:sz w:val="18"/>
                <w:szCs w:val="18"/>
              </w:rPr>
              <w:t>③是否符合项目预算批复或合同规定的用途；</w:t>
            </w:r>
            <w:r>
              <w:rPr>
                <w:rFonts w:eastAsia="仿宋_GB2312"/>
                <w:kern w:val="0"/>
                <w:sz w:val="18"/>
                <w:szCs w:val="18"/>
              </w:rPr>
              <w:br w:type="textWrapping"/>
            </w:r>
            <w:r>
              <w:rPr>
                <w:rFonts w:eastAsia="仿宋_GB2312"/>
                <w:kern w:val="0"/>
                <w:sz w:val="18"/>
                <w:szCs w:val="18"/>
              </w:rPr>
              <w:t>④是否存在截留、挤占、挪用、虚列支出等情况。</w:t>
            </w:r>
          </w:p>
        </w:tc>
        <w:tc>
          <w:tcPr>
            <w:tcW w:w="1304" w:type="dxa"/>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4</w:t>
            </w:r>
          </w:p>
        </w:tc>
        <w:tc>
          <w:tcPr>
            <w:tcW w:w="1364" w:type="dxa"/>
            <w:shd w:val="clear" w:color="000000"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1001" w:type="dxa"/>
            <w:vMerge w:val="continue"/>
            <w:shd w:val="clear" w:color="auto" w:fill="FFFFFF"/>
            <w:vAlign w:val="center"/>
          </w:tcPr>
          <w:p>
            <w:pPr>
              <w:spacing w:line="0" w:lineRule="atLeast"/>
              <w:jc w:val="center"/>
              <w:rPr>
                <w:rFonts w:eastAsia="仿宋_GB2312"/>
                <w:kern w:val="0"/>
                <w:sz w:val="18"/>
                <w:szCs w:val="18"/>
              </w:rPr>
            </w:pPr>
          </w:p>
        </w:tc>
        <w:tc>
          <w:tcPr>
            <w:tcW w:w="1000" w:type="dxa"/>
            <w:vMerge w:val="restar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组织实施</w:t>
            </w:r>
          </w:p>
          <w:p>
            <w:pPr>
              <w:spacing w:line="0" w:lineRule="atLeast"/>
              <w:jc w:val="center"/>
              <w:rPr>
                <w:rFonts w:eastAsia="仿宋_GB2312"/>
                <w:kern w:val="0"/>
                <w:sz w:val="18"/>
                <w:szCs w:val="18"/>
              </w:rPr>
            </w:pPr>
            <w:r>
              <w:rPr>
                <w:rFonts w:eastAsia="仿宋_GB2312"/>
                <w:kern w:val="0"/>
                <w:sz w:val="18"/>
                <w:szCs w:val="18"/>
              </w:rPr>
              <w:t>　</w:t>
            </w:r>
          </w:p>
        </w:tc>
        <w:tc>
          <w:tcPr>
            <w:tcW w:w="1071" w:type="dxa"/>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管理制度</w:t>
            </w:r>
          </w:p>
          <w:p>
            <w:pPr>
              <w:widowControl/>
              <w:spacing w:line="0" w:lineRule="atLeast"/>
              <w:jc w:val="center"/>
              <w:rPr>
                <w:rFonts w:eastAsia="仿宋_GB2312"/>
                <w:kern w:val="0"/>
                <w:sz w:val="18"/>
                <w:szCs w:val="18"/>
              </w:rPr>
            </w:pPr>
            <w:r>
              <w:rPr>
                <w:rFonts w:eastAsia="仿宋_GB2312"/>
                <w:kern w:val="0"/>
                <w:sz w:val="18"/>
                <w:szCs w:val="18"/>
              </w:rPr>
              <w:t>健全性</w:t>
            </w:r>
          </w:p>
        </w:tc>
        <w:tc>
          <w:tcPr>
            <w:tcW w:w="1724" w:type="dxa"/>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项目实施单位的财务和业务管理制度是否健全，用以反映和考核财务和业务管理制度对项目顺利实施的保障情况。</w:t>
            </w:r>
          </w:p>
        </w:tc>
        <w:tc>
          <w:tcPr>
            <w:tcW w:w="5219" w:type="dxa"/>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评价要点：</w:t>
            </w:r>
            <w:r>
              <w:rPr>
                <w:rFonts w:eastAsia="仿宋_GB2312"/>
                <w:kern w:val="0"/>
                <w:sz w:val="18"/>
                <w:szCs w:val="18"/>
              </w:rPr>
              <w:br w:type="textWrapping"/>
            </w:r>
            <w:r>
              <w:rPr>
                <w:rFonts w:eastAsia="仿宋_GB2312"/>
                <w:kern w:val="0"/>
                <w:sz w:val="18"/>
                <w:szCs w:val="18"/>
              </w:rPr>
              <w:t>①是否已制定或具有相应的财务和业务管理制度；</w:t>
            </w:r>
            <w:r>
              <w:rPr>
                <w:rFonts w:eastAsia="仿宋_GB2312"/>
                <w:kern w:val="0"/>
                <w:sz w:val="18"/>
                <w:szCs w:val="18"/>
              </w:rPr>
              <w:br w:type="textWrapping"/>
            </w:r>
            <w:r>
              <w:rPr>
                <w:rFonts w:eastAsia="仿宋_GB2312"/>
                <w:kern w:val="0"/>
                <w:sz w:val="18"/>
                <w:szCs w:val="18"/>
              </w:rPr>
              <w:t>②财务和业务管理制度是否合法、合规、完整。</w:t>
            </w:r>
          </w:p>
        </w:tc>
        <w:tc>
          <w:tcPr>
            <w:tcW w:w="1304" w:type="dxa"/>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4</w:t>
            </w:r>
          </w:p>
        </w:tc>
        <w:tc>
          <w:tcPr>
            <w:tcW w:w="1364" w:type="dxa"/>
            <w:shd w:val="clear" w:color="000000"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1001" w:type="dxa"/>
            <w:vMerge w:val="continue"/>
            <w:shd w:val="clear" w:color="auto" w:fill="FFFFFF"/>
            <w:vAlign w:val="center"/>
          </w:tcPr>
          <w:p>
            <w:pPr>
              <w:widowControl/>
              <w:spacing w:line="0" w:lineRule="atLeast"/>
              <w:jc w:val="center"/>
              <w:rPr>
                <w:rFonts w:eastAsia="仿宋_GB2312"/>
                <w:kern w:val="0"/>
                <w:sz w:val="18"/>
                <w:szCs w:val="18"/>
              </w:rPr>
            </w:pPr>
          </w:p>
        </w:tc>
        <w:tc>
          <w:tcPr>
            <w:tcW w:w="1000" w:type="dxa"/>
            <w:vMerge w:val="continue"/>
            <w:shd w:val="clear" w:color="auto" w:fill="FFFFFF"/>
            <w:vAlign w:val="center"/>
          </w:tcPr>
          <w:p>
            <w:pPr>
              <w:widowControl/>
              <w:spacing w:line="0" w:lineRule="atLeast"/>
              <w:jc w:val="center"/>
              <w:rPr>
                <w:rFonts w:eastAsia="仿宋_GB2312"/>
                <w:kern w:val="0"/>
                <w:sz w:val="18"/>
                <w:szCs w:val="18"/>
              </w:rPr>
            </w:pPr>
          </w:p>
        </w:tc>
        <w:tc>
          <w:tcPr>
            <w:tcW w:w="1071" w:type="dxa"/>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制度执行</w:t>
            </w:r>
          </w:p>
          <w:p>
            <w:pPr>
              <w:widowControl/>
              <w:spacing w:line="0" w:lineRule="atLeast"/>
              <w:jc w:val="center"/>
              <w:rPr>
                <w:rFonts w:eastAsia="仿宋_GB2312"/>
                <w:kern w:val="0"/>
                <w:sz w:val="18"/>
                <w:szCs w:val="18"/>
              </w:rPr>
            </w:pPr>
            <w:r>
              <w:rPr>
                <w:rFonts w:eastAsia="仿宋_GB2312"/>
                <w:kern w:val="0"/>
                <w:sz w:val="18"/>
                <w:szCs w:val="18"/>
              </w:rPr>
              <w:t>有效性</w:t>
            </w:r>
          </w:p>
        </w:tc>
        <w:tc>
          <w:tcPr>
            <w:tcW w:w="1724" w:type="dxa"/>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项目实施是否符合相关管理规定，用以反映和考核相关管理制度的有效执行情况。</w:t>
            </w:r>
          </w:p>
        </w:tc>
        <w:tc>
          <w:tcPr>
            <w:tcW w:w="5219" w:type="dxa"/>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评价要点：</w:t>
            </w:r>
            <w:r>
              <w:rPr>
                <w:rFonts w:eastAsia="仿宋_GB2312"/>
                <w:kern w:val="0"/>
                <w:sz w:val="18"/>
                <w:szCs w:val="18"/>
              </w:rPr>
              <w:br w:type="textWrapping"/>
            </w:r>
            <w:r>
              <w:rPr>
                <w:rFonts w:eastAsia="仿宋_GB2312"/>
                <w:kern w:val="0"/>
                <w:sz w:val="18"/>
                <w:szCs w:val="18"/>
              </w:rPr>
              <w:t>①是否遵守相关法律法规和相关管理规定；</w:t>
            </w:r>
            <w:r>
              <w:rPr>
                <w:rFonts w:eastAsia="仿宋_GB2312"/>
                <w:kern w:val="0"/>
                <w:sz w:val="18"/>
                <w:szCs w:val="18"/>
              </w:rPr>
              <w:br w:type="textWrapping"/>
            </w:r>
            <w:r>
              <w:rPr>
                <w:rFonts w:eastAsia="仿宋_GB2312"/>
                <w:kern w:val="0"/>
                <w:sz w:val="18"/>
                <w:szCs w:val="18"/>
              </w:rPr>
              <w:t>②项目调整及支出调整手续是否完备；</w:t>
            </w:r>
            <w:r>
              <w:rPr>
                <w:rFonts w:eastAsia="仿宋_GB2312"/>
                <w:kern w:val="0"/>
                <w:sz w:val="18"/>
                <w:szCs w:val="18"/>
              </w:rPr>
              <w:br w:type="textWrapping"/>
            </w:r>
            <w:r>
              <w:rPr>
                <w:rFonts w:eastAsia="仿宋_GB2312"/>
                <w:kern w:val="0"/>
                <w:sz w:val="18"/>
                <w:szCs w:val="18"/>
              </w:rPr>
              <w:t>③项目合同书、验收报告、技术鉴定等资料是否齐全并及时归档；</w:t>
            </w:r>
            <w:r>
              <w:rPr>
                <w:rFonts w:eastAsia="仿宋_GB2312"/>
                <w:kern w:val="0"/>
                <w:sz w:val="18"/>
                <w:szCs w:val="18"/>
              </w:rPr>
              <w:br w:type="textWrapping"/>
            </w:r>
            <w:r>
              <w:rPr>
                <w:rFonts w:eastAsia="仿宋_GB2312"/>
                <w:kern w:val="0"/>
                <w:sz w:val="18"/>
                <w:szCs w:val="18"/>
              </w:rPr>
              <w:t>④项目实施的人员条件、场地设备、信息支撑等是否落实到位。</w:t>
            </w:r>
          </w:p>
        </w:tc>
        <w:tc>
          <w:tcPr>
            <w:tcW w:w="1304" w:type="dxa"/>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4</w:t>
            </w:r>
          </w:p>
        </w:tc>
        <w:tc>
          <w:tcPr>
            <w:tcW w:w="1364" w:type="dxa"/>
            <w:shd w:val="clear" w:color="000000"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1001" w:type="dxa"/>
            <w:vMerge w:val="restar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产出</w:t>
            </w:r>
          </w:p>
        </w:tc>
        <w:tc>
          <w:tcPr>
            <w:tcW w:w="1000" w:type="dxa"/>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产出数量</w:t>
            </w:r>
          </w:p>
        </w:tc>
        <w:tc>
          <w:tcPr>
            <w:tcW w:w="1071" w:type="dxa"/>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实际完成率</w:t>
            </w:r>
          </w:p>
        </w:tc>
        <w:tc>
          <w:tcPr>
            <w:tcW w:w="1724" w:type="dxa"/>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项目实施的实际产出数与计划产出数的比率，用以反映和考核项目产出数量目标的实现程度。</w:t>
            </w:r>
          </w:p>
        </w:tc>
        <w:tc>
          <w:tcPr>
            <w:tcW w:w="5219" w:type="dxa"/>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实际完成率=（实际产出数/计划产出数）×100%。</w:t>
            </w:r>
            <w:r>
              <w:rPr>
                <w:rFonts w:eastAsia="仿宋_GB2312"/>
                <w:kern w:val="0"/>
                <w:sz w:val="18"/>
                <w:szCs w:val="18"/>
              </w:rPr>
              <w:br w:type="textWrapping"/>
            </w:r>
            <w:r>
              <w:rPr>
                <w:rFonts w:eastAsia="仿宋_GB2312"/>
                <w:kern w:val="0"/>
                <w:sz w:val="18"/>
                <w:szCs w:val="18"/>
              </w:rPr>
              <w:t>实际产出数：一定时期（本年度或项目期）内项目实际产出的产品或提供的服务数量。</w:t>
            </w:r>
            <w:r>
              <w:rPr>
                <w:rFonts w:eastAsia="仿宋_GB2312"/>
                <w:kern w:val="0"/>
                <w:sz w:val="18"/>
                <w:szCs w:val="18"/>
              </w:rPr>
              <w:br w:type="textWrapping"/>
            </w:r>
            <w:r>
              <w:rPr>
                <w:rFonts w:eastAsia="仿宋_GB2312"/>
                <w:kern w:val="0"/>
                <w:sz w:val="18"/>
                <w:szCs w:val="18"/>
              </w:rPr>
              <w:t>计划产出数：项目绩效目标确定的在一定时期（本年度或项目期）内计划产出的产品或提供的服务数量。</w:t>
            </w:r>
          </w:p>
        </w:tc>
        <w:tc>
          <w:tcPr>
            <w:tcW w:w="1304" w:type="dxa"/>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10</w:t>
            </w:r>
          </w:p>
        </w:tc>
        <w:tc>
          <w:tcPr>
            <w:tcW w:w="1364" w:type="dxa"/>
            <w:shd w:val="clear" w:color="000000"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73" w:hRule="atLeast"/>
          <w:jc w:val="center"/>
        </w:trPr>
        <w:tc>
          <w:tcPr>
            <w:tcW w:w="1001" w:type="dxa"/>
            <w:vMerge w:val="continue"/>
            <w:shd w:val="clear" w:color="auto" w:fill="FFFFFF"/>
            <w:vAlign w:val="center"/>
          </w:tcPr>
          <w:p>
            <w:pPr>
              <w:widowControl/>
              <w:spacing w:line="0" w:lineRule="atLeast"/>
              <w:jc w:val="center"/>
              <w:rPr>
                <w:rFonts w:eastAsia="仿宋_GB2312"/>
                <w:kern w:val="0"/>
                <w:sz w:val="18"/>
                <w:szCs w:val="18"/>
              </w:rPr>
            </w:pPr>
          </w:p>
        </w:tc>
        <w:tc>
          <w:tcPr>
            <w:tcW w:w="1000" w:type="dxa"/>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产出质量</w:t>
            </w:r>
          </w:p>
        </w:tc>
        <w:tc>
          <w:tcPr>
            <w:tcW w:w="1071" w:type="dxa"/>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质量达标率</w:t>
            </w:r>
          </w:p>
        </w:tc>
        <w:tc>
          <w:tcPr>
            <w:tcW w:w="1724" w:type="dxa"/>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项目完成的质量达标产出数与实际产出数的比率，用以反映和考核项目产出质量目标的实现程度。</w:t>
            </w:r>
          </w:p>
        </w:tc>
        <w:tc>
          <w:tcPr>
            <w:tcW w:w="5219" w:type="dxa"/>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质量达标率=（质量达标产出数/实际产出数）×100%。</w:t>
            </w:r>
          </w:p>
          <w:p>
            <w:pPr>
              <w:widowControl/>
              <w:spacing w:line="0" w:lineRule="atLeast"/>
              <w:rPr>
                <w:rFonts w:eastAsia="仿宋_GB2312"/>
                <w:kern w:val="0"/>
                <w:sz w:val="18"/>
                <w:szCs w:val="18"/>
              </w:rPr>
            </w:pPr>
            <w:r>
              <w:rPr>
                <w:rFonts w:eastAsia="仿宋_GB2312"/>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10</w:t>
            </w:r>
          </w:p>
        </w:tc>
        <w:tc>
          <w:tcPr>
            <w:tcW w:w="1364" w:type="dxa"/>
            <w:shd w:val="clear" w:color="000000"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1001" w:type="dxa"/>
            <w:vMerge w:val="continue"/>
            <w:shd w:val="clear" w:color="auto" w:fill="FFFFFF"/>
            <w:vAlign w:val="center"/>
          </w:tcPr>
          <w:p>
            <w:pPr>
              <w:spacing w:line="0" w:lineRule="atLeast"/>
              <w:jc w:val="center"/>
              <w:rPr>
                <w:rFonts w:eastAsia="仿宋_GB2312"/>
                <w:kern w:val="0"/>
                <w:sz w:val="18"/>
                <w:szCs w:val="18"/>
              </w:rPr>
            </w:pPr>
          </w:p>
        </w:tc>
        <w:tc>
          <w:tcPr>
            <w:tcW w:w="1000" w:type="dxa"/>
            <w:shd w:val="clear" w:color="auto" w:fill="FFFFFF"/>
            <w:vAlign w:val="center"/>
          </w:tcPr>
          <w:p>
            <w:pPr>
              <w:spacing w:line="0" w:lineRule="atLeast"/>
              <w:jc w:val="center"/>
              <w:rPr>
                <w:rFonts w:eastAsia="仿宋_GB2312"/>
                <w:kern w:val="0"/>
                <w:sz w:val="18"/>
                <w:szCs w:val="18"/>
              </w:rPr>
            </w:pPr>
            <w:r>
              <w:rPr>
                <w:rFonts w:eastAsia="仿宋_GB2312"/>
                <w:kern w:val="0"/>
                <w:sz w:val="18"/>
                <w:szCs w:val="18"/>
              </w:rPr>
              <w:t>产出时效</w:t>
            </w:r>
          </w:p>
        </w:tc>
        <w:tc>
          <w:tcPr>
            <w:tcW w:w="1071" w:type="dxa"/>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完成及时性</w:t>
            </w:r>
          </w:p>
        </w:tc>
        <w:tc>
          <w:tcPr>
            <w:tcW w:w="1724" w:type="dxa"/>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项目实际完成时间与计划完成时间的比较，用以反映和考核项目产出时效目标的实现程度。</w:t>
            </w:r>
          </w:p>
        </w:tc>
        <w:tc>
          <w:tcPr>
            <w:tcW w:w="5219" w:type="dxa"/>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实际完成时间：项目实施单位完成该项目实际所耗用的时间。</w:t>
            </w:r>
            <w:r>
              <w:rPr>
                <w:rFonts w:eastAsia="仿宋_GB2312"/>
                <w:kern w:val="0"/>
                <w:sz w:val="18"/>
                <w:szCs w:val="18"/>
              </w:rPr>
              <w:br w:type="textWrapping"/>
            </w:r>
            <w:r>
              <w:rPr>
                <w:rFonts w:eastAsia="仿宋_GB2312"/>
                <w:kern w:val="0"/>
                <w:sz w:val="18"/>
                <w:szCs w:val="18"/>
              </w:rPr>
              <w:t>计划完成时间：按照项目实施计划或相关规定完成该项目所需的时间。</w:t>
            </w:r>
          </w:p>
        </w:tc>
        <w:tc>
          <w:tcPr>
            <w:tcW w:w="1304" w:type="dxa"/>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10</w:t>
            </w:r>
          </w:p>
        </w:tc>
        <w:tc>
          <w:tcPr>
            <w:tcW w:w="1364" w:type="dxa"/>
            <w:shd w:val="clear" w:color="000000"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1001" w:type="dxa"/>
            <w:vMerge w:val="continue"/>
            <w:shd w:val="clear" w:color="auto" w:fill="FFFFFF"/>
            <w:vAlign w:val="center"/>
          </w:tcPr>
          <w:p>
            <w:pPr>
              <w:widowControl/>
              <w:spacing w:line="0" w:lineRule="atLeast"/>
              <w:jc w:val="center"/>
              <w:rPr>
                <w:rFonts w:eastAsia="仿宋_GB2312"/>
                <w:kern w:val="0"/>
                <w:sz w:val="18"/>
                <w:szCs w:val="18"/>
              </w:rPr>
            </w:pPr>
          </w:p>
        </w:tc>
        <w:tc>
          <w:tcPr>
            <w:tcW w:w="1000" w:type="dxa"/>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产出成本</w:t>
            </w:r>
          </w:p>
        </w:tc>
        <w:tc>
          <w:tcPr>
            <w:tcW w:w="1071" w:type="dxa"/>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成本节约率</w:t>
            </w:r>
          </w:p>
        </w:tc>
        <w:tc>
          <w:tcPr>
            <w:tcW w:w="1724" w:type="dxa"/>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完成项目计划工作目标的实际节约成本与计划成本的比率，用以反映和考核项目的成本节约程度。</w:t>
            </w:r>
          </w:p>
        </w:tc>
        <w:tc>
          <w:tcPr>
            <w:tcW w:w="5219" w:type="dxa"/>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br w:type="textWrapping"/>
            </w:r>
            <w:r>
              <w:rPr>
                <w:rFonts w:eastAsia="仿宋_GB2312"/>
                <w:kern w:val="0"/>
                <w:sz w:val="18"/>
                <w:szCs w:val="18"/>
              </w:rPr>
              <w:t>成本节约率=[（计划成本-实际成本）/计划成本]×100%。</w:t>
            </w:r>
            <w:r>
              <w:rPr>
                <w:rFonts w:eastAsia="仿宋_GB2312"/>
                <w:kern w:val="0"/>
                <w:sz w:val="18"/>
                <w:szCs w:val="18"/>
              </w:rPr>
              <w:br w:type="textWrapping"/>
            </w:r>
            <w:r>
              <w:rPr>
                <w:rFonts w:eastAsia="仿宋_GB2312"/>
                <w:kern w:val="0"/>
                <w:sz w:val="18"/>
                <w:szCs w:val="18"/>
              </w:rPr>
              <w:t>实际成本：项目实施单位如期、保质、保量完成既定工作目标实际所耗费的支出。</w:t>
            </w:r>
            <w:r>
              <w:rPr>
                <w:rFonts w:eastAsia="仿宋_GB2312"/>
                <w:kern w:val="0"/>
                <w:sz w:val="18"/>
                <w:szCs w:val="18"/>
              </w:rPr>
              <w:br w:type="textWrapping"/>
            </w:r>
            <w:r>
              <w:rPr>
                <w:rFonts w:eastAsia="仿宋_GB2312"/>
                <w:kern w:val="0"/>
                <w:sz w:val="18"/>
                <w:szCs w:val="18"/>
              </w:rPr>
              <w:t>计划成本：项目实施单位为完成工作目标计划安排的支出，一般以项目预算为参考。</w:t>
            </w:r>
          </w:p>
        </w:tc>
        <w:tc>
          <w:tcPr>
            <w:tcW w:w="1304" w:type="dxa"/>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10</w:t>
            </w:r>
          </w:p>
        </w:tc>
        <w:tc>
          <w:tcPr>
            <w:tcW w:w="1364" w:type="dxa"/>
            <w:shd w:val="clear" w:color="000000"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1001" w:type="dxa"/>
            <w:vMerge w:val="restar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效益　</w:t>
            </w:r>
          </w:p>
        </w:tc>
        <w:tc>
          <w:tcPr>
            <w:tcW w:w="1000" w:type="dxa"/>
            <w:vMerge w:val="restar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项目效益　</w:t>
            </w:r>
          </w:p>
        </w:tc>
        <w:tc>
          <w:tcPr>
            <w:tcW w:w="1071" w:type="dxa"/>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实施效益</w:t>
            </w:r>
          </w:p>
        </w:tc>
        <w:tc>
          <w:tcPr>
            <w:tcW w:w="1724" w:type="dxa"/>
            <w:shd w:val="clear" w:color="auto" w:fill="FFFFFF"/>
            <w:vAlign w:val="center"/>
          </w:tcPr>
          <w:p>
            <w:pPr>
              <w:widowControl/>
              <w:spacing w:line="0" w:lineRule="atLeast"/>
              <w:jc w:val="left"/>
              <w:rPr>
                <w:rFonts w:eastAsia="仿宋_GB2312"/>
                <w:kern w:val="0"/>
                <w:sz w:val="18"/>
                <w:szCs w:val="18"/>
              </w:rPr>
            </w:pPr>
            <w:r>
              <w:rPr>
                <w:rFonts w:eastAsia="仿宋_GB2312"/>
                <w:kern w:val="0"/>
                <w:sz w:val="18"/>
                <w:szCs w:val="18"/>
              </w:rPr>
              <w:t>项目实施所产生的效益。</w:t>
            </w:r>
          </w:p>
        </w:tc>
        <w:tc>
          <w:tcPr>
            <w:tcW w:w="5219" w:type="dxa"/>
            <w:shd w:val="clear" w:color="auto" w:fill="FFFFFF"/>
            <w:vAlign w:val="center"/>
          </w:tcPr>
          <w:p>
            <w:pPr>
              <w:widowControl/>
              <w:spacing w:line="0" w:lineRule="atLeast"/>
              <w:rPr>
                <w:rFonts w:eastAsia="仿宋_GB2312"/>
                <w:kern w:val="0"/>
                <w:sz w:val="18"/>
                <w:szCs w:val="18"/>
              </w:rPr>
            </w:pPr>
            <w:r>
              <w:rPr>
                <w:rFonts w:eastAsia="仿宋_GB2312"/>
                <w:kern w:val="0"/>
                <w:sz w:val="18"/>
                <w:szCs w:val="18"/>
              </w:rPr>
              <w:t>项目实施所产生的社会效益、经济效益、生态效益、可持续影响等。可根据项目实际情况有选择地设置和细化。</w:t>
            </w:r>
          </w:p>
        </w:tc>
        <w:tc>
          <w:tcPr>
            <w:tcW w:w="1304" w:type="dxa"/>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10</w:t>
            </w:r>
          </w:p>
        </w:tc>
        <w:tc>
          <w:tcPr>
            <w:tcW w:w="1364" w:type="dxa"/>
            <w:shd w:val="clear" w:color="auto"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1001" w:type="dxa"/>
            <w:vMerge w:val="continue"/>
            <w:shd w:val="clear" w:color="auto" w:fill="FFFFFF"/>
            <w:vAlign w:val="center"/>
          </w:tcPr>
          <w:p>
            <w:pPr>
              <w:widowControl/>
              <w:spacing w:line="0" w:lineRule="atLeast"/>
              <w:jc w:val="center"/>
              <w:rPr>
                <w:rFonts w:eastAsia="仿宋_GB2312"/>
                <w:kern w:val="0"/>
                <w:sz w:val="18"/>
                <w:szCs w:val="18"/>
              </w:rPr>
            </w:pPr>
          </w:p>
        </w:tc>
        <w:tc>
          <w:tcPr>
            <w:tcW w:w="1000" w:type="dxa"/>
            <w:vMerge w:val="continue"/>
            <w:shd w:val="clear" w:color="auto" w:fill="FFFFFF"/>
            <w:vAlign w:val="center"/>
          </w:tcPr>
          <w:p>
            <w:pPr>
              <w:widowControl/>
              <w:spacing w:line="0" w:lineRule="atLeast"/>
              <w:jc w:val="center"/>
              <w:rPr>
                <w:rFonts w:eastAsia="仿宋_GB2312"/>
                <w:kern w:val="0"/>
                <w:sz w:val="18"/>
                <w:szCs w:val="18"/>
              </w:rPr>
            </w:pPr>
          </w:p>
        </w:tc>
        <w:tc>
          <w:tcPr>
            <w:tcW w:w="1071" w:type="dxa"/>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满意度</w:t>
            </w:r>
          </w:p>
        </w:tc>
        <w:tc>
          <w:tcPr>
            <w:tcW w:w="1724" w:type="dxa"/>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社会公众或服务对象对项目实施效果的满意程度。</w:t>
            </w:r>
          </w:p>
        </w:tc>
        <w:tc>
          <w:tcPr>
            <w:tcW w:w="5219" w:type="dxa"/>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社会公众或服务对象是指因该项目实施而受到影响的部门（单位）、群体或个人。一般采取社会调查的方式。</w:t>
            </w:r>
          </w:p>
        </w:tc>
        <w:tc>
          <w:tcPr>
            <w:tcW w:w="1304" w:type="dxa"/>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10</w:t>
            </w:r>
          </w:p>
        </w:tc>
        <w:tc>
          <w:tcPr>
            <w:tcW w:w="1364" w:type="dxa"/>
            <w:shd w:val="clear" w:color="000000"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93" w:hRule="atLeast"/>
          <w:jc w:val="center"/>
        </w:trPr>
        <w:tc>
          <w:tcPr>
            <w:tcW w:w="10015" w:type="dxa"/>
            <w:gridSpan w:val="5"/>
            <w:shd w:val="clear" w:color="auto"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合计</w:t>
            </w:r>
          </w:p>
        </w:tc>
        <w:tc>
          <w:tcPr>
            <w:tcW w:w="1304" w:type="dxa"/>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fldChar w:fldCharType="begin"/>
            </w:r>
            <w:r>
              <w:rPr>
                <w:rFonts w:eastAsia="仿宋_GB2312"/>
                <w:b/>
                <w:bCs/>
                <w:kern w:val="0"/>
                <w:sz w:val="18"/>
                <w:szCs w:val="18"/>
              </w:rPr>
              <w:instrText xml:space="preserve"> = sum(F2:F18) \* MERGEFORMAT </w:instrText>
            </w:r>
            <w:r>
              <w:rPr>
                <w:rFonts w:eastAsia="仿宋_GB2312"/>
                <w:b/>
                <w:bCs/>
                <w:kern w:val="0"/>
                <w:sz w:val="18"/>
                <w:szCs w:val="18"/>
              </w:rPr>
              <w:fldChar w:fldCharType="separate"/>
            </w:r>
            <w:r>
              <w:rPr>
                <w:rFonts w:eastAsia="仿宋_GB2312"/>
                <w:b/>
                <w:bCs/>
                <w:kern w:val="0"/>
                <w:sz w:val="18"/>
                <w:szCs w:val="18"/>
              </w:rPr>
              <w:t>100</w:t>
            </w:r>
            <w:r>
              <w:rPr>
                <w:rFonts w:eastAsia="仿宋_GB2312"/>
                <w:b/>
                <w:bCs/>
                <w:kern w:val="0"/>
                <w:sz w:val="18"/>
                <w:szCs w:val="18"/>
              </w:rPr>
              <w:fldChar w:fldCharType="end"/>
            </w:r>
          </w:p>
        </w:tc>
        <w:tc>
          <w:tcPr>
            <w:tcW w:w="1364" w:type="dxa"/>
            <w:shd w:val="clear" w:color="000000"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100</w:t>
            </w:r>
          </w:p>
        </w:tc>
      </w:tr>
    </w:tbl>
    <w:p>
      <w:pPr>
        <w:sectPr>
          <w:pgSz w:w="16838" w:h="11906" w:orient="landscape"/>
          <w:pgMar w:top="1800" w:right="1440" w:bottom="1558" w:left="1440" w:header="851" w:footer="992" w:gutter="0"/>
          <w:cols w:space="425" w:num="1"/>
          <w:docGrid w:type="lines" w:linePitch="312" w:charSpace="0"/>
        </w:sectPr>
      </w:pPr>
    </w:p>
    <w:tbl>
      <w:tblPr>
        <w:tblStyle w:val="14"/>
        <w:tblW w:w="12348" w:type="dxa"/>
        <w:tblInd w:w="0" w:type="dxa"/>
        <w:tblLayout w:type="fixed"/>
        <w:tblCellMar>
          <w:top w:w="0" w:type="dxa"/>
          <w:left w:w="0" w:type="dxa"/>
          <w:bottom w:w="0" w:type="dxa"/>
          <w:right w:w="0" w:type="dxa"/>
        </w:tblCellMar>
      </w:tblPr>
      <w:tblGrid>
        <w:gridCol w:w="856"/>
        <w:gridCol w:w="856"/>
        <w:gridCol w:w="877"/>
        <w:gridCol w:w="1287"/>
        <w:gridCol w:w="1199"/>
        <w:gridCol w:w="738"/>
        <w:gridCol w:w="1238"/>
        <w:gridCol w:w="1112"/>
        <w:gridCol w:w="680"/>
        <w:gridCol w:w="625"/>
        <w:gridCol w:w="696"/>
        <w:gridCol w:w="542"/>
        <w:gridCol w:w="581"/>
        <w:gridCol w:w="1061"/>
      </w:tblGrid>
      <w:tr>
        <w:tblPrEx>
          <w:tblLayout w:type="fixed"/>
          <w:tblCellMar>
            <w:top w:w="0" w:type="dxa"/>
            <w:left w:w="0" w:type="dxa"/>
            <w:bottom w:w="0" w:type="dxa"/>
            <w:right w:w="0" w:type="dxa"/>
          </w:tblCellMar>
        </w:tblPrEx>
        <w:trPr>
          <w:trHeight w:val="408" w:hRule="atLeast"/>
        </w:trPr>
        <w:tc>
          <w:tcPr>
            <w:tcW w:w="12348" w:type="dxa"/>
            <w:gridSpan w:val="14"/>
            <w:tcBorders>
              <w:top w:val="nil"/>
              <w:left w:val="nil"/>
              <w:bottom w:val="nil"/>
              <w:right w:val="nil"/>
            </w:tcBorders>
            <w:shd w:val="clear" w:color="auto" w:fill="auto"/>
            <w:tcMar>
              <w:top w:w="12" w:type="dxa"/>
              <w:left w:w="12" w:type="dxa"/>
              <w:right w:w="12" w:type="dxa"/>
            </w:tcMar>
            <w:vAlign w:val="center"/>
          </w:tcPr>
          <w:p>
            <w:pPr>
              <w:widowControl/>
              <w:jc w:val="center"/>
              <w:textAlignment w:val="center"/>
              <w:rPr>
                <w:rFonts w:ascii="宋体" w:hAnsi="宋体" w:cs="宋体"/>
                <w:b/>
                <w:color w:val="000000"/>
                <w:sz w:val="32"/>
                <w:szCs w:val="32"/>
              </w:rPr>
            </w:pPr>
            <w:r>
              <w:rPr>
                <w:rFonts w:hint="eastAsia" w:ascii="宋体" w:hAnsi="宋体" w:cs="宋体"/>
                <w:b/>
                <w:color w:val="000000"/>
                <w:kern w:val="0"/>
                <w:sz w:val="32"/>
                <w:szCs w:val="32"/>
                <w:lang w:bidi="ar"/>
              </w:rPr>
              <w:t>项目支出绩效自评表</w:t>
            </w:r>
          </w:p>
        </w:tc>
      </w:tr>
      <w:tr>
        <w:tblPrEx>
          <w:tblLayout w:type="fixed"/>
          <w:tblCellMar>
            <w:top w:w="0" w:type="dxa"/>
            <w:left w:w="0" w:type="dxa"/>
            <w:bottom w:w="0" w:type="dxa"/>
            <w:right w:w="0" w:type="dxa"/>
          </w:tblCellMar>
        </w:tblPrEx>
        <w:trPr>
          <w:trHeight w:val="288" w:hRule="atLeast"/>
        </w:trPr>
        <w:tc>
          <w:tcPr>
            <w:tcW w:w="12348" w:type="dxa"/>
            <w:gridSpan w:val="14"/>
            <w:tcBorders>
              <w:top w:val="nil"/>
              <w:left w:val="nil"/>
              <w:bottom w:val="nil"/>
              <w:right w:val="nil"/>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(2024年度)</w:t>
            </w:r>
          </w:p>
        </w:tc>
      </w:tr>
      <w:tr>
        <w:tblPrEx>
          <w:tblLayout w:type="fixed"/>
          <w:tblCellMar>
            <w:top w:w="0" w:type="dxa"/>
            <w:left w:w="0" w:type="dxa"/>
            <w:bottom w:w="0" w:type="dxa"/>
            <w:right w:w="0" w:type="dxa"/>
          </w:tblCellMar>
        </w:tblPrEx>
        <w:trPr>
          <w:trHeight w:val="288" w:hRule="atLeast"/>
        </w:trPr>
        <w:tc>
          <w:tcPr>
            <w:tcW w:w="171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项目名称</w:t>
            </w:r>
          </w:p>
        </w:tc>
        <w:tc>
          <w:tcPr>
            <w:tcW w:w="10636" w:type="dxa"/>
            <w:gridSpan w:val="1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昌州财教[2023]90号关于提前下达2024年城乡义务教育补助经费预算[中央直达资金]的通知-小学公用经费</w:t>
            </w:r>
          </w:p>
        </w:tc>
      </w:tr>
      <w:tr>
        <w:tblPrEx>
          <w:tblLayout w:type="fixed"/>
          <w:tblCellMar>
            <w:top w:w="0" w:type="dxa"/>
            <w:left w:w="0" w:type="dxa"/>
            <w:bottom w:w="0" w:type="dxa"/>
            <w:right w:w="0" w:type="dxa"/>
          </w:tblCellMar>
        </w:tblPrEx>
        <w:trPr>
          <w:trHeight w:val="288" w:hRule="atLeast"/>
        </w:trPr>
        <w:tc>
          <w:tcPr>
            <w:tcW w:w="171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主管部门</w:t>
            </w:r>
          </w:p>
        </w:tc>
        <w:tc>
          <w:tcPr>
            <w:tcW w:w="5339"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奇台县五马场哈萨克族乡中心学校</w:t>
            </w:r>
          </w:p>
        </w:tc>
        <w:tc>
          <w:tcPr>
            <w:tcW w:w="179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实施单位</w:t>
            </w:r>
          </w:p>
        </w:tc>
        <w:tc>
          <w:tcPr>
            <w:tcW w:w="3505"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奇台县五马场哈萨克族乡中心学校</w:t>
            </w:r>
          </w:p>
        </w:tc>
      </w:tr>
      <w:tr>
        <w:tblPrEx>
          <w:tblLayout w:type="fixed"/>
          <w:tblCellMar>
            <w:top w:w="0" w:type="dxa"/>
            <w:left w:w="0" w:type="dxa"/>
            <w:bottom w:w="0" w:type="dxa"/>
            <w:right w:w="0" w:type="dxa"/>
          </w:tblCellMar>
        </w:tblPrEx>
        <w:trPr>
          <w:trHeight w:val="480" w:hRule="atLeast"/>
        </w:trPr>
        <w:tc>
          <w:tcPr>
            <w:tcW w:w="171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项目资金</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（万元）</w:t>
            </w:r>
          </w:p>
        </w:tc>
        <w:tc>
          <w:tcPr>
            <w:tcW w:w="216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19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年初预算数</w:t>
            </w:r>
          </w:p>
        </w:tc>
        <w:tc>
          <w:tcPr>
            <w:tcW w:w="19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全年预算数</w:t>
            </w:r>
          </w:p>
        </w:tc>
        <w:tc>
          <w:tcPr>
            <w:tcW w:w="179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全年执行数</w:t>
            </w:r>
          </w:p>
        </w:tc>
        <w:tc>
          <w:tcPr>
            <w:tcW w:w="132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分值</w:t>
            </w:r>
          </w:p>
        </w:tc>
        <w:tc>
          <w:tcPr>
            <w:tcW w:w="112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执行率</w:t>
            </w:r>
          </w:p>
        </w:tc>
        <w:tc>
          <w:tcPr>
            <w:tcW w:w="106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得分</w:t>
            </w:r>
          </w:p>
        </w:tc>
      </w:tr>
      <w:tr>
        <w:tblPrEx>
          <w:tblLayout w:type="fixed"/>
          <w:tblCellMar>
            <w:top w:w="0" w:type="dxa"/>
            <w:left w:w="0" w:type="dxa"/>
            <w:bottom w:w="0" w:type="dxa"/>
            <w:right w:w="0" w:type="dxa"/>
          </w:tblCellMar>
        </w:tblPrEx>
        <w:trPr>
          <w:trHeight w:val="440" w:hRule="atLeast"/>
        </w:trPr>
        <w:tc>
          <w:tcPr>
            <w:tcW w:w="171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16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年度资金总额</w:t>
            </w:r>
          </w:p>
        </w:tc>
        <w:tc>
          <w:tcPr>
            <w:tcW w:w="119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93.99</w:t>
            </w:r>
          </w:p>
        </w:tc>
        <w:tc>
          <w:tcPr>
            <w:tcW w:w="19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80.61</w:t>
            </w:r>
          </w:p>
        </w:tc>
        <w:tc>
          <w:tcPr>
            <w:tcW w:w="179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80.61</w:t>
            </w:r>
          </w:p>
        </w:tc>
        <w:tc>
          <w:tcPr>
            <w:tcW w:w="132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112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100.00%</w:t>
            </w:r>
          </w:p>
        </w:tc>
        <w:tc>
          <w:tcPr>
            <w:tcW w:w="106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10.00分</w:t>
            </w:r>
          </w:p>
        </w:tc>
      </w:tr>
      <w:tr>
        <w:tblPrEx>
          <w:tblLayout w:type="fixed"/>
          <w:tblCellMar>
            <w:top w:w="0" w:type="dxa"/>
            <w:left w:w="0" w:type="dxa"/>
            <w:bottom w:w="0" w:type="dxa"/>
            <w:right w:w="0" w:type="dxa"/>
          </w:tblCellMar>
        </w:tblPrEx>
        <w:trPr>
          <w:trHeight w:val="440" w:hRule="atLeast"/>
        </w:trPr>
        <w:tc>
          <w:tcPr>
            <w:tcW w:w="171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16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其中：当年财政拨款</w:t>
            </w:r>
          </w:p>
        </w:tc>
        <w:tc>
          <w:tcPr>
            <w:tcW w:w="119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93.99</w:t>
            </w:r>
          </w:p>
        </w:tc>
        <w:tc>
          <w:tcPr>
            <w:tcW w:w="19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80.61</w:t>
            </w:r>
          </w:p>
        </w:tc>
        <w:tc>
          <w:tcPr>
            <w:tcW w:w="179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80.61 </w:t>
            </w:r>
          </w:p>
        </w:tc>
        <w:tc>
          <w:tcPr>
            <w:tcW w:w="132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112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106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r>
      <w:tr>
        <w:tblPrEx>
          <w:tblLayout w:type="fixed"/>
          <w:tblCellMar>
            <w:top w:w="0" w:type="dxa"/>
            <w:left w:w="0" w:type="dxa"/>
            <w:bottom w:w="0" w:type="dxa"/>
            <w:right w:w="0" w:type="dxa"/>
          </w:tblCellMar>
        </w:tblPrEx>
        <w:trPr>
          <w:trHeight w:val="440" w:hRule="atLeast"/>
        </w:trPr>
        <w:tc>
          <w:tcPr>
            <w:tcW w:w="171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16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上年结转资金</w:t>
            </w:r>
          </w:p>
        </w:tc>
        <w:tc>
          <w:tcPr>
            <w:tcW w:w="119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9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79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32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112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106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r>
      <w:tr>
        <w:tblPrEx>
          <w:tblLayout w:type="fixed"/>
          <w:tblCellMar>
            <w:top w:w="0" w:type="dxa"/>
            <w:left w:w="0" w:type="dxa"/>
            <w:bottom w:w="0" w:type="dxa"/>
            <w:right w:w="0" w:type="dxa"/>
          </w:tblCellMar>
        </w:tblPrEx>
        <w:trPr>
          <w:trHeight w:val="440" w:hRule="atLeast"/>
        </w:trPr>
        <w:tc>
          <w:tcPr>
            <w:tcW w:w="171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16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其他资金</w:t>
            </w:r>
          </w:p>
        </w:tc>
        <w:tc>
          <w:tcPr>
            <w:tcW w:w="119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19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0.00</w:t>
            </w:r>
          </w:p>
        </w:tc>
        <w:tc>
          <w:tcPr>
            <w:tcW w:w="179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32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112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106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r>
      <w:tr>
        <w:tblPrEx>
          <w:tblLayout w:type="fixed"/>
          <w:tblCellMar>
            <w:top w:w="0" w:type="dxa"/>
            <w:left w:w="0" w:type="dxa"/>
            <w:bottom w:w="0" w:type="dxa"/>
            <w:right w:w="0" w:type="dxa"/>
          </w:tblCellMar>
        </w:tblPrEx>
        <w:trPr>
          <w:trHeight w:val="288" w:hRule="atLeast"/>
        </w:trPr>
        <w:tc>
          <w:tcPr>
            <w:tcW w:w="85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年度总体目标</w:t>
            </w:r>
          </w:p>
        </w:tc>
        <w:tc>
          <w:tcPr>
            <w:tcW w:w="6195"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预期目标</w:t>
            </w:r>
          </w:p>
        </w:tc>
        <w:tc>
          <w:tcPr>
            <w:tcW w:w="5297"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实际完成情况</w:t>
            </w:r>
          </w:p>
        </w:tc>
      </w:tr>
      <w:tr>
        <w:tblPrEx>
          <w:tblLayout w:type="fixed"/>
          <w:tblCellMar>
            <w:top w:w="0" w:type="dxa"/>
            <w:left w:w="0" w:type="dxa"/>
            <w:bottom w:w="0" w:type="dxa"/>
            <w:right w:w="0" w:type="dxa"/>
          </w:tblCellMar>
        </w:tblPrEx>
        <w:trPr>
          <w:trHeight w:val="540" w:hRule="atLeast"/>
        </w:trPr>
        <w:tc>
          <w:tcPr>
            <w:tcW w:w="8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6195"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tcPr>
          <w:p>
            <w:pPr>
              <w:widowControl/>
              <w:jc w:val="left"/>
              <w:textAlignment w:val="top"/>
              <w:rPr>
                <w:rFonts w:ascii="宋体" w:hAnsi="宋体" w:cs="宋体"/>
                <w:color w:val="000000"/>
                <w:sz w:val="20"/>
                <w:szCs w:val="20"/>
              </w:rPr>
            </w:pPr>
            <w:r>
              <w:rPr>
                <w:rFonts w:hint="eastAsia" w:ascii="宋体" w:hAnsi="宋体" w:cs="宋体"/>
                <w:color w:val="000000"/>
                <w:kern w:val="0"/>
                <w:sz w:val="20"/>
                <w:szCs w:val="20"/>
                <w:lang w:bidi="ar"/>
              </w:rPr>
              <w:t>本项目拟投入80.6195万元，用于发放2024年义务教育保障机制经费，其中，学生人数538人，随班就读残疾学生3人，本项目拟投入39.6875万元用于发放2024年义务教育保障机制经费，其中，寄宿生补助学生人数150人，资金发放（补助）准确率达到100%，公用经费受益师生人数538人，学生家庭经济负担有效降低，家长满意度、学生满意度、教师满意度大于等于90%。</w:t>
            </w:r>
          </w:p>
        </w:tc>
        <w:tc>
          <w:tcPr>
            <w:tcW w:w="5297"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tcPr>
          <w:p>
            <w:pPr>
              <w:widowControl/>
              <w:jc w:val="left"/>
              <w:textAlignment w:val="top"/>
              <w:rPr>
                <w:rFonts w:ascii="宋体" w:hAnsi="宋体" w:cs="宋体"/>
                <w:color w:val="000000"/>
                <w:sz w:val="20"/>
                <w:szCs w:val="20"/>
              </w:rPr>
            </w:pPr>
            <w:r>
              <w:rPr>
                <w:rFonts w:hint="eastAsia" w:ascii="宋体" w:hAnsi="宋体" w:cs="宋体"/>
                <w:color w:val="000000"/>
                <w:kern w:val="0"/>
                <w:sz w:val="20"/>
                <w:szCs w:val="20"/>
                <w:lang w:bidi="ar"/>
              </w:rPr>
              <w:t>本项目拟投入80.6195万元，用于发放2024年义务教育保障机制经费，其中，学生人数538人，随班就读残疾学生3人，本项目拟投入39.6875万元用于发放2024年义务教育保障机制经费，其中，寄宿生补助学生人数150人，资金发放（补助）准确率达到100%，公用经费受益师生人数538人，学生家庭经济负担有效降低，家长满意度、学生满意度、教师满意度大于等于90%。</w:t>
            </w:r>
          </w:p>
        </w:tc>
      </w:tr>
      <w:tr>
        <w:tblPrEx>
          <w:tblLayout w:type="fixed"/>
          <w:tblCellMar>
            <w:top w:w="0" w:type="dxa"/>
            <w:left w:w="0" w:type="dxa"/>
            <w:bottom w:w="0" w:type="dxa"/>
            <w:right w:w="0" w:type="dxa"/>
          </w:tblCellMar>
        </w:tblPrEx>
        <w:trPr>
          <w:trHeight w:val="312" w:hRule="atLeast"/>
        </w:trPr>
        <w:tc>
          <w:tcPr>
            <w:tcW w:w="85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85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一级指标</w:t>
            </w:r>
          </w:p>
        </w:tc>
        <w:tc>
          <w:tcPr>
            <w:tcW w:w="877"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二级指标</w:t>
            </w:r>
          </w:p>
        </w:tc>
        <w:tc>
          <w:tcPr>
            <w:tcW w:w="3224"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三级指标</w:t>
            </w:r>
          </w:p>
        </w:tc>
        <w:tc>
          <w:tcPr>
            <w:tcW w:w="12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年度指标值</w:t>
            </w:r>
          </w:p>
        </w:tc>
        <w:tc>
          <w:tcPr>
            <w:tcW w:w="111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实际完成值</w:t>
            </w:r>
          </w:p>
        </w:tc>
        <w:tc>
          <w:tcPr>
            <w:tcW w:w="130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分值</w:t>
            </w:r>
          </w:p>
        </w:tc>
        <w:tc>
          <w:tcPr>
            <w:tcW w:w="123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得分</w:t>
            </w:r>
          </w:p>
        </w:tc>
        <w:tc>
          <w:tcPr>
            <w:tcW w:w="164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偏差原因分析及改进措施</w:t>
            </w:r>
          </w:p>
        </w:tc>
      </w:tr>
      <w:tr>
        <w:tblPrEx>
          <w:tblLayout w:type="fixed"/>
          <w:tblCellMar>
            <w:top w:w="0" w:type="dxa"/>
            <w:left w:w="0" w:type="dxa"/>
            <w:bottom w:w="0" w:type="dxa"/>
            <w:right w:w="0" w:type="dxa"/>
          </w:tblCellMar>
        </w:tblPrEx>
        <w:trPr>
          <w:trHeight w:val="312" w:hRule="atLeast"/>
        </w:trPr>
        <w:tc>
          <w:tcPr>
            <w:tcW w:w="8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8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8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322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2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3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23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64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r>
      <w:tr>
        <w:tblPrEx>
          <w:tblLayout w:type="fixed"/>
          <w:tblCellMar>
            <w:top w:w="0" w:type="dxa"/>
            <w:left w:w="0" w:type="dxa"/>
            <w:bottom w:w="0" w:type="dxa"/>
            <w:right w:w="0" w:type="dxa"/>
          </w:tblCellMar>
        </w:tblPrEx>
        <w:trPr>
          <w:trHeight w:val="400" w:hRule="atLeast"/>
        </w:trPr>
        <w:tc>
          <w:tcPr>
            <w:tcW w:w="85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年度绩效指标完成情况</w:t>
            </w:r>
          </w:p>
        </w:tc>
        <w:tc>
          <w:tcPr>
            <w:tcW w:w="85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产出指标</w:t>
            </w: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数量指标</w:t>
            </w:r>
          </w:p>
        </w:tc>
        <w:tc>
          <w:tcPr>
            <w:tcW w:w="322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寄宿生补助学生人数（人）</w:t>
            </w:r>
          </w:p>
        </w:tc>
        <w:tc>
          <w:tcPr>
            <w:tcW w:w="12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=150人</w:t>
            </w:r>
          </w:p>
        </w:tc>
        <w:tc>
          <w:tcPr>
            <w:tcW w:w="11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=150人</w:t>
            </w:r>
          </w:p>
        </w:tc>
        <w:tc>
          <w:tcPr>
            <w:tcW w:w="130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1238"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164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r>
      <w:tr>
        <w:tblPrEx>
          <w:tblLayout w:type="fixed"/>
          <w:tblCellMar>
            <w:top w:w="0" w:type="dxa"/>
            <w:left w:w="0" w:type="dxa"/>
            <w:bottom w:w="0" w:type="dxa"/>
            <w:right w:w="0" w:type="dxa"/>
          </w:tblCellMar>
        </w:tblPrEx>
        <w:trPr>
          <w:trHeight w:val="400" w:hRule="atLeast"/>
        </w:trPr>
        <w:tc>
          <w:tcPr>
            <w:tcW w:w="8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8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数量指标</w:t>
            </w:r>
          </w:p>
        </w:tc>
        <w:tc>
          <w:tcPr>
            <w:tcW w:w="322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义务段学校保障经费享受人数（人）</w:t>
            </w:r>
          </w:p>
        </w:tc>
        <w:tc>
          <w:tcPr>
            <w:tcW w:w="12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=536人</w:t>
            </w:r>
          </w:p>
        </w:tc>
        <w:tc>
          <w:tcPr>
            <w:tcW w:w="11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=536人</w:t>
            </w:r>
          </w:p>
        </w:tc>
        <w:tc>
          <w:tcPr>
            <w:tcW w:w="130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1238"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164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r>
      <w:tr>
        <w:tblPrEx>
          <w:tblLayout w:type="fixed"/>
          <w:tblCellMar>
            <w:top w:w="0" w:type="dxa"/>
            <w:left w:w="0" w:type="dxa"/>
            <w:bottom w:w="0" w:type="dxa"/>
            <w:right w:w="0" w:type="dxa"/>
          </w:tblCellMar>
        </w:tblPrEx>
        <w:trPr>
          <w:trHeight w:val="400" w:hRule="atLeast"/>
        </w:trPr>
        <w:tc>
          <w:tcPr>
            <w:tcW w:w="8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8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质量指标</w:t>
            </w:r>
          </w:p>
        </w:tc>
        <w:tc>
          <w:tcPr>
            <w:tcW w:w="322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补助发放准确率</w:t>
            </w:r>
          </w:p>
        </w:tc>
        <w:tc>
          <w:tcPr>
            <w:tcW w:w="12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11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130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1238"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164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r>
      <w:tr>
        <w:tblPrEx>
          <w:tblLayout w:type="fixed"/>
          <w:tblCellMar>
            <w:top w:w="0" w:type="dxa"/>
            <w:left w:w="0" w:type="dxa"/>
            <w:bottom w:w="0" w:type="dxa"/>
            <w:right w:w="0" w:type="dxa"/>
          </w:tblCellMar>
        </w:tblPrEx>
        <w:trPr>
          <w:trHeight w:val="400" w:hRule="atLeast"/>
        </w:trPr>
        <w:tc>
          <w:tcPr>
            <w:tcW w:w="8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8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时效指标</w:t>
            </w:r>
          </w:p>
        </w:tc>
        <w:tc>
          <w:tcPr>
            <w:tcW w:w="322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补助发放及时率（%）</w:t>
            </w:r>
          </w:p>
        </w:tc>
        <w:tc>
          <w:tcPr>
            <w:tcW w:w="12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11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130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1238"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164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r>
      <w:tr>
        <w:tblPrEx>
          <w:tblLayout w:type="fixed"/>
          <w:tblCellMar>
            <w:top w:w="0" w:type="dxa"/>
            <w:left w:w="0" w:type="dxa"/>
            <w:bottom w:w="0" w:type="dxa"/>
            <w:right w:w="0" w:type="dxa"/>
          </w:tblCellMar>
        </w:tblPrEx>
        <w:trPr>
          <w:trHeight w:val="400" w:hRule="atLeast"/>
        </w:trPr>
        <w:tc>
          <w:tcPr>
            <w:tcW w:w="8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85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成本指标</w:t>
            </w: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经济成本指标</w:t>
            </w:r>
          </w:p>
        </w:tc>
        <w:tc>
          <w:tcPr>
            <w:tcW w:w="322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义务段小学非寄宿生助学金发放标准</w:t>
            </w:r>
          </w:p>
        </w:tc>
        <w:tc>
          <w:tcPr>
            <w:tcW w:w="12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=312.5元/生/学期</w:t>
            </w:r>
          </w:p>
        </w:tc>
        <w:tc>
          <w:tcPr>
            <w:tcW w:w="11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=312.5元/生/学期</w:t>
            </w:r>
          </w:p>
        </w:tc>
        <w:tc>
          <w:tcPr>
            <w:tcW w:w="130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1238"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164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r>
      <w:tr>
        <w:tblPrEx>
          <w:tblLayout w:type="fixed"/>
          <w:tblCellMar>
            <w:top w:w="0" w:type="dxa"/>
            <w:left w:w="0" w:type="dxa"/>
            <w:bottom w:w="0" w:type="dxa"/>
            <w:right w:w="0" w:type="dxa"/>
          </w:tblCellMar>
        </w:tblPrEx>
        <w:trPr>
          <w:trHeight w:val="400" w:hRule="atLeast"/>
        </w:trPr>
        <w:tc>
          <w:tcPr>
            <w:tcW w:w="8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8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经济成本指标</w:t>
            </w:r>
          </w:p>
        </w:tc>
        <w:tc>
          <w:tcPr>
            <w:tcW w:w="322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义务段小学寄宿生助学金发放标准</w:t>
            </w:r>
          </w:p>
        </w:tc>
        <w:tc>
          <w:tcPr>
            <w:tcW w:w="12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=625元/生/学期</w:t>
            </w:r>
          </w:p>
        </w:tc>
        <w:tc>
          <w:tcPr>
            <w:tcW w:w="11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=625元/生/学期</w:t>
            </w:r>
          </w:p>
        </w:tc>
        <w:tc>
          <w:tcPr>
            <w:tcW w:w="130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1238"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164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r>
      <w:tr>
        <w:tblPrEx>
          <w:tblLayout w:type="fixed"/>
          <w:tblCellMar>
            <w:top w:w="0" w:type="dxa"/>
            <w:left w:w="0" w:type="dxa"/>
            <w:bottom w:w="0" w:type="dxa"/>
            <w:right w:w="0" w:type="dxa"/>
          </w:tblCellMar>
        </w:tblPrEx>
        <w:trPr>
          <w:trHeight w:val="400" w:hRule="atLeast"/>
        </w:trPr>
        <w:tc>
          <w:tcPr>
            <w:tcW w:w="8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8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社会成本指标</w:t>
            </w:r>
          </w:p>
        </w:tc>
        <w:tc>
          <w:tcPr>
            <w:tcW w:w="322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left"/>
              <w:rPr>
                <w:rFonts w:ascii="宋体" w:hAnsi="宋体" w:cs="宋体"/>
                <w:color w:val="000000"/>
                <w:sz w:val="20"/>
                <w:szCs w:val="20"/>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1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30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238"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64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r>
      <w:tr>
        <w:tblPrEx>
          <w:tblLayout w:type="fixed"/>
          <w:tblCellMar>
            <w:top w:w="0" w:type="dxa"/>
            <w:left w:w="0" w:type="dxa"/>
            <w:bottom w:w="0" w:type="dxa"/>
            <w:right w:w="0" w:type="dxa"/>
          </w:tblCellMar>
        </w:tblPrEx>
        <w:trPr>
          <w:trHeight w:val="400" w:hRule="atLeast"/>
        </w:trPr>
        <w:tc>
          <w:tcPr>
            <w:tcW w:w="8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8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生态环境成本指标</w:t>
            </w:r>
          </w:p>
        </w:tc>
        <w:tc>
          <w:tcPr>
            <w:tcW w:w="322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left"/>
              <w:rPr>
                <w:rFonts w:ascii="宋体" w:hAnsi="宋体" w:cs="宋体"/>
                <w:color w:val="000000"/>
                <w:sz w:val="20"/>
                <w:szCs w:val="20"/>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1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30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238"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64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r>
      <w:tr>
        <w:tblPrEx>
          <w:tblLayout w:type="fixed"/>
          <w:tblCellMar>
            <w:top w:w="0" w:type="dxa"/>
            <w:left w:w="0" w:type="dxa"/>
            <w:bottom w:w="0" w:type="dxa"/>
            <w:right w:w="0" w:type="dxa"/>
          </w:tblCellMar>
        </w:tblPrEx>
        <w:trPr>
          <w:trHeight w:val="400" w:hRule="atLeast"/>
        </w:trPr>
        <w:tc>
          <w:tcPr>
            <w:tcW w:w="8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85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效益指标</w:t>
            </w: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经济效益指标</w:t>
            </w:r>
          </w:p>
        </w:tc>
        <w:tc>
          <w:tcPr>
            <w:tcW w:w="322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left"/>
              <w:rPr>
                <w:rFonts w:ascii="宋体" w:hAnsi="宋体" w:cs="宋体"/>
                <w:color w:val="000000"/>
                <w:sz w:val="20"/>
                <w:szCs w:val="20"/>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1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30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238"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64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r>
      <w:tr>
        <w:tblPrEx>
          <w:tblLayout w:type="fixed"/>
          <w:tblCellMar>
            <w:top w:w="0" w:type="dxa"/>
            <w:left w:w="0" w:type="dxa"/>
            <w:bottom w:w="0" w:type="dxa"/>
            <w:right w:w="0" w:type="dxa"/>
          </w:tblCellMar>
        </w:tblPrEx>
        <w:trPr>
          <w:trHeight w:val="400" w:hRule="atLeast"/>
        </w:trPr>
        <w:tc>
          <w:tcPr>
            <w:tcW w:w="8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8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社会效益指标</w:t>
            </w:r>
          </w:p>
        </w:tc>
        <w:tc>
          <w:tcPr>
            <w:tcW w:w="322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提高学生的学习环境</w:t>
            </w:r>
          </w:p>
        </w:tc>
        <w:tc>
          <w:tcPr>
            <w:tcW w:w="12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有效提高</w:t>
            </w:r>
          </w:p>
        </w:tc>
        <w:tc>
          <w:tcPr>
            <w:tcW w:w="11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有效提高</w:t>
            </w:r>
          </w:p>
        </w:tc>
        <w:tc>
          <w:tcPr>
            <w:tcW w:w="130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w:t>
            </w:r>
          </w:p>
        </w:tc>
        <w:tc>
          <w:tcPr>
            <w:tcW w:w="1238"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w:t>
            </w:r>
          </w:p>
        </w:tc>
        <w:tc>
          <w:tcPr>
            <w:tcW w:w="164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r>
      <w:tr>
        <w:tblPrEx>
          <w:tblLayout w:type="fixed"/>
          <w:tblCellMar>
            <w:top w:w="0" w:type="dxa"/>
            <w:left w:w="0" w:type="dxa"/>
            <w:bottom w:w="0" w:type="dxa"/>
            <w:right w:w="0" w:type="dxa"/>
          </w:tblCellMar>
        </w:tblPrEx>
        <w:trPr>
          <w:trHeight w:val="400" w:hRule="atLeast"/>
        </w:trPr>
        <w:tc>
          <w:tcPr>
            <w:tcW w:w="8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8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生态效益指标</w:t>
            </w:r>
          </w:p>
        </w:tc>
        <w:tc>
          <w:tcPr>
            <w:tcW w:w="322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left"/>
              <w:rPr>
                <w:rFonts w:ascii="宋体" w:hAnsi="宋体" w:cs="宋体"/>
                <w:color w:val="000000"/>
                <w:sz w:val="20"/>
                <w:szCs w:val="20"/>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1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30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238"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64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r>
      <w:tr>
        <w:tblPrEx>
          <w:tblLayout w:type="fixed"/>
          <w:tblCellMar>
            <w:top w:w="0" w:type="dxa"/>
            <w:left w:w="0" w:type="dxa"/>
            <w:bottom w:w="0" w:type="dxa"/>
            <w:right w:w="0" w:type="dxa"/>
          </w:tblCellMar>
        </w:tblPrEx>
        <w:trPr>
          <w:trHeight w:val="400" w:hRule="atLeast"/>
        </w:trPr>
        <w:tc>
          <w:tcPr>
            <w:tcW w:w="8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85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满意度指标</w:t>
            </w: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满意度指标</w:t>
            </w:r>
          </w:p>
        </w:tc>
        <w:tc>
          <w:tcPr>
            <w:tcW w:w="322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学生满意度（%）</w:t>
            </w:r>
          </w:p>
        </w:tc>
        <w:tc>
          <w:tcPr>
            <w:tcW w:w="12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＞=90%</w:t>
            </w:r>
          </w:p>
        </w:tc>
        <w:tc>
          <w:tcPr>
            <w:tcW w:w="11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＞=90%</w:t>
            </w:r>
          </w:p>
        </w:tc>
        <w:tc>
          <w:tcPr>
            <w:tcW w:w="130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w:t>
            </w:r>
          </w:p>
        </w:tc>
        <w:tc>
          <w:tcPr>
            <w:tcW w:w="1238"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w:t>
            </w:r>
          </w:p>
        </w:tc>
        <w:tc>
          <w:tcPr>
            <w:tcW w:w="164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r>
      <w:tr>
        <w:tblPrEx>
          <w:tblLayout w:type="fixed"/>
          <w:tblCellMar>
            <w:top w:w="0" w:type="dxa"/>
            <w:left w:w="0" w:type="dxa"/>
            <w:bottom w:w="0" w:type="dxa"/>
            <w:right w:w="0" w:type="dxa"/>
          </w:tblCellMar>
        </w:tblPrEx>
        <w:trPr>
          <w:trHeight w:val="400" w:hRule="atLeast"/>
        </w:trPr>
        <w:tc>
          <w:tcPr>
            <w:tcW w:w="8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8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满意度指标</w:t>
            </w:r>
          </w:p>
        </w:tc>
        <w:tc>
          <w:tcPr>
            <w:tcW w:w="322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家长满意率（%）</w:t>
            </w:r>
          </w:p>
        </w:tc>
        <w:tc>
          <w:tcPr>
            <w:tcW w:w="12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＞=90%</w:t>
            </w:r>
          </w:p>
        </w:tc>
        <w:tc>
          <w:tcPr>
            <w:tcW w:w="11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＞=90%</w:t>
            </w:r>
          </w:p>
        </w:tc>
        <w:tc>
          <w:tcPr>
            <w:tcW w:w="130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w:t>
            </w:r>
          </w:p>
        </w:tc>
        <w:tc>
          <w:tcPr>
            <w:tcW w:w="1238"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w:t>
            </w:r>
          </w:p>
        </w:tc>
        <w:tc>
          <w:tcPr>
            <w:tcW w:w="164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r>
      <w:tr>
        <w:tblPrEx>
          <w:tblLayout w:type="fixed"/>
          <w:tblCellMar>
            <w:top w:w="0" w:type="dxa"/>
            <w:left w:w="0" w:type="dxa"/>
            <w:bottom w:w="0" w:type="dxa"/>
            <w:right w:w="0" w:type="dxa"/>
          </w:tblCellMar>
        </w:tblPrEx>
        <w:trPr>
          <w:trHeight w:val="288" w:hRule="atLeast"/>
        </w:trPr>
        <w:tc>
          <w:tcPr>
            <w:tcW w:w="8163" w:type="dxa"/>
            <w:gridSpan w:val="8"/>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总分</w:t>
            </w:r>
          </w:p>
        </w:tc>
        <w:tc>
          <w:tcPr>
            <w:tcW w:w="130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1238"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100.00分</w:t>
            </w:r>
          </w:p>
        </w:tc>
        <w:tc>
          <w:tcPr>
            <w:tcW w:w="164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r>
    </w:tbl>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8"/>
          <w:jc w:val="center"/>
        </w:pPr>
        <w:r>
          <w:fldChar w:fldCharType="begin"/>
        </w:r>
        <w:r>
          <w:instrText xml:space="preserve">PAGE   \* MERGEFORMAT</w:instrText>
        </w:r>
        <w:r>
          <w:fldChar w:fldCharType="separate"/>
        </w:r>
        <w:r>
          <w:rPr>
            <w:lang w:val="zh-CN"/>
          </w:rPr>
          <w:t>1</w:t>
        </w:r>
        <w:r>
          <w:fldChar w:fldCharType="end"/>
        </w:r>
      </w:p>
    </w:sdtContent>
  </w:sdt>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21BA96C"/>
    <w:multiLevelType w:val="singleLevel"/>
    <w:tmpl w:val="A21BA96C"/>
    <w:lvl w:ilvl="0" w:tentative="0">
      <w:start w:val="1"/>
      <w:numFmt w:val="decimal"/>
      <w:lvlText w:val="%1."/>
      <w:lvlJc w:val="left"/>
      <w:pPr>
        <w:tabs>
          <w:tab w:val="left" w:pos="312"/>
        </w:tabs>
      </w:pPr>
    </w:lvl>
  </w:abstractNum>
  <w:abstractNum w:abstractNumId="1">
    <w:nsid w:val="BC0BFD93"/>
    <w:multiLevelType w:val="singleLevel"/>
    <w:tmpl w:val="BC0BFD93"/>
    <w:lvl w:ilvl="0" w:tentative="0">
      <w:start w:val="1"/>
      <w:numFmt w:val="decimal"/>
      <w:suff w:val="nothing"/>
      <w:lvlText w:val="（%1）"/>
      <w:lvlJc w:val="left"/>
    </w:lvl>
  </w:abstractNum>
  <w:abstractNum w:abstractNumId="2">
    <w:nsid w:val="F4CD2B0F"/>
    <w:multiLevelType w:val="singleLevel"/>
    <w:tmpl w:val="F4CD2B0F"/>
    <w:lvl w:ilvl="0" w:tentative="0">
      <w:start w:val="1"/>
      <w:numFmt w:val="decimal"/>
      <w:suff w:val="nothing"/>
      <w:lvlText w:val="（%1）"/>
      <w:lvlJc w:val="left"/>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6FAA0AB1"/>
    <w:multiLevelType w:val="singleLevel"/>
    <w:tmpl w:val="6FAA0AB1"/>
    <w:lvl w:ilvl="0" w:tentative="0">
      <w:start w:val="2"/>
      <w:numFmt w:val="chineseCounting"/>
      <w:suff w:val="nothing"/>
      <w:lvlText w:val="（%1）"/>
      <w:lvlJc w:val="left"/>
      <w:rPr>
        <w:rFonts w:hint="eastAsia"/>
      </w:rPr>
    </w:lvl>
  </w:abstractNum>
  <w:num w:numId="1">
    <w:abstractNumId w:val="2"/>
  </w:num>
  <w:num w:numId="2">
    <w:abstractNumId w:val="4"/>
  </w:num>
  <w:num w:numId="3">
    <w:abstractNumId w:val="1"/>
  </w:num>
  <w:num w:numId="4">
    <w:abstractNumId w:val="3"/>
  </w:num>
  <w:num w:numId="5">
    <w:abstractNumId w:val="5"/>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w15:presenceInfo w15:providerId="WPS Office" w15:userId="18891826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12057B"/>
    <w:rsid w:val="002F3055"/>
    <w:rsid w:val="00382E79"/>
    <w:rsid w:val="003C4A67"/>
    <w:rsid w:val="006E17A3"/>
    <w:rsid w:val="006F7242"/>
    <w:rsid w:val="007821FF"/>
    <w:rsid w:val="007B168A"/>
    <w:rsid w:val="008B2CFE"/>
    <w:rsid w:val="00B1133F"/>
    <w:rsid w:val="00F26FF6"/>
    <w:rsid w:val="00FA0D0D"/>
    <w:rsid w:val="01610122"/>
    <w:rsid w:val="01C012ED"/>
    <w:rsid w:val="02510197"/>
    <w:rsid w:val="03EC461B"/>
    <w:rsid w:val="058E2A00"/>
    <w:rsid w:val="0661309E"/>
    <w:rsid w:val="071A5591"/>
    <w:rsid w:val="07397B77"/>
    <w:rsid w:val="0AD007F3"/>
    <w:rsid w:val="0B503392"/>
    <w:rsid w:val="0D082A6E"/>
    <w:rsid w:val="0D0A5403"/>
    <w:rsid w:val="0D1C7D1F"/>
    <w:rsid w:val="0E3C619F"/>
    <w:rsid w:val="0F6273CA"/>
    <w:rsid w:val="0F661726"/>
    <w:rsid w:val="100F38EC"/>
    <w:rsid w:val="109D1E88"/>
    <w:rsid w:val="11170296"/>
    <w:rsid w:val="12C66037"/>
    <w:rsid w:val="12CD1ABC"/>
    <w:rsid w:val="13471461"/>
    <w:rsid w:val="13AC3937"/>
    <w:rsid w:val="13B90F01"/>
    <w:rsid w:val="155E4C4D"/>
    <w:rsid w:val="181066D2"/>
    <w:rsid w:val="1B604362"/>
    <w:rsid w:val="1C671E73"/>
    <w:rsid w:val="1D322C47"/>
    <w:rsid w:val="208F6602"/>
    <w:rsid w:val="21D02A2F"/>
    <w:rsid w:val="22290DFD"/>
    <w:rsid w:val="23616034"/>
    <w:rsid w:val="23696C97"/>
    <w:rsid w:val="23706277"/>
    <w:rsid w:val="24480FA2"/>
    <w:rsid w:val="25227A45"/>
    <w:rsid w:val="2584425C"/>
    <w:rsid w:val="26AC3A6A"/>
    <w:rsid w:val="26BD310E"/>
    <w:rsid w:val="26BE1D6F"/>
    <w:rsid w:val="28A04CDB"/>
    <w:rsid w:val="297334B3"/>
    <w:rsid w:val="2B9D7E25"/>
    <w:rsid w:val="2C7C7A3B"/>
    <w:rsid w:val="2D052700"/>
    <w:rsid w:val="2F364819"/>
    <w:rsid w:val="2FD63906"/>
    <w:rsid w:val="300F506A"/>
    <w:rsid w:val="34736F7E"/>
    <w:rsid w:val="36F126DB"/>
    <w:rsid w:val="37215DAE"/>
    <w:rsid w:val="373D24BC"/>
    <w:rsid w:val="37BD3669"/>
    <w:rsid w:val="38CA40DD"/>
    <w:rsid w:val="395F2B56"/>
    <w:rsid w:val="3B482032"/>
    <w:rsid w:val="3BBA0580"/>
    <w:rsid w:val="3BECE841"/>
    <w:rsid w:val="3C7E4E65"/>
    <w:rsid w:val="3CDE204C"/>
    <w:rsid w:val="3D363C36"/>
    <w:rsid w:val="3E9C3F6D"/>
    <w:rsid w:val="3EFA7AF5"/>
    <w:rsid w:val="3F281CA4"/>
    <w:rsid w:val="3FF7797D"/>
    <w:rsid w:val="42F16CBA"/>
    <w:rsid w:val="42FC3E16"/>
    <w:rsid w:val="436C6603"/>
    <w:rsid w:val="46690BD8"/>
    <w:rsid w:val="49F70BF1"/>
    <w:rsid w:val="4ABD162D"/>
    <w:rsid w:val="4B4340EE"/>
    <w:rsid w:val="4C1B3AB2"/>
    <w:rsid w:val="4C8C5620"/>
    <w:rsid w:val="4ED82D9F"/>
    <w:rsid w:val="4F693145"/>
    <w:rsid w:val="4F711F6A"/>
    <w:rsid w:val="503D507A"/>
    <w:rsid w:val="51FA74D0"/>
    <w:rsid w:val="52AA4A52"/>
    <w:rsid w:val="539D3AD1"/>
    <w:rsid w:val="5789732C"/>
    <w:rsid w:val="59943D66"/>
    <w:rsid w:val="59E051FD"/>
    <w:rsid w:val="59E6355E"/>
    <w:rsid w:val="5A647B5B"/>
    <w:rsid w:val="5AD430AD"/>
    <w:rsid w:val="5B821531"/>
    <w:rsid w:val="5BFF6039"/>
    <w:rsid w:val="5D76A616"/>
    <w:rsid w:val="5D7F20B9"/>
    <w:rsid w:val="5DAC7D0E"/>
    <w:rsid w:val="5F98B5AF"/>
    <w:rsid w:val="5FFE8511"/>
    <w:rsid w:val="5FFEACE2"/>
    <w:rsid w:val="601E0D25"/>
    <w:rsid w:val="609D5BF6"/>
    <w:rsid w:val="61073070"/>
    <w:rsid w:val="61B9080E"/>
    <w:rsid w:val="61DF3FED"/>
    <w:rsid w:val="62606CE8"/>
    <w:rsid w:val="642B176B"/>
    <w:rsid w:val="643EE26D"/>
    <w:rsid w:val="656019A0"/>
    <w:rsid w:val="65F242EE"/>
    <w:rsid w:val="666D7E19"/>
    <w:rsid w:val="67112E9A"/>
    <w:rsid w:val="68376930"/>
    <w:rsid w:val="68F91E38"/>
    <w:rsid w:val="69265CE3"/>
    <w:rsid w:val="6B3158B9"/>
    <w:rsid w:val="6BA02A3F"/>
    <w:rsid w:val="6C105349"/>
    <w:rsid w:val="6C1E5A53"/>
    <w:rsid w:val="6D421A16"/>
    <w:rsid w:val="6F5C41AC"/>
    <w:rsid w:val="6FAF6C78"/>
    <w:rsid w:val="716167CC"/>
    <w:rsid w:val="71883D59"/>
    <w:rsid w:val="718A7AD1"/>
    <w:rsid w:val="72A44BC2"/>
    <w:rsid w:val="7317C656"/>
    <w:rsid w:val="734ED73F"/>
    <w:rsid w:val="73C82B32"/>
    <w:rsid w:val="73F94DAE"/>
    <w:rsid w:val="74220495"/>
    <w:rsid w:val="742A55D7"/>
    <w:rsid w:val="747D1B6F"/>
    <w:rsid w:val="749E5641"/>
    <w:rsid w:val="76271066"/>
    <w:rsid w:val="77FD8BE9"/>
    <w:rsid w:val="78000AED"/>
    <w:rsid w:val="78036054"/>
    <w:rsid w:val="785E69C1"/>
    <w:rsid w:val="79A9BD3F"/>
    <w:rsid w:val="79C124FE"/>
    <w:rsid w:val="7AC5270E"/>
    <w:rsid w:val="7B776F12"/>
    <w:rsid w:val="7BFFFDD0"/>
    <w:rsid w:val="7C336E5F"/>
    <w:rsid w:val="7C8D4919"/>
    <w:rsid w:val="7C9B5842"/>
    <w:rsid w:val="7D7A5F86"/>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4">
    <w:name w:val="annotation text"/>
    <w:basedOn w:val="1"/>
    <w:link w:val="22"/>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Balloon Text"/>
    <w:basedOn w:val="1"/>
    <w:link w:val="20"/>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Autospacing="1" w:afterAutospacing="1"/>
      <w:jc w:val="left"/>
    </w:pPr>
    <w:rPr>
      <w:kern w:val="0"/>
      <w:sz w:val="24"/>
    </w:rPr>
  </w:style>
  <w:style w:type="paragraph" w:styleId="11">
    <w:name w:val="annotation subject"/>
    <w:basedOn w:val="4"/>
    <w:next w:val="4"/>
    <w:link w:val="23"/>
    <w:qFormat/>
    <w:uiPriority w:val="0"/>
    <w:rPr>
      <w:b/>
      <w:bCs/>
    </w:rPr>
  </w:style>
  <w:style w:type="paragraph" w:styleId="12">
    <w:name w:val="Body Text First Indent"/>
    <w:basedOn w:val="5"/>
    <w:qFormat/>
    <w:uiPriority w:val="0"/>
    <w:pPr>
      <w:spacing w:after="0"/>
      <w:ind w:firstLine="200" w:firstLineChars="200"/>
    </w:pPr>
  </w:style>
  <w:style w:type="paragraph" w:styleId="13">
    <w:name w:val="Body Text First Indent 2"/>
    <w:basedOn w:val="6"/>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Char"/>
    <w:basedOn w:val="15"/>
    <w:link w:val="7"/>
    <w:qFormat/>
    <w:uiPriority w:val="0"/>
    <w:rPr>
      <w:rFonts w:ascii="Times New Roman" w:hAnsi="Times New Roman" w:eastAsia="宋体" w:cs="Times New Roman"/>
      <w:kern w:val="2"/>
      <w:sz w:val="18"/>
      <w:szCs w:val="18"/>
    </w:rPr>
  </w:style>
  <w:style w:type="character" w:customStyle="1" w:styleId="21">
    <w:name w:val="页眉 Char"/>
    <w:basedOn w:val="15"/>
    <w:link w:val="9"/>
    <w:qFormat/>
    <w:uiPriority w:val="0"/>
    <w:rPr>
      <w:rFonts w:ascii="Times New Roman" w:hAnsi="Times New Roman" w:eastAsia="宋体" w:cs="Times New Roman"/>
      <w:kern w:val="2"/>
      <w:sz w:val="18"/>
      <w:szCs w:val="18"/>
    </w:rPr>
  </w:style>
  <w:style w:type="character" w:customStyle="1" w:styleId="22">
    <w:name w:val="批注文字 Char"/>
    <w:basedOn w:val="15"/>
    <w:link w:val="4"/>
    <w:qFormat/>
    <w:uiPriority w:val="0"/>
    <w:rPr>
      <w:rFonts w:ascii="Times New Roman" w:hAnsi="Times New Roman" w:eastAsia="宋体" w:cs="Times New Roman"/>
      <w:kern w:val="2"/>
      <w:sz w:val="21"/>
      <w:szCs w:val="24"/>
    </w:rPr>
  </w:style>
  <w:style w:type="character" w:customStyle="1" w:styleId="23">
    <w:name w:val="批注主题 Char"/>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29</Pages>
  <Words>134</Words>
  <Characters>146</Characters>
  <Lines>106</Lines>
  <Paragraphs>29</Paragraphs>
  <TotalTime>17</TotalTime>
  <ScaleCrop>false</ScaleCrop>
  <LinksUpToDate>false</LinksUpToDate>
  <CharactersWithSpaces>146</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dcterms:modified xsi:type="dcterms:W3CDTF">2025-05-14T04:18:25Z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8EEBC91E1A7A42F68960213B037B6385_13</vt:lpwstr>
  </property>
  <property fmtid="{D5CDD505-2E9C-101B-9397-08002B2CF9AE}" pid="4" name="KSOTemplateDocerSaveRecord">
    <vt:lpwstr>eyJoZGlkIjoiZGU2OWVkNjVhNTc2NTNjNjZhOGJlZWQ2NTc3Njc5NGQiLCJ1c2VySWQiOiIzODQzMzMyOTcifQ==</vt:lpwstr>
  </property>
</Properties>
</file>