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bookmarkStart w:id="0" w:name="OLE_LINK1"/>
      <w:r>
        <w:rPr>
          <w:rFonts w:hint="default" w:ascii="Times New Roman" w:hAnsi="Times New Roman" w:eastAsia="方正小标宋_GBK" w:cs="Times New Roman"/>
          <w:kern w:val="0"/>
          <w:sz w:val="48"/>
          <w:szCs w:val="48"/>
        </w:rPr>
        <w:t>2023年中央财政</w:t>
      </w:r>
      <w:bookmarkStart w:id="1" w:name="OLE_LINK38"/>
      <w:r>
        <w:rPr>
          <w:rFonts w:hint="default" w:ascii="Times New Roman" w:hAnsi="Times New Roman" w:eastAsia="方正小标宋_GBK" w:cs="Times New Roman"/>
          <w:kern w:val="0"/>
          <w:sz w:val="48"/>
          <w:szCs w:val="48"/>
        </w:rPr>
        <w:t>医疗服务与保障能力提升（中医药事业传承与发展）补助资金项</w:t>
      </w:r>
      <w:bookmarkEnd w:id="1"/>
      <w:r>
        <w:rPr>
          <w:rFonts w:hint="default" w:ascii="Times New Roman" w:hAnsi="Times New Roman" w:eastAsia="方正小标宋_GBK" w:cs="Times New Roman"/>
          <w:kern w:val="0"/>
          <w:sz w:val="48"/>
          <w:szCs w:val="48"/>
        </w:rPr>
        <w:t>目支出绩效评价报告</w:t>
      </w:r>
    </w:p>
    <w:bookmarkEnd w:id="0"/>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lang w:eastAsia="zh-CN"/>
        </w:rPr>
        <w:t>2023年中央财政</w:t>
      </w:r>
      <w:bookmarkStart w:id="2" w:name="OLE_LINK41"/>
      <w:r>
        <w:rPr>
          <w:rFonts w:hint="eastAsia" w:ascii="Times New Roman" w:hAnsi="Times New Roman" w:eastAsia="仿宋_GB2312" w:cs="Times New Roman"/>
          <w:kern w:val="0"/>
          <w:sz w:val="36"/>
          <w:szCs w:val="36"/>
          <w:lang w:eastAsia="zh-CN"/>
        </w:rPr>
        <w:t>医疗服务与保障</w:t>
      </w:r>
      <w:r>
        <w:rPr>
          <w:rFonts w:hint="eastAsia" w:ascii="Times New Roman" w:hAnsi="Times New Roman" w:eastAsia="仿宋_GB2312" w:cs="Times New Roman"/>
          <w:kern w:val="0"/>
          <w:sz w:val="36"/>
          <w:szCs w:val="36"/>
          <w:lang w:val="en-US" w:eastAsia="zh-CN"/>
        </w:rPr>
        <w:t xml:space="preserve"> </w:t>
      </w:r>
      <w:r>
        <w:rPr>
          <w:rFonts w:hint="eastAsia" w:ascii="Times New Roman" w:hAnsi="Times New Roman" w:eastAsia="仿宋_GB2312" w:cs="Times New Roman"/>
          <w:kern w:val="0"/>
          <w:sz w:val="36"/>
          <w:szCs w:val="36"/>
          <w:lang w:eastAsia="zh-CN"/>
        </w:rPr>
        <w:t>能力提升（中医药事业传承与发展）补助资金</w:t>
      </w:r>
      <w:bookmarkEnd w:id="2"/>
      <w:r>
        <w:rPr>
          <w:rFonts w:hint="default" w:ascii="Times New Roman" w:hAnsi="Times New Roman" w:eastAsia="仿宋_GB2312" w:cs="Times New Roman"/>
          <w:kern w:val="0"/>
          <w:sz w:val="36"/>
          <w:szCs w:val="36"/>
        </w:rPr>
        <w:t>实施单位（公章）：</w:t>
      </w:r>
      <w:bookmarkStart w:id="3" w:name="OLE_LINK18"/>
      <w:r>
        <w:rPr>
          <w:rFonts w:hint="eastAsia" w:eastAsia="仿宋_GB2312" w:cs="Times New Roman"/>
          <w:kern w:val="0"/>
          <w:sz w:val="36"/>
          <w:szCs w:val="36"/>
          <w:lang w:eastAsia="zh-CN"/>
        </w:rPr>
        <w:t>奇台县中医医院</w:t>
      </w:r>
      <w:bookmarkEnd w:id="3"/>
    </w:p>
    <w:p>
      <w:pPr>
        <w:spacing w:line="700" w:lineRule="exact"/>
        <w:ind w:left="1436" w:leftChars="684" w:firstLine="0" w:firstLineChars="0"/>
        <w:jc w:val="left"/>
        <w:rPr>
          <w:rFonts w:hint="default"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bookmarkStart w:id="4" w:name="OLE_LINK10"/>
      <w:r>
        <w:rPr>
          <w:rFonts w:hint="eastAsia" w:eastAsia="仿宋_GB2312" w:cs="Times New Roman"/>
          <w:kern w:val="0"/>
          <w:sz w:val="36"/>
          <w:szCs w:val="36"/>
          <w:lang w:eastAsia="zh-CN"/>
        </w:rPr>
        <w:t>奇台县卫生健康委员会</w:t>
      </w:r>
      <w:bookmarkEnd w:id="4"/>
    </w:p>
    <w:p>
      <w:pPr>
        <w:spacing w:line="700" w:lineRule="exact"/>
        <w:ind w:left="1436" w:leftChars="684" w:firstLine="0" w:firstLineChars="0"/>
        <w:jc w:val="left"/>
        <w:rPr>
          <w:rFonts w:hint="default" w:eastAsia="仿宋_GB2312" w:cs="Times New Roman"/>
          <w:kern w:val="0"/>
          <w:sz w:val="36"/>
          <w:szCs w:val="36"/>
          <w:lang w:eastAsia="zh-CN"/>
        </w:rPr>
      </w:pPr>
      <w:r>
        <w:rPr>
          <w:rFonts w:hint="default" w:eastAsia="仿宋_GB2312" w:cs="Times New Roman"/>
          <w:kern w:val="0"/>
          <w:sz w:val="36"/>
          <w:szCs w:val="36"/>
          <w:lang w:eastAsia="zh-CN"/>
        </w:rPr>
        <w:t>项目负责人（签章）：</w:t>
      </w:r>
      <w:r>
        <w:rPr>
          <w:rFonts w:hint="eastAsia" w:eastAsia="仿宋_GB2312" w:cs="Times New Roman"/>
          <w:kern w:val="0"/>
          <w:sz w:val="36"/>
          <w:szCs w:val="36"/>
          <w:lang w:eastAsia="zh-CN"/>
        </w:rPr>
        <w:t>张明明</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05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05</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24" w:firstLineChars="200"/>
        <w:rPr>
          <w:rStyle w:val="16"/>
          <w:rFonts w:hint="eastAsia" w:ascii="仿宋_GB2312" w:hAnsi="仿宋_GB2312" w:eastAsia="仿宋_GB2312" w:cs="仿宋_GB2312"/>
          <w:b w:val="0"/>
          <w:bCs/>
          <w:spacing w:val="-4"/>
          <w:sz w:val="32"/>
          <w:szCs w:val="32"/>
          <w:highlight w:val="none"/>
          <w:lang w:eastAsia="zh-CN"/>
        </w:rPr>
      </w:pPr>
      <w:r>
        <w:rPr>
          <w:rStyle w:val="16"/>
          <w:rFonts w:hint="eastAsia" w:ascii="仿宋_GB2312" w:hAnsi="仿宋_GB2312" w:eastAsia="仿宋_GB2312" w:cs="仿宋_GB2312"/>
          <w:b w:val="0"/>
          <w:bCs/>
          <w:spacing w:val="-4"/>
          <w:sz w:val="32"/>
          <w:szCs w:val="32"/>
          <w:highlight w:val="none"/>
          <w:lang w:eastAsia="zh-CN"/>
        </w:rPr>
        <w:t>根据 2024年基层中医药服务能力建设项目(县级中医医院“两专科一中心”建设项目)，加强县级中医医院中医特色优势专科(专病)建设和中医适宜技术推广能力建设，切实提高中医优势病种诊疗能力和综合服务能力，推动县级中医院高质量发展，承担县域内常见病、多发病和慢性病中医规范化诊疗服务、基层医疗卫生机构的中医药业务指导基层中医药人员培养和适宜技术推广的任务，持续提高基层中医药服务的可及性、便捷性，为实现“一般病在市县解决”目标奠定基础。</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00" w:firstLineChars="200"/>
        <w:rPr>
          <w:rStyle w:val="16"/>
          <w:rFonts w:hint="eastAsia" w:ascii="仿宋_GB2312" w:hAnsi="仿宋_GB2312" w:eastAsia="仿宋_GB2312" w:cs="仿宋_GB2312"/>
          <w:b w:val="0"/>
          <w:bCs/>
          <w:spacing w:val="-4"/>
          <w:sz w:val="32"/>
          <w:szCs w:val="32"/>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bookmarkStart w:id="5" w:name="OLE_LINK2"/>
      <w:r>
        <w:rPr>
          <w:rStyle w:val="16"/>
          <w:rFonts w:hint="eastAsia" w:ascii="仿宋_GB2312" w:hAnsi="仿宋_GB2312" w:eastAsia="仿宋_GB2312" w:cs="仿宋_GB2312"/>
          <w:b w:val="0"/>
          <w:bCs/>
          <w:spacing w:val="-4"/>
          <w:sz w:val="32"/>
          <w:szCs w:val="32"/>
          <w:highlight w:val="none"/>
          <w:lang w:eastAsia="zh-CN"/>
        </w:rPr>
        <w:t>通过实施两专科一中心建设项目，加强我院中医特色优势专科建设、急诊急救能力和中医适宜技术推广能力建设，切实提高中医优势病种诊疗能力和急诊急救综合服务能力，推动我院高质量发展，承担县域内常见病、多发病、慢性病中医规范化诊疗服务、急诊急救、基层医疗卫生机构的中医药业务指导基层中医药人员培养和适宜技术推广的任务，持续提高基层中医药服务的可及性、便捷性，为实现“一般病在市县解决”目标奠定基础。</w:t>
      </w:r>
    </w:p>
    <w:bookmarkEnd w:id="5"/>
    <w:p>
      <w:pPr>
        <w:spacing w:line="560" w:lineRule="exact"/>
        <w:ind w:firstLine="640" w:firstLineChars="200"/>
        <w:rPr>
          <w:rStyle w:val="16"/>
          <w:rFonts w:hint="eastAsia" w:ascii="仿宋_GB2312" w:hAnsi="仿宋_GB2312" w:eastAsia="仿宋_GB2312" w:cs="仿宋_GB2312"/>
          <w:b w:val="0"/>
          <w:bCs/>
          <w:spacing w:val="-4"/>
          <w:sz w:val="32"/>
          <w:szCs w:val="32"/>
          <w:highlight w:val="none"/>
          <w:lang w:val="en-US" w:eastAsia="zh-CN"/>
        </w:rPr>
      </w:pPr>
      <w:bookmarkStart w:id="6" w:name="OLE_LINK3"/>
      <w:r>
        <w:rPr>
          <w:rFonts w:hint="default" w:ascii="Times New Roman" w:hAnsi="Times New Roman" w:eastAsia="仿宋_GB2312" w:cs="Times New Roman"/>
          <w:sz w:val="32"/>
          <w:szCs w:val="32"/>
        </w:rPr>
        <w:t>项目实施情况：</w:t>
      </w:r>
      <w:bookmarkStart w:id="60" w:name="_GoBack"/>
      <w:bookmarkStart w:id="7" w:name="OLE_LINK39"/>
      <w:r>
        <w:rPr>
          <w:rStyle w:val="16"/>
          <w:rFonts w:hint="eastAsia" w:ascii="仿宋_GB2312" w:hAnsi="仿宋_GB2312" w:eastAsia="仿宋_GB2312" w:cs="仿宋_GB2312"/>
          <w:b w:val="0"/>
          <w:bCs/>
          <w:spacing w:val="-4"/>
          <w:sz w:val="32"/>
          <w:szCs w:val="32"/>
          <w:highlight w:val="none"/>
          <w:lang w:eastAsia="zh-CN"/>
        </w:rPr>
        <w:t>截止2024年12月31日购买专用设备数量10台，购买信息化建设系统2套，设备质量合格率达到100%，设通过本项目的实施，切实做好医疗服务质量提高，加强医院管理。</w:t>
      </w:r>
      <w:bookmarkEnd w:id="6"/>
      <w:bookmarkEnd w:id="7"/>
    </w:p>
    <w:bookmarkEnd w:id="60"/>
    <w:p>
      <w:pPr>
        <w:spacing w:line="560" w:lineRule="exact"/>
        <w:ind w:firstLine="643" w:firstLineChars="200"/>
        <w:rPr>
          <w:rFonts w:hint="default" w:ascii="Times New Roman" w:hAnsi="Times New Roman" w:eastAsia="仿宋_GB2312" w:cs="Times New Roman"/>
          <w:b/>
          <w:bCs/>
          <w:sz w:val="32"/>
          <w:szCs w:val="32"/>
        </w:rPr>
      </w:pPr>
      <w:bookmarkStart w:id="8" w:name="OLE_LINK4"/>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eastAsia"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52.93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52.93</w:t>
      </w:r>
      <w:r>
        <w:rPr>
          <w:rFonts w:hint="default" w:ascii="Times New Roman" w:hAnsi="Times New Roman" w:eastAsia="仿宋_GB2312" w:cs="Times New Roman"/>
          <w:sz w:val="32"/>
          <w:szCs w:val="32"/>
          <w:highlight w:val="none"/>
          <w:lang w:val="en-US" w:eastAsia="zh-CN"/>
        </w:rPr>
        <w:t>万元，该项目资金已全部落实到位，</w:t>
      </w:r>
      <w:bookmarkStart w:id="9" w:name="OLE_LINK16"/>
      <w:r>
        <w:rPr>
          <w:rFonts w:hint="default" w:ascii="Times New Roman" w:hAnsi="Times New Roman" w:eastAsia="仿宋_GB2312" w:cs="Times New Roman"/>
          <w:sz w:val="32"/>
          <w:szCs w:val="32"/>
          <w:highlight w:val="none"/>
          <w:lang w:val="en-US" w:eastAsia="zh-CN"/>
        </w:rPr>
        <w:t>资金</w:t>
      </w:r>
      <w:r>
        <w:rPr>
          <w:rFonts w:hint="default" w:ascii="Times New Roman" w:hAnsi="Times New Roman" w:eastAsia="仿宋_GB2312" w:cs="Times New Roman"/>
          <w:color w:val="auto"/>
          <w:sz w:val="32"/>
          <w:szCs w:val="32"/>
          <w:highlight w:val="none"/>
          <w:lang w:val="en-US" w:eastAsia="zh-CN"/>
        </w:rPr>
        <w:t>来源为</w:t>
      </w:r>
      <w:bookmarkStart w:id="10" w:name="OLE_LINK5"/>
      <w:r>
        <w:rPr>
          <w:rFonts w:hint="eastAsia" w:eastAsia="仿宋_GB2312" w:cs="Times New Roman"/>
          <w:color w:val="auto"/>
          <w:sz w:val="32"/>
          <w:szCs w:val="32"/>
          <w:highlight w:val="none"/>
          <w:lang w:val="en-US" w:eastAsia="zh-CN"/>
        </w:rPr>
        <w:t>财政拨款</w:t>
      </w:r>
      <w:bookmarkEnd w:id="10"/>
      <w:r>
        <w:rPr>
          <w:rFonts w:hint="eastAsia" w:eastAsia="仿宋_GB2312" w:cs="Times New Roman"/>
          <w:color w:val="auto"/>
          <w:sz w:val="32"/>
          <w:szCs w:val="32"/>
          <w:highlight w:val="none"/>
          <w:lang w:val="en-US" w:eastAsia="zh-CN"/>
        </w:rPr>
        <w:t>。</w:t>
      </w:r>
      <w:bookmarkEnd w:id="9"/>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11" w:name="OLE_LINK6"/>
      <w:r>
        <w:rPr>
          <w:rFonts w:hint="default" w:ascii="Times New Roman" w:hAnsi="Times New Roman" w:eastAsia="仿宋_GB2312" w:cs="Times New Roman"/>
          <w:sz w:val="32"/>
          <w:szCs w:val="32"/>
          <w:highlight w:val="none"/>
          <w:lang w:val="en-US" w:eastAsia="zh-CN"/>
        </w:rPr>
        <w:t>（2）</w:t>
      </w:r>
      <w:bookmarkEnd w:id="11"/>
      <w:r>
        <w:rPr>
          <w:rFonts w:hint="default" w:ascii="Times New Roman" w:hAnsi="Times New Roman" w:eastAsia="仿宋_GB2312" w:cs="Times New Roman"/>
          <w:sz w:val="32"/>
          <w:szCs w:val="32"/>
          <w:highlight w:val="none"/>
          <w:lang w:val="en-US" w:eastAsia="zh-CN"/>
        </w:rPr>
        <w:t>资金使用情况</w:t>
      </w:r>
    </w:p>
    <w:bookmarkEnd w:id="8"/>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52.93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52.93</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52.93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：医疗</w:t>
      </w:r>
      <w:r>
        <w:rPr>
          <w:rFonts w:hint="default" w:ascii="Times New Roman" w:hAnsi="Times New Roman" w:eastAsia="仿宋_GB2312" w:cs="Times New Roman"/>
          <w:sz w:val="32"/>
          <w:szCs w:val="32"/>
          <w:highlight w:val="none"/>
          <w:lang w:val="en-US" w:eastAsia="zh-CN"/>
        </w:rPr>
        <w:t>设备采购与信息化</w:t>
      </w:r>
      <w:bookmarkStart w:id="12" w:name="OLE_LINK40"/>
      <w:r>
        <w:rPr>
          <w:rFonts w:hint="default" w:ascii="Times New Roman" w:hAnsi="Times New Roman" w:eastAsia="仿宋_GB2312" w:cs="Times New Roman"/>
          <w:sz w:val="32"/>
          <w:szCs w:val="32"/>
          <w:highlight w:val="none"/>
          <w:lang w:val="en-US" w:eastAsia="zh-CN"/>
        </w:rPr>
        <w:t>软件系统</w:t>
      </w:r>
      <w:r>
        <w:rPr>
          <w:rFonts w:hint="eastAsia" w:eastAsia="仿宋_GB2312" w:cs="Times New Roman"/>
          <w:sz w:val="32"/>
          <w:szCs w:val="32"/>
          <w:highlight w:val="none"/>
          <w:lang w:val="en-US" w:eastAsia="zh-CN"/>
        </w:rPr>
        <w:t>。</w:t>
      </w:r>
    </w:p>
    <w:bookmarkEnd w:id="12"/>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本项目投入52.93万元用于公立医院购买设备及信息化建设，制定了项目实施方案，提高医疗服务质量，加强医院管理，主要内容为购买专用设备数量</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台，购买信息化建设系统2套，设备质量合格率达到100%，设通过本项目的实施，切实做好医疗服务质量提高，加强医院管理</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bookmarkStart w:id="13" w:name="OLE_LINK42"/>
      <w:bookmarkStart w:id="14" w:name="OLE_LINK7"/>
      <w:r>
        <w:rPr>
          <w:rFonts w:hint="default" w:ascii="Times New Roman" w:hAnsi="Times New Roman" w:eastAsia="仿宋_GB2312" w:cs="Times New Roman"/>
          <w:sz w:val="32"/>
          <w:szCs w:val="32"/>
        </w:rPr>
        <w:t>阶段性目标</w:t>
      </w:r>
    </w:p>
    <w:bookmarkEnd w:id="13"/>
    <w:bookmarkEnd w:id="14"/>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在项目实施初期，我们首先进行筹备与采购工作，包括制定详细的实施方案和细化预算，明确所需设备的型号以及信息化系统的功能需求，并启动招标采购流程，签订采购合同。随后，在设备交付与系统部署阶段，我们严格进行设备到货验收，确保所有设备质量合格率达到100%，并完成入库以及各科室的安装调试，使设备投入试运行。同时，信息化系统也将完成部署，与医院现有系统进行对接测试，确保各项功能完美适配。最后，在应用提升与效果评估阶段，我们将全面开展医护人员设备操作，确保设备使用率达到100%，并积极收集患者反馈，不断优化设备与系统应用流程，通过信息化手段初步实现医疗质量数据的监测与管理改进。</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bookmarkStart w:id="15" w:name="OLE_LINK8"/>
      <w:bookmarkStart w:id="16" w:name="OLE_LINK43"/>
      <w:r>
        <w:rPr>
          <w:rFonts w:hint="default" w:ascii="Times New Roman" w:hAnsi="Times New Roman" w:eastAsia="仿宋_GB2312" w:cs="Times New Roman"/>
          <w:b w:val="0"/>
          <w:bCs w:val="0"/>
          <w:highlight w:val="none"/>
          <w:lang w:val="en-US" w:eastAsia="zh-CN"/>
        </w:rPr>
        <w:t>1</w:t>
      </w:r>
      <w:bookmarkEnd w:id="15"/>
      <w:r>
        <w:rPr>
          <w:rFonts w:hint="default" w:ascii="Times New Roman" w:hAnsi="Times New Roman" w:eastAsia="仿宋_GB2312" w:cs="Times New Roman"/>
          <w:b w:val="0"/>
          <w:bCs w:val="0"/>
          <w:highlight w:val="none"/>
          <w:lang w:val="en-US" w:eastAsia="zh-CN"/>
        </w:rPr>
        <w:t>.绩效评价完整性</w:t>
      </w:r>
    </w:p>
    <w:bookmarkEnd w:id="16"/>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bookmarkStart w:id="17" w:name="OLE_LINK17"/>
      <w:bookmarkStart w:id="18" w:name="OLE_LINK44"/>
      <w:r>
        <w:rPr>
          <w:rFonts w:hint="eastAsia" w:ascii="Times New Roman" w:hAnsi="Times New Roman" w:eastAsia="仿宋_GB2312" w:cs="Times New Roman"/>
          <w:sz w:val="32"/>
          <w:szCs w:val="32"/>
          <w:highlight w:val="none"/>
          <w:lang w:val="en-US" w:eastAsia="zh-CN"/>
        </w:rPr>
        <w:t>报告全面涵盖了项目从预算编制、执行到最终完成的每一个环节，对项目实施的各个阶段进行了深入的剖析与评价。在评价过程中，我们充分结合了中医药事业传承与发展的特点，对项目目标、预期成果以及实际执行情况进行了细致对比，确保评价内容的全面性和准确性。</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在评价指标体系的构建上，我们充分考虑了项目的性质、目标以及中医药事业传承与发展的要求，选取了具有代表性和可衡量性的关键指标。这些指标涵盖了经济效益、社会效益、等多个维度，能够全方位、多角度地反映项目的绩效状况。同时，我们还对每个指标的评价标准和数据来源进行了明确说明，确保了评价结果的客观性和可追溯性。</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在数据收集与分析环节，我们采用了多种科学合理的方法，包括实地调研、问卷调查、数据分析等，广泛收集了与项目相关的各类数据。通过运用专业的统计分析工具对数据进行深入挖掘，我们得出了科学可靠的评价结论。此外，我们还对数据的质量和完整性进行了严格把控，对缺失或异常的数据进行了合理的处理和说明，确保了评价数据的真实性和有效性。</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在报告的撰写结构上，我们按照统一的格式和规范进行了编排，内容层次分明、条理清晰。报告首先对项目背景、目标和预算安排进行了简要介绍；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报告中的评价结论和建议为项目管理决策提供了有价值的参考依据，有助于项目的持续改进和优化。</w:t>
      </w:r>
      <w:bookmarkEnd w:id="17"/>
    </w:p>
    <w:bookmarkEnd w:id="18"/>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bookmarkStart w:id="19" w:name="OLE_LINK45"/>
      <w:r>
        <w:rPr>
          <w:rFonts w:hint="default" w:ascii="Times New Roman" w:hAnsi="Times New Roman" w:eastAsia="仿宋_GB2312" w:cs="Times New Roman"/>
          <w:sz w:val="32"/>
          <w:szCs w:val="32"/>
        </w:rPr>
        <w:t>绩效评价的目的</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20" w:name="OLE_LINK46"/>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通</w:t>
      </w:r>
      <w:r>
        <w:rPr>
          <w:rFonts w:hint="eastAsia" w:ascii="Times New Roman" w:hAnsi="Times New Roman" w:eastAsia="仿宋_GB2312" w:cs="Times New Roman"/>
          <w:sz w:val="32"/>
          <w:szCs w:val="32"/>
          <w:highlight w:val="none"/>
          <w:lang w:val="en-US" w:eastAsia="zh-CN"/>
        </w:rPr>
        <w:t>过对“医疗服务与保障能力提升（中医药事业传承与发展）”补助资金项目预算执行情况及各项绩效目标达成程度的系统性分析，</w:t>
      </w:r>
      <w:r>
        <w:rPr>
          <w:rFonts w:hint="default" w:ascii="Times New Roman" w:hAnsi="Times New Roman" w:eastAsia="仿宋_GB2312" w:cs="Times New Roman"/>
          <w:sz w:val="32"/>
          <w:szCs w:val="32"/>
          <w:highlight w:val="none"/>
          <w:lang w:val="en-US" w:eastAsia="zh-CN"/>
        </w:rPr>
        <w:t>全面、客观地评估项目在预定周期内的实施效果，包括经济效益、社会效益、等多维度指标，为项目后续的改进与优化提供科学依据。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深入剖析项目预算资金的投入与产出关系，识别资金使用过程中的冗余环节与低效领域，是提升资源利用效率的关键。通过绩效评价，可以挖掘潜在的资源优化配置空间，推动项目在有限的预算资源下实现更高的绩效产出。这有助于确保财政资金的合理、高效运用，提升中医药事业传承与发展的整体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明确项目各参与主体在预算绩效管理中的职责与任务，是保障项目按计划、高质量推进的重要前提。借助绩效评价结果，可以对项目管理过程进行监督与问责，促使项目管理者增强责任意识，主动优化管理流程，完善内部控制机制。这将有助于提高项目管理水平与执行力，确保中医药事业传承与发展项目的高质量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绩效评价报告为项目主管部门、财政部门及相关决策层提供了详实、准确的绩效评价信息。这些信息有助于决策者在项目审批、预算安排、政策调整等关键决策环节做出更加科学、合理的判断。通过合理分配与有效整合项目资源，可以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eastAsia" w:ascii="Times New Roman" w:hAnsi="Times New Roman" w:eastAsia="仿宋_GB2312" w:cs="Times New Roman"/>
          <w:sz w:val="32"/>
          <w:szCs w:val="32"/>
          <w:highlight w:val="none"/>
          <w:lang w:val="en-US" w:eastAsia="zh-CN"/>
        </w:rPr>
        <w:t>基于绩效评价发现的问题与不足，提出针对性的改进建议与措施，是引导项目团队持续优化项目实施方案、加强过程监控与质量把控的重要途径。通过形成项目绩效持续改进的良性循环，可以不断提升项目整体绩效水平，实现中医药事业传承与发展项目的长期稳定发展目标。</w:t>
      </w:r>
    </w:p>
    <w:bookmarkEnd w:id="20"/>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本项目预算绩效评价报告的评价对象是2023年中央财政医疗服务与保障能力提升（中医药事业传承与发展）补助资金及其预算执行情况。该项目由奇台县</w:t>
      </w:r>
      <w:r>
        <w:rPr>
          <w:rFonts w:hint="eastAsia" w:ascii="Times New Roman" w:hAnsi="Times New Roman" w:eastAsia="仿宋_GB2312" w:cs="Times New Roman"/>
          <w:b w:val="0"/>
          <w:bCs w:val="0"/>
          <w:highlight w:val="none"/>
          <w:lang w:eastAsia="zh-CN"/>
        </w:rPr>
        <w:t>中医医院</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eastAsia="zh-CN"/>
        </w:rPr>
        <w:t>有效提高医疗质量</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2024年01月01日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52.93</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bookmarkStart w:id="21" w:name="OLE_LINK21"/>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bookmarkStart w:id="22" w:name="OLE_LINK14"/>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w:t>
      </w:r>
      <w:r>
        <w:rPr>
          <w:rFonts w:hint="eastAsia" w:eastAsia="仿宋_GB2312" w:cs="Times New Roman"/>
          <w:color w:val="000000"/>
          <w:spacing w:val="17"/>
          <w:sz w:val="32"/>
          <w:szCs w:val="32"/>
          <w:lang w:val="en-US" w:eastAsia="zh-CN"/>
        </w:rPr>
        <w:t>20</w:t>
      </w:r>
      <w:r>
        <w:rPr>
          <w:rFonts w:hint="default" w:ascii="Times New Roman" w:hAnsi="Times New Roman" w:eastAsia="仿宋_GB2312" w:cs="Times New Roman"/>
          <w:color w:val="000000"/>
          <w:spacing w:val="17"/>
          <w:sz w:val="32"/>
          <w:szCs w:val="32"/>
        </w:rPr>
        <w:t>分，项目产出权重为40分，项目效益权重为20分。</w:t>
      </w:r>
    </w:p>
    <w:bookmarkEnd w:id="21"/>
    <w:bookmarkEnd w:id="22"/>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bookmarkStart w:id="23" w:name="OLE_LINK15"/>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numPr>
          <w:ilvl w:val="0"/>
          <w:numId w:val="2"/>
        </w:numPr>
        <w:spacing w:line="560" w:lineRule="exact"/>
        <w:ind w:left="0" w:leftChars="0" w:firstLine="420" w:firstLineChars="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成本效益分析法。是指将投入与产出、效益进行关联性分析的方法。成本效益分析法以数据量化为核心，解决“资源是否高效利用”的问题，适用于可直接衡量成本与收益的场景（如设备采购、信息化投入）。</w:t>
      </w:r>
    </w:p>
    <w:p>
      <w:pPr>
        <w:numPr>
          <w:ilvl w:val="0"/>
          <w:numId w:val="2"/>
        </w:numPr>
        <w:spacing w:line="560" w:lineRule="exact"/>
        <w:ind w:left="0" w:leftChars="0" w:firstLine="420" w:firstLineChars="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公众评判法。公众评判法。是指通过专家评估、公众问卷及抽样调查等方式进行评判的方法。公众评判法以主观反馈为补充，解决“质量是否真实感知”的问题，通过患者满意度和医务人员体验，填补定量指标对服务体验、功能适配性等隐性维度的评估空白，确保评价结果全面反映医疗服务的经济性与人文性。</w:t>
      </w:r>
    </w:p>
    <w:bookmarkEnd w:id="23"/>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bookmarkStart w:id="24" w:name="OLE_LINK9"/>
      <w:r>
        <w:rPr>
          <w:rFonts w:hint="default" w:ascii="Times New Roman" w:hAnsi="Times New Roman" w:eastAsia="仿宋_GB2312" w:cs="Times New Roman"/>
          <w:b w:val="0"/>
          <w:bCs w:val="0"/>
        </w:rPr>
        <w:t>计划标准</w:t>
      </w:r>
      <w:bookmarkEnd w:id="24"/>
      <w:r>
        <w:rPr>
          <w:rFonts w:hint="default" w:ascii="Times New Roman" w:hAnsi="Times New Roman" w:eastAsia="仿宋_GB2312" w:cs="Times New Roman"/>
          <w:b w:val="0"/>
          <w:bCs w:val="0"/>
        </w:rPr>
        <w:t>。指以预先制定的目标、计划、预算、定额等作为评价标准。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pPr>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（4）财政部门和预算部门确认或认可的其他标准</w:t>
      </w:r>
    </w:p>
    <w:p>
      <w:pPr>
        <w:pStyle w:val="10"/>
        <w:numPr>
          <w:ilvl w:val="0"/>
          <w:numId w:val="3"/>
        </w:numPr>
        <w:spacing w:before="0" w:after="0" w:line="560" w:lineRule="exact"/>
        <w:ind w:left="-81" w:leftChars="0" w:firstLine="711" w:firstLineChars="0"/>
        <w:jc w:val="both"/>
        <w:rPr>
          <w:rFonts w:hint="default" w:ascii="Times New Roman" w:hAnsi="Times New Roman" w:eastAsia="楷体" w:cs="Times New Roman"/>
          <w:color w:val="000000"/>
          <w:spacing w:val="17"/>
        </w:rPr>
      </w:pPr>
      <w:bookmarkStart w:id="25" w:name="OLE_LINK47"/>
      <w:r>
        <w:rPr>
          <w:rFonts w:hint="default" w:ascii="Times New Roman" w:hAnsi="Times New Roman" w:eastAsia="楷体" w:cs="Times New Roman"/>
          <w:color w:val="000000"/>
          <w:spacing w:val="17"/>
        </w:rPr>
        <w:t>绩效评价工作过程</w:t>
      </w:r>
    </w:p>
    <w:bookmarkEnd w:id="25"/>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26" w:name="OLE_LINK48"/>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针对项目的特点和目标，我们构建了科学合理的绩效评价指标体系。该指标体系包括项目决策、项目过程、项目产出和项目效益四个主要维度，每个维度下都选取了具有代表性和可衡量性的关键指标。我们为每个指标设定了明确的评价标准和权重，以确保评价结果的全面性和准确性。这一步骤对于反映项目的真实绩效状况至关重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广泛收集与项目相关的各类数据，包括财务报表、项目文档、业务数据、</w:t>
      </w:r>
      <w:r>
        <w:rPr>
          <w:rFonts w:hint="eastAsia" w:ascii="Times New Roman" w:hAnsi="Times New Roman" w:eastAsia="仿宋_GB2312" w:cs="Times New Roman"/>
          <w:sz w:val="32"/>
          <w:szCs w:val="32"/>
          <w:highlight w:val="none"/>
          <w:lang w:val="en-US" w:eastAsia="zh-CN"/>
        </w:rPr>
        <w:t>患者</w:t>
      </w:r>
      <w:r>
        <w:rPr>
          <w:rFonts w:hint="default" w:ascii="Times New Roman" w:hAnsi="Times New Roman" w:eastAsia="仿宋_GB2312" w:cs="Times New Roman"/>
          <w:sz w:val="32"/>
          <w:szCs w:val="32"/>
          <w:highlight w:val="none"/>
          <w:lang w:val="en-US" w:eastAsia="zh-CN"/>
        </w:rPr>
        <w:t>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数据分析阶段，我们深入挖掘了各项数据的潜在信息。通过对比实际完成情况与预期目标，我们计算出了各项指标的达成率，并结合指标权重进行了综合评分。这一过程不仅得出了项目的整体绩效评价结果，还深入剖析了项目绩效背后的原因，识别出了项目实施过程中的优势与不足。这为后续提出有针对性的改进建议提供了重要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基于数据分析与评估的结果，我们撰写了项目预算绩效评价报告。报告内容条理清晰、重点突出，涵盖了项目背景、评价目的、评价指标体系、数据收集与分析方法、绩效评价结果、存在问题与改进建议等多个部分。在报告撰写完成后，我们及时向项目实施主体及相关利益相关者进行了反馈，充分听取了各方的意见和建议，对报告内容进行了进一步的完善和优化，以确保评价报告的质量和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绩效评价工作并非一蹴而就。在评价报告提交后，我们持续关注项目的改进措施落实情况，并定期对项目绩效进行复查与评估。这一过程确保了项目能够根据评价结果及时调整和优化，实现绩效的持续提升。同时，我们根据项目实施过程</w:t>
      </w:r>
      <w:r>
        <w:rPr>
          <w:rFonts w:hint="default" w:ascii="Times New Roman" w:hAnsi="Times New Roman" w:eastAsia="仿宋_GB2312" w:cs="Times New Roman"/>
          <w:sz w:val="32"/>
          <w:szCs w:val="32"/>
          <w:highlight w:val="none"/>
          <w:lang w:eastAsia="zh-CN"/>
        </w:rPr>
        <w:t>出</w:t>
      </w:r>
      <w:r>
        <w:rPr>
          <w:rFonts w:hint="eastAsia" w:ascii="Times New Roman" w:hAnsi="Times New Roman" w:eastAsia="仿宋_GB2312" w:cs="Times New Roman"/>
          <w:sz w:val="32"/>
          <w:szCs w:val="32"/>
          <w:highlight w:val="none"/>
          <w:lang w:eastAsia="zh-CN"/>
        </w:rPr>
        <w:t>现的新情况和新问题，适时调整绩效评价指标体系与方法，以保持评价工作的适应性和前瞻性。这为项目的长期稳定发展提供了有力保障。</w:t>
      </w:r>
    </w:p>
    <w:bookmarkEnd w:id="26"/>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2023年中央财政医疗服务与保障能力提升（中医药事业传承与发展）补助资金在提升中医药服务可及性、加强中医药人才培养等方面表现出色，达到了预期的标准与要求。同时，项目在诊疗效率提升、服务体验优化等领域成效显著，如动态心电/血压设备使得中医诊断中对患者身体指标的把握更为精准，诊断准确率有效提升全新升级的信息化系统，打通了挂号、就诊、缴费等各环节，让诊疗流程耗时大幅减少，患者候诊时间显著缩短，极大优化了服务体验。</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在项目管理方面，奇台县中医医院通过有效的规划、组织与协调，项目得以顺利实施，并在预算与时间上保持了良好的控制。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bookmarkStart w:id="27" w:name="OLE_LINK19"/>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eastAsia="zh-CN"/>
        </w:rPr>
        <w:t>提升医疗质量，优化患者诊疗流程，</w:t>
      </w:r>
      <w:r>
        <w:rPr>
          <w:rFonts w:hint="default" w:ascii="Times New Roman" w:hAnsi="Times New Roman" w:eastAsia="仿宋_GB2312" w:cs="Times New Roman"/>
          <w:sz w:val="32"/>
          <w:szCs w:val="32"/>
          <w:highlight w:val="none"/>
        </w:rPr>
        <w:t>等方面的提升，为项目的利益相关者带来了实实在在的利益。</w:t>
      </w:r>
    </w:p>
    <w:bookmarkEnd w:id="27"/>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综上所述，2023年中央财政医疗服务与保障能力提升（中医药事业传承与发展）补助资金在绩效评价中表现出色，达到了项目的预期目标，并在多个方面取得了显著的成效。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bookmarkStart w:id="28" w:name="OLE_LINK20"/>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bookmarkEnd w:id="28"/>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14"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bookmarkStart w:id="29" w:name="OLE_LINK22"/>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bookmarkEnd w:id="29"/>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bookmarkStart w:id="30" w:name="OLE_LINK23"/>
      <w:r>
        <w:rPr>
          <w:rFonts w:hint="default" w:ascii="Times New Roman" w:hAnsi="Times New Roman" w:eastAsia="仿宋_GB2312" w:cs="Times New Roman"/>
          <w:sz w:val="32"/>
          <w:szCs w:val="32"/>
          <w:lang w:val="en-US" w:eastAsia="zh-CN"/>
        </w:rPr>
        <w:t>本项目合规合理，立项紧扣《关于推进中医药传承创新发展的意见》《医疗服务与保障能力提升补助资金管理办法》等政策，符合中医药发展战略与行业规划要求，围绕本年度工作重点和工作计划制定经费预算，属于公共财政支持范围。本项目与部门内部其他相关项目不重复。部门发展规划及职能文件等归档完整。</w:t>
      </w:r>
    </w:p>
    <w:bookmarkEnd w:id="30"/>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bookmarkStart w:id="31" w:name="OLE_LINK24"/>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w:t>
      </w:r>
      <w:r>
        <w:rPr>
          <w:rFonts w:hint="default" w:ascii="Times New Roman" w:hAnsi="Times New Roman" w:eastAsia="仿宋_GB2312" w:cs="Times New Roman"/>
          <w:sz w:val="32"/>
          <w:szCs w:val="32"/>
          <w:lang w:val="en-US" w:eastAsia="zh-CN"/>
        </w:rPr>
        <w:t>作计划和经费预算，经过与部门项目分管领导沟通、筛选确定经费预算计划，确定最终预算方案。项目的审批文件、材料符合相关要求，项目事前经过必要的</w:t>
      </w:r>
      <w:r>
        <w:rPr>
          <w:rFonts w:hint="eastAsia" w:ascii="仿宋_GB2312" w:hAnsi="仿宋_GB2312" w:eastAsia="仿宋_GB2312" w:cs="仿宋_GB2312"/>
          <w:sz w:val="32"/>
          <w:szCs w:val="32"/>
          <w:lang w:val="en-US" w:eastAsia="zh-CN"/>
        </w:rPr>
        <w:t>的风险评估、绩效评估，保障了程序的规范性。</w:t>
      </w:r>
    </w:p>
    <w:bookmarkEnd w:id="31"/>
    <w:p>
      <w:pPr>
        <w:pStyle w:val="19"/>
        <w:keepNext w:val="0"/>
        <w:keepLines w:val="0"/>
        <w:pageBreakBefore w:val="0"/>
        <w:widowControl w:val="0"/>
        <w:shd w:val="clea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bookmarkStart w:id="32" w:name="OLE_LINK49"/>
      <w:bookmarkStart w:id="33" w:name="OLE_LINK51"/>
      <w:r>
        <w:rPr>
          <w:rFonts w:hint="default" w:ascii="Times New Roman" w:hAnsi="Times New Roman" w:eastAsia="仿宋_GB2312" w:cs="Times New Roman"/>
          <w:b/>
          <w:bCs/>
          <w:sz w:val="32"/>
          <w:szCs w:val="32"/>
          <w:lang w:val="en-US" w:eastAsia="zh-CN"/>
        </w:rPr>
        <w:t>资金投入</w:t>
      </w:r>
      <w:bookmarkEnd w:id="32"/>
    </w:p>
    <w:bookmarkEnd w:id="33"/>
    <w:p>
      <w:pPr>
        <w:shd w:val="clear"/>
        <w:spacing w:line="600" w:lineRule="exact"/>
        <w:ind w:firstLine="640" w:firstLineChars="200"/>
        <w:outlineLvl w:val="0"/>
        <w:rPr>
          <w:rFonts w:hint="eastAsia" w:ascii="Times New Roman" w:hAnsi="Times New Roman" w:eastAsia="仿宋_GB2312" w:cs="Times New Roman"/>
          <w:sz w:val="32"/>
          <w:szCs w:val="32"/>
          <w:lang w:val="en-US" w:eastAsia="zh-CN"/>
        </w:rPr>
      </w:pPr>
      <w:bookmarkStart w:id="34" w:name="OLE_LINK50"/>
      <w:r>
        <w:rPr>
          <w:rFonts w:hint="eastAsia" w:ascii="Times New Roman" w:hAnsi="Times New Roman" w:eastAsia="仿宋_GB2312" w:cs="Times New Roman"/>
          <w:sz w:val="32"/>
          <w:szCs w:val="32"/>
          <w:lang w:val="en-US" w:eastAsia="zh-CN"/>
        </w:rPr>
        <w:t>（1）预算编制的科学性与精确性</w:t>
      </w:r>
    </w:p>
    <w:p>
      <w:pPr>
        <w:shd w:val="clear"/>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项目在预算编制上，采取了极为严谨与科学的态度，深度融入了精细化管理的精髓。在预算的初步编制阶段，我们全面而细致地进行了成本分析，确保对项目所需的每一项资源都能进行精准的预估与合理分配。预算编制不仅结合了中医药事业传承与发展的特点，还深入考虑了项目的具体执行环境，针对项目的不同阶段、不同任务模块的资金需求，我们都进行了详尽的分析与精确的计算。</w:t>
      </w:r>
    </w:p>
    <w:p>
      <w:pPr>
        <w:shd w:val="clear"/>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在预算的编制流程中，我们始终秉持着成本控制与效益提升的双重目标，通过优化资源的配置策略，提升资金的使用效率，力求在有限的预算框架内，实现项目经济效益与社会效益的最大化。此外，我们还特别考虑了项目实施过程中可能遇到的风险因素，为此预留了充足的预算空间，以灵活应对项目实施中的不确定性，确保项目的稳健推进。</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（2）资金分配的合理性与高效性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资金分配环节，本项目严格遵循了公平、公正、透明的原则，确保每一分资金都能得到最合理的配置与最高效的利用。我们根据项目的实际需求与目标，对资金进行了周密的规划与科学的安排，资金分配紧密贴合项目的实际执行状况，对中医药传承与发展的关键领域与核心环节给予了重点的资金倾斜。</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资金分配的具体实践中，我们既注重了资金对关键任务的全力支持，也兼顾了资金的均衡分配，避免了资源的浪费与资金的闲置。同时，我们还充分考虑了项目实施中可能遇到的风险与挑战，对资金分配方案进行了适时的调整与优化，为项目的顺利执行提供了坚实的资金保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lang w:val="en-US" w:eastAsia="zh-CN"/>
        </w:rPr>
        <w:t>本项目在资金投入上，无论是预算编制的科学性与精确</w:t>
      </w:r>
      <w:r>
        <w:rPr>
          <w:rFonts w:hint="default" w:ascii="Times New Roman" w:hAnsi="Times New Roman" w:eastAsia="仿宋_GB2312" w:cs="Times New Roman"/>
          <w:sz w:val="32"/>
          <w:szCs w:val="32"/>
          <w:highlight w:val="none"/>
          <w:lang w:eastAsia="zh-CN"/>
        </w:rPr>
        <w:t>性，还是资金分配的合理性与高效性，都充分展现了项目管理的专业水准与前瞻视野，为中医药事业的传承与发展注入了强大的动力，也为项目的成功实施与绩效评价奠定了坚实的基础。</w:t>
      </w:r>
    </w:p>
    <w:bookmarkEnd w:id="34"/>
    <w:p>
      <w:pPr>
        <w:pStyle w:val="10"/>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35" w:name="OLE_LINK25"/>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bookmarkEnd w:id="35"/>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w:t>
      </w:r>
      <w:bookmarkStart w:id="36" w:name="OLE_LINK52"/>
      <w:r>
        <w:rPr>
          <w:rFonts w:hint="default" w:ascii="Times New Roman" w:hAnsi="Times New Roman" w:eastAsia="仿宋_GB2312" w:cs="Times New Roman"/>
          <w:b/>
          <w:bCs/>
          <w:sz w:val="32"/>
          <w:szCs w:val="32"/>
          <w:highlight w:val="none"/>
          <w:lang w:val="en-US" w:eastAsia="zh-CN"/>
        </w:rPr>
        <w:t>.资金管理</w:t>
      </w:r>
    </w:p>
    <w:bookmarkEnd w:id="36"/>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52.93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52.93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37" w:name="OLE_LINK54"/>
      <w:r>
        <w:rPr>
          <w:rFonts w:hint="default" w:ascii="Times New Roman" w:hAnsi="Times New Roman" w:eastAsia="仿宋_GB2312" w:cs="Times New Roman"/>
          <w:sz w:val="32"/>
          <w:szCs w:val="32"/>
          <w:highlight w:val="none"/>
          <w:lang w:val="en-US" w:eastAsia="zh-CN"/>
        </w:rPr>
        <w:t>（3）资金使用合规性</w:t>
      </w:r>
    </w:p>
    <w:p>
      <w:pPr>
        <w:shd w:val="clear"/>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项目在资金使用方面，始终坚守法律底线，严格遵守《医疗服务与保障能力提升补助资金管理办法》以及国家一系列财经法律法规和财务规章制度，从资金流动的源头抓起，确保每一笔资金的使用都经得起法律和制度的检验，从而维护了资金使用的合法合规性与安全性。</w:t>
      </w:r>
    </w:p>
    <w:p>
      <w:pPr>
        <w:shd w:val="clear"/>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为加强资金管理，我们构建了全面而细致的财务管理框架，该框架不仅涵盖了资金的筹集、分配、使用、核算等各个环节</w:t>
      </w:r>
      <w:r>
        <w:rPr>
          <w:rFonts w:hint="eastAsia"/>
          <w:sz w:val="30"/>
          <w:szCs w:val="30"/>
        </w:rPr>
        <w:t>，</w:t>
      </w:r>
      <w:r>
        <w:rPr>
          <w:rFonts w:hint="eastAsia" w:ascii="Times New Roman" w:hAnsi="Times New Roman" w:eastAsia="仿宋_GB2312" w:cs="Times New Roman"/>
          <w:sz w:val="32"/>
          <w:szCs w:val="32"/>
          <w:lang w:val="en-US" w:eastAsia="zh-CN"/>
        </w:rPr>
        <w:t>实现了对资金流动的实时监控与精准记录。这种全方位、多维度的财务管理体系，使得我们能够随时掌握资金的使用情况，有效防范了资金被挪用、截留等风险。</w:t>
      </w:r>
    </w:p>
    <w:p>
      <w:pPr>
        <w:shd w:val="clear"/>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在具体实践中，我们坚决执行专款专用的原则，确保中医药事业传承与发展项目的资金能够精准投放到位，不被任何非项目相关的活动所挤占。同时，我院还建立了严格的资金使用审批流程，每一笔资金的使用都需经过严格的审核与批准，从制度上保障了资金使用的规范性和严谨性。</w:t>
      </w:r>
    </w:p>
    <w:p>
      <w:pPr>
        <w:shd w:val="clear"/>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在资金使用的审计与监督方面，我们同样不遗余力。我们定期组织财务收支自查自纠活动，通过内部审计和外部审计相结合的方式，对资金使用的合规性、效益性进行全方位的检查与评估，及时发现并纠正可能存在的问题，确保资金使用的合法合规与高效利用。</w:t>
      </w:r>
    </w:p>
    <w:p>
      <w:pPr>
        <w:shd w:val="clear"/>
        <w:spacing w:line="600" w:lineRule="exact"/>
        <w:ind w:firstLine="640" w:firstLineChars="200"/>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此外，我院还特别注重资金使用的成本效益分析，通过优化资源配置、提高资金使用效率等措施，力求在有限的资金条件下，实现项目效益的最大化。我们鼓励创新思维，推动中医药事业传承与发展项目在技术、管理等方面的持续改进，以提高项目的整体效益。</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综上所述，本项目的资金使用不仅合法合规、安全稳健，还充分体现了高效利用的原则。这种资金管理方式不仅符合国家相关法律法规与财务制度的要求，还满足了项目实施的实际需要，为中医药事业的传承与发展注入了源源不断的动力。资金使用的合法合规性与高效利用，为项目的成功实施提供了坚实的保障，也为项目的绩效评价奠定了坚实的基础。</w:t>
      </w:r>
    </w:p>
    <w:bookmarkEnd w:id="37"/>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bookmarkStart w:id="38" w:name="OLE_LINK26"/>
      <w:r>
        <w:rPr>
          <w:rFonts w:hint="default" w:ascii="Times New Roman" w:hAnsi="Times New Roman" w:eastAsia="仿宋_GB2312" w:cs="Times New Roman"/>
          <w:sz w:val="32"/>
          <w:szCs w:val="32"/>
          <w:lang w:val="en-US" w:eastAsia="zh-CN"/>
        </w:rPr>
        <w:t>组织实施</w:t>
      </w:r>
      <w:bookmarkEnd w:id="38"/>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bookmarkStart w:id="39" w:name="OLE_LINK27"/>
      <w:r>
        <w:rPr>
          <w:rFonts w:hint="default" w:ascii="Times New Roman" w:hAnsi="Times New Roman" w:eastAsia="仿宋_GB2312" w:cs="Times New Roman"/>
          <w:sz w:val="32"/>
          <w:szCs w:val="32"/>
          <w:lang w:val="en-US" w:eastAsia="zh-CN"/>
        </w:rPr>
        <w:t>本项目以《中医药事业传承与发展项目管理办法》为核心制度支撑，结合设备采购、信息化建设等业务特点，构建了全流程管理制度体系</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项目管理制度的制定紧密结合了项目的特点与实际情况，涵盖了项目的策划、组织、实施、监控与收尾等各个环节。</w:t>
      </w:r>
    </w:p>
    <w:bookmarkEnd w:id="39"/>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在制度设计上，我们紧密结合中医药事业传承与发展的实际需求，注重制度的科学性与实用性相结合，力求构建一套既能指导项目高效执行，又能灵活应对各种挑战的管理体系。</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为了确保管理制度的有效落实，我们特别注重风险防控机制的构建。在项目启动之初，我们就对可能遇到的风险进行了全面梳理和评估，并据此制定了详细的风险应对措施和应急预案。</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在组织实施方面注重制度设计的科学性与实用性相结合，构建了健全的管理制度体系，并建立了有效的监督机制和反馈机制。这些措施不仅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本项目在执行过程中，管理制度得到了全面、有效的落</w:t>
      </w:r>
      <w:r>
        <w:rPr>
          <w:rFonts w:hint="default" w:ascii="Times New Roman" w:hAnsi="Times New Roman" w:eastAsia="仿宋_GB2312" w:cs="Times New Roman"/>
          <w:sz w:val="32"/>
          <w:szCs w:val="32"/>
          <w:lang w:eastAsia="zh-CN"/>
        </w:rPr>
        <w:t>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2"/>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w:t>
      </w:r>
      <w:r>
        <w:rPr>
          <w:rFonts w:hint="default" w:ascii="Times New Roman" w:hAnsi="Times New Roman" w:eastAsia="仿宋_GB2312" w:cs="Times New Roman"/>
          <w:sz w:val="32"/>
          <w:szCs w:val="32"/>
          <w:highlight w:val="none"/>
          <w:lang w:val="en-US" w:eastAsia="zh-CN"/>
        </w:rPr>
        <w:t>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bookmarkStart w:id="40" w:name="OLE_LINK30"/>
      <w:r>
        <w:rPr>
          <w:rFonts w:hint="default" w:ascii="Times New Roman" w:hAnsi="Times New Roman" w:eastAsia="仿宋_GB2312" w:cs="Times New Roman"/>
          <w:sz w:val="32"/>
          <w:szCs w:val="32"/>
          <w:highlight w:val="none"/>
        </w:rPr>
        <w:t>指标1</w:t>
      </w:r>
      <w:bookmarkEnd w:id="40"/>
      <w:r>
        <w:rPr>
          <w:rFonts w:hint="default" w:ascii="Times New Roman" w:hAnsi="Times New Roman" w:eastAsia="仿宋_GB2312" w:cs="Times New Roman"/>
          <w:sz w:val="32"/>
          <w:szCs w:val="32"/>
          <w:highlight w:val="none"/>
        </w:rPr>
        <w:t>：</w:t>
      </w:r>
      <w:bookmarkStart w:id="41" w:name="OLE_LINK31"/>
      <w:bookmarkStart w:id="42" w:name="OLE_LINK29"/>
      <w:r>
        <w:rPr>
          <w:rFonts w:hint="default" w:ascii="Times New Roman" w:hAnsi="Times New Roman" w:eastAsia="仿宋_GB2312" w:cs="Times New Roman"/>
          <w:sz w:val="32"/>
          <w:szCs w:val="32"/>
          <w:highlight w:val="none"/>
        </w:rPr>
        <w:t xml:space="preserve">购置设备数量 ，指标值： </w:t>
      </w:r>
      <w:bookmarkStart w:id="43" w:name="OLE_LINK28"/>
      <w:r>
        <w:rPr>
          <w:rFonts w:hint="default" w:ascii="Times New Roman" w:hAnsi="Times New Roman" w:eastAsia="仿宋_GB2312" w:cs="Times New Roman"/>
          <w:sz w:val="32"/>
          <w:szCs w:val="32"/>
          <w:highlight w:val="none"/>
        </w:rPr>
        <w:t>&gt;=10台</w:t>
      </w:r>
      <w:bookmarkEnd w:id="43"/>
      <w:r>
        <w:rPr>
          <w:rFonts w:hint="default" w:ascii="Times New Roman" w:hAnsi="Times New Roman" w:eastAsia="仿宋_GB2312" w:cs="Times New Roman"/>
          <w:sz w:val="32"/>
          <w:szCs w:val="32"/>
          <w:highlight w:val="none"/>
        </w:rPr>
        <w:t xml:space="preserve"> ，实际完成值：&gt;=10台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bookmarkEnd w:id="41"/>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购置信息化建设系统数量 ，</w:t>
      </w:r>
      <w:bookmarkStart w:id="44" w:name="OLE_LINK32"/>
      <w:r>
        <w:rPr>
          <w:rFonts w:hint="default" w:ascii="Times New Roman" w:hAnsi="Times New Roman" w:eastAsia="仿宋_GB2312" w:cs="Times New Roman"/>
          <w:sz w:val="32"/>
          <w:szCs w:val="32"/>
          <w:highlight w:val="none"/>
        </w:rPr>
        <w:t>指标值： =2套  ，实际完成值：=2套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bookmarkEnd w:id="42"/>
    <w:bookmarkEnd w:id="44"/>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质量指标：设备验收合格率</w:t>
      </w:r>
      <w:bookmarkStart w:id="45" w:name="OLE_LINK33"/>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指标值：=100%  ，实际完成值：=100%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bookmarkEnd w:id="45"/>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时效指标：设备入库及时率</w:t>
      </w:r>
      <w:bookmarkStart w:id="46" w:name="OLE_LINK34"/>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指标值：=100%  ，实际完成值：=100%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bookmarkEnd w:id="46"/>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成本指标：项目预算控制率</w:t>
      </w:r>
      <w:bookmarkStart w:id="47" w:name="OLE_LINK35"/>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指标值：&lt;=100%  ，实际完成值：&lt;=100%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bookmarkEnd w:id="47"/>
    <w:p>
      <w:pPr>
        <w:pStyle w:val="12"/>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经济效益指标：设备利用率</w:t>
      </w:r>
      <w:bookmarkStart w:id="48" w:name="OLE_LINK36"/>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指标值：=100%  ，实际完成值：=100%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bookmarkEnd w:id="48"/>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社会效益指标：提高医疗服务质量</w:t>
      </w:r>
      <w:bookmarkStart w:id="49" w:name="OLE_LINK37"/>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指标值：有效提高  ，实际完成值：有效提高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bookmarkEnd w:id="49"/>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患者满意度</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指标值：&gt;=95%，实际完成值：=98.31% ，指标完成率</w:t>
      </w:r>
      <w:r>
        <w:rPr>
          <w:rFonts w:hint="eastAsia" w:eastAsia="仿宋_GB2312" w:cs="Times New Roman"/>
          <w:sz w:val="32"/>
          <w:szCs w:val="32"/>
          <w:highlight w:val="none"/>
          <w:lang w:val="en-US" w:eastAsia="zh-CN"/>
        </w:rPr>
        <w:t>103.48</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偏差原因：患者对服务较为满意，故存在偏差。</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19"/>
        <w:spacing w:line="560" w:lineRule="exact"/>
        <w:ind w:firstLine="640"/>
        <w:rPr>
          <w:rFonts w:hint="eastAsia"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2023年中央财政医疗服务与保障能力提升（中医药事业传承与发展）补助资金项目年初预算</w:t>
      </w:r>
      <w:r>
        <w:rPr>
          <w:rFonts w:hint="eastAsia" w:ascii="Times New Roman" w:hAnsi="Times New Roman" w:eastAsia="仿宋_GB2312" w:cs="Times New Roman"/>
          <w:kern w:val="2"/>
          <w:sz w:val="32"/>
          <w:szCs w:val="32"/>
          <w:highlight w:val="none"/>
          <w:lang w:val="en-US" w:eastAsia="zh-CN" w:bidi="ar-SA"/>
        </w:rPr>
        <w:t>52.93</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52.93</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52.93</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eastAsia="仿宋_GB2312" w:cs="Times New Roman"/>
          <w:kern w:val="2"/>
          <w:sz w:val="32"/>
          <w:szCs w:val="32"/>
          <w:highlight w:val="none"/>
          <w:lang w:val="en-US" w:eastAsia="zh-CN" w:bidi="ar-SA"/>
        </w:rPr>
        <w:t>100.44</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eastAsia="仿宋_GB2312" w:cs="Times New Roman"/>
          <w:kern w:val="2"/>
          <w:sz w:val="32"/>
          <w:szCs w:val="32"/>
          <w:highlight w:val="none"/>
          <w:lang w:val="en-US" w:eastAsia="zh-CN" w:bidi="ar-SA"/>
        </w:rPr>
        <w:t>0.44</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lang w:val="en-US" w:eastAsia="zh-Hans" w:bidi="ar-SA"/>
        </w:rPr>
        <w:t>改进</w:t>
      </w:r>
      <w:r>
        <w:rPr>
          <w:rFonts w:hint="eastAsia" w:ascii="Times New Roman" w:hAnsi="Times New Roman" w:eastAsia="仿宋_GB2312" w:cs="Times New Roman"/>
          <w:kern w:val="2"/>
          <w:sz w:val="32"/>
          <w:szCs w:val="32"/>
          <w:lang w:val="en-US" w:eastAsia="zh-CN" w:bidi="ar-SA"/>
        </w:rPr>
        <w:t>措施</w:t>
      </w:r>
      <w:r>
        <w:rPr>
          <w:rFonts w:hint="eastAsia" w:eastAsia="仿宋_GB2312" w:cs="Times New Roman"/>
          <w:kern w:val="2"/>
          <w:sz w:val="32"/>
          <w:szCs w:val="32"/>
          <w:lang w:val="en-US" w:eastAsia="zh-CN" w:bidi="ar-SA"/>
        </w:rPr>
        <w:t>：下年度合理安排目标值</w:t>
      </w:r>
      <w:r>
        <w:rPr>
          <w:rFonts w:hint="eastAsia" w:ascii="Times New Roman" w:hAnsi="Times New Roman" w:eastAsia="仿宋_GB2312" w:cs="Times New Roman"/>
          <w:kern w:val="2"/>
          <w:sz w:val="32"/>
          <w:szCs w:val="32"/>
          <w:lang w:val="en-US" w:eastAsia="zh-CN" w:bidi="ar-SA"/>
        </w:rPr>
        <w:t>。改进措施：下年度合理填报目标值</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w:t>
      </w:r>
      <w:bookmarkStart w:id="50" w:name="OLE_LINK53"/>
      <w:r>
        <w:rPr>
          <w:rFonts w:hint="default" w:ascii="Times New Roman" w:hAnsi="Times New Roman" w:eastAsia="楷体" w:cs="Times New Roman"/>
          <w:b/>
          <w:spacing w:val="-4"/>
          <w:sz w:val="32"/>
          <w:szCs w:val="32"/>
        </w:rPr>
        <w:t>主要经验及做法</w:t>
      </w:r>
      <w:bookmarkEnd w:id="50"/>
    </w:p>
    <w:p>
      <w:pPr>
        <w:pStyle w:val="19"/>
        <w:spacing w:line="560" w:lineRule="exact"/>
        <w:ind w:firstLine="640"/>
        <w:rPr>
          <w:rFonts w:hint="eastAsia" w:ascii="Times New Roman" w:hAnsi="Times New Roman" w:eastAsia="仿宋_GB2312" w:cs="Times New Roman"/>
          <w:kern w:val="2"/>
          <w:sz w:val="32"/>
          <w:szCs w:val="32"/>
          <w:highlight w:val="none"/>
          <w:lang w:val="en-US" w:eastAsia="zh-CN" w:bidi="ar-SA"/>
        </w:rPr>
      </w:pPr>
      <w:bookmarkStart w:id="51" w:name="OLE_LINK56"/>
      <w:r>
        <w:rPr>
          <w:rFonts w:hint="eastAsia" w:ascii="Times New Roman" w:hAnsi="Times New Roman" w:eastAsia="仿宋_GB2312" w:cs="Times New Roman"/>
          <w:kern w:val="2"/>
          <w:sz w:val="32"/>
          <w:szCs w:val="32"/>
          <w:highlight w:val="none"/>
          <w:lang w:val="en-US" w:eastAsia="zh-CN" w:bidi="ar-SA"/>
        </w:rPr>
        <w:t>在项目启动之初，我们深刻认识到规划的重要性，因此提前进行了详尽的项目规划，并对所列计划进行了多轮审核，确保其科学性和可行性。在实施过程中，我们坚持定期监督检查，严格按照项目管理规范执行，确保每一步都符合既定要求。特别是在资金使用上，我们严格把关，按照项目资金使用范围做好审核工作，确保资金精准投放，真正惠及中医药事业的发展。</w:t>
      </w:r>
    </w:p>
    <w:p>
      <w:pPr>
        <w:pStyle w:val="19"/>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为确保资金使用的透明度和有效性，我们坚持“先做事、后验收、再拨付”的原则，这一原则有效杜绝了资金被挤占和挪用的现象。同时，我们加强了财政、纪检、监察等职能部门的参与度，确保专项资金从事前、事中到事后的全过程监管。在监督环节上，我们实现了关口前移，从事后监督管理转向事前审核、事中监督和事后检查稽核相结合的监督制度，形成了多环节、全过程的监督管理格局，确保问题早发现、早解决。</w:t>
      </w:r>
    </w:p>
    <w:p>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预算执行约束力不够，受政策非连续性与预算执行等不协调因素影响，预算项目在执行过程中缺乏有限的监督机制，预算执行审核缺乏常态性；单位缺乏绩效综合知识专业人员，导致该项目总体质量不高，未能充分发挥绩效管理的导向作用，很难做到对财政预算资金进行全覆盖跟踪监督，同时审核监督独立性不够充分限制了监督职责的发挥。</w:t>
      </w:r>
    </w:p>
    <w:bookmarkEnd w:id="51"/>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bookmarkStart w:id="52" w:name="OLE_LINK57"/>
      <w:r>
        <w:rPr>
          <w:rFonts w:hint="default" w:ascii="Times New Roman" w:hAnsi="Times New Roman" w:eastAsia="黑体" w:cs="Times New Roman"/>
          <w:sz w:val="32"/>
          <w:szCs w:val="32"/>
        </w:rPr>
        <w:t>有关建议</w:t>
      </w:r>
      <w:bookmarkEnd w:id="52"/>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一、强</w:t>
      </w:r>
      <w:r>
        <w:rPr>
          <w:rFonts w:hint="eastAsia" w:ascii="仿宋_GB2312" w:hAnsi="仿宋_GB2312" w:eastAsia="仿宋_GB2312" w:cs="仿宋_GB2312"/>
          <w:sz w:val="32"/>
          <w:szCs w:val="32"/>
          <w:highlight w:val="none"/>
          <w:lang w:val="en-US" w:eastAsia="zh-CN"/>
        </w:rPr>
        <w:t>化绩效管理培训</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建议定期组织绩效管理相关的培训活动，特别是邀请第三方专业机构进行授课，以进一步夯实业务基础，提高我单位绩效人员的专业素养。通过培训，增强团队对绩效管理工作的理解和应用能力，确保绩效管理工作的有效实施。</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二、明确绩效工作职责</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提升绩效管理工作的业务水平，建议专门设定对绩效工作人员的定职、定岗、定责等相关制度措施。明确各岗位的职责和权限，确保绩效管理工作能够有序、高效地进行。同时，通过制度化的管理，提升工作人员的责任感和使命感，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三、规范项目建设程序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在项目前期，应充分做好可行性研究报告，细化实施方案，确保项目的科学性和可行性。同时，严格执行资金管理办法和财政资金管理制度，严格按照项目实施方案、招投标管理办法等推进工作。各部门单位应根据自己项目的特点进行总结，形成一套适用于本单位的项目建设程序和管理体系。</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四、完善项目评价资料收集与分析</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在项目评价过程中，应注重有关数据和资料的收集、整理、审核及分析工作。项目启动时，应同步做好档案的归纳与整理，确保资料的完整性和准确性。及时整理、收集、汇总项目相关资料，健全档案资料体系。同时，加强对项目后续管理的跟踪和评估，确保项目能够持续发挥效益。</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五、加强绩效管理组织领导</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进一步提高预算绩效管理工作的重视程度，建议加强对绩效管理工作的组织领导。总结经验，查找问题，抓紧研究制定更全面、更完善的绩效评价管理办法。结合实际情况，建立绩效工作考核制度，将绩效管理工作纳入考核范围，加大全局对全面实施预算绩效管理和绩效管理工作的学习力度。同时，树立“花钱必问效，无效必问责”的理念，确保每一分钱都用在刀刃上，真正发挥资金的使用效益。</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53" w:name="page8"/>
      <w:bookmarkEnd w:id="53"/>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default" w:ascii="Times New Roman" w:hAnsi="Times New Roman" w:eastAsia="仿宋_GB2312" w:cs="Times New Roman"/>
          <w:sz w:val="32"/>
          <w:szCs w:val="32"/>
        </w:rPr>
      </w:pPr>
    </w:p>
    <w:p>
      <w:pPr>
        <w:pStyle w:val="13"/>
        <w:spacing w:after="0" w:line="560" w:lineRule="exact"/>
        <w:ind w:left="0" w:leftChars="0" w:firstLine="640"/>
        <w:rPr>
          <w:rFonts w:hint="default" w:ascii="Times New Roman" w:hAnsi="Times New Roman" w:eastAsia="仿宋_GB2312" w:cs="Times New Roman"/>
          <w:sz w:val="32"/>
          <w:szCs w:val="32"/>
        </w:rPr>
      </w:pPr>
    </w:p>
    <w:p>
      <w:pPr>
        <w:pStyle w:val="13"/>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b/>
          <w:bCs/>
          <w:sz w:val="28"/>
          <w:szCs w:val="40"/>
          <w:highlight w:val="none"/>
        </w:rPr>
      </w:pPr>
      <w:bookmarkStart w:id="54" w:name="_Toc30064_WPSOffice_Level1"/>
      <w:bookmarkStart w:id="55" w:name="_Toc26499_WPSOffice_Level2"/>
      <w:bookmarkStart w:id="56" w:name="OLE_LINK11"/>
      <w:r>
        <w:rPr>
          <w:rFonts w:hint="eastAsia" w:ascii="仿宋_GB2312" w:hAnsi="仿宋_GB2312" w:eastAsia="仿宋_GB2312" w:cs="仿宋_GB2312"/>
          <w:b/>
          <w:bCs/>
          <w:sz w:val="28"/>
          <w:szCs w:val="40"/>
          <w:highlight w:val="none"/>
          <w:lang w:val="en-US" w:eastAsia="zh-CN"/>
        </w:rPr>
        <w:t>关于2023年中央财政医疗服务与保障能力提升（中医药事业传承与发展）补助资金</w:t>
      </w:r>
      <w:r>
        <w:rPr>
          <w:rFonts w:hint="eastAsia" w:ascii="仿宋_GB2312" w:hAnsi="仿宋_GB2312" w:eastAsia="仿宋_GB2312" w:cs="仿宋_GB2312"/>
          <w:b/>
          <w:bCs/>
          <w:sz w:val="28"/>
          <w:szCs w:val="40"/>
          <w:highlight w:val="none"/>
        </w:rPr>
        <w:t>项目绩效</w:t>
      </w:r>
    </w:p>
    <w:p>
      <w:pPr>
        <w:pStyle w:val="19"/>
        <w:ind w:firstLine="562"/>
        <w:jc w:val="center"/>
        <w:rPr>
          <w:rFonts w:hint="eastAsia" w:ascii="仿宋_GB2312" w:hAnsi="仿宋_GB2312" w:eastAsia="仿宋_GB2312" w:cs="仿宋_GB2312"/>
          <w:sz w:val="28"/>
          <w:szCs w:val="40"/>
          <w:highlight w:val="none"/>
        </w:rPr>
      </w:pPr>
      <w:r>
        <w:rPr>
          <w:rFonts w:hint="eastAsia" w:ascii="仿宋_GB2312" w:hAnsi="仿宋_GB2312" w:eastAsia="仿宋_GB2312" w:cs="仿宋_GB2312"/>
          <w:b/>
          <w:bCs/>
          <w:sz w:val="28"/>
          <w:szCs w:val="40"/>
          <w:highlight w:val="none"/>
        </w:rPr>
        <w:t>评价指标体系及综合评分表</w:t>
      </w:r>
      <w:bookmarkEnd w:id="54"/>
      <w:bookmarkEnd w:id="55"/>
    </w:p>
    <w:bookmarkEnd w:id="56"/>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bookmarkStart w:id="57" w:name="OLE_LINK12"/>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bookmarkEnd w:id="57"/>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2023年中央财政医疗服务与保障能力提升（中医药事业传承与发展）补助资金昌州财社（2022）43号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3331"/>
              </w:tabs>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奇台县中医医院</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264"/>
              </w:tabs>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ab/>
            </w:r>
            <w:r>
              <w:rPr>
                <w:rFonts w:hint="eastAsia" w:ascii="仿宋_GB2312" w:hAnsi="仿宋_GB2312" w:eastAsia="仿宋_GB2312" w:cs="仿宋_GB2312"/>
                <w:i w:val="0"/>
                <w:iCs w:val="0"/>
                <w:color w:val="000000"/>
                <w:sz w:val="18"/>
                <w:szCs w:val="18"/>
                <w:u w:val="none"/>
                <w:lang w:eastAsia="zh-CN"/>
              </w:rPr>
              <w:t>奇台县中医医院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52.93</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52.93</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52.93</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52.93</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52.93</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52.93</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本项目投入52.93万元用于公立医院购买设备及信息化建设，制定了项目实施方案，提高医疗服务质量，加强医院管理，主要内容为购买专用设备数量</w:t>
            </w:r>
            <w:r>
              <w:rPr>
                <w:rFonts w:hint="eastAsia" w:ascii="仿宋_GB2312" w:hAnsi="仿宋_GB2312" w:eastAsia="仿宋_GB2312" w:cs="仿宋_GB2312"/>
                <w:i w:val="0"/>
                <w:iCs w:val="0"/>
                <w:color w:val="000000"/>
                <w:sz w:val="18"/>
                <w:szCs w:val="18"/>
                <w:u w:val="none"/>
                <w:lang w:val="en-US" w:eastAsia="zh-CN"/>
              </w:rPr>
              <w:t>10</w:t>
            </w:r>
            <w:r>
              <w:rPr>
                <w:rFonts w:hint="eastAsia" w:ascii="仿宋_GB2312" w:hAnsi="仿宋_GB2312" w:eastAsia="仿宋_GB2312" w:cs="仿宋_GB2312"/>
                <w:i w:val="0"/>
                <w:iCs w:val="0"/>
                <w:color w:val="000000"/>
                <w:sz w:val="18"/>
                <w:szCs w:val="18"/>
                <w:u w:val="none"/>
              </w:rPr>
              <w:t>台，购买信息化建设系统2套，设备质量合格率达到100%，设通过本项目的实施，切实做好医疗服务质量提高，加强医院管理</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截止2024年12月31日购买专用设备数量10台，购买信息化建设系统2套，设备质量合格率达到100%，设通过本项目的实施，切实做好医疗服务质量提高，加强医院管理。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购置设备数量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bookmarkStart w:id="58" w:name="OLE_LINK13"/>
            <w:r>
              <w:rPr>
                <w:rFonts w:hint="eastAsia" w:ascii="宋体" w:hAnsi="宋体" w:eastAsia="宋体" w:cs="宋体"/>
                <w:i w:val="0"/>
                <w:color w:val="000000"/>
                <w:kern w:val="0"/>
                <w:sz w:val="16"/>
                <w:szCs w:val="16"/>
                <w:u w:val="none"/>
                <w:lang w:val="en-US" w:eastAsia="zh-CN" w:bidi="ar"/>
              </w:rPr>
              <w:t>&gt;=10台</w:t>
            </w:r>
            <w:bookmarkEnd w:id="58"/>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11</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&gt;=10台</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11</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购置信息化建设系统数量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=2套</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=2套</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设备验收合格率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设备入库及时率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9</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项目预算控制率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bookmarkStart w:id="59" w:name="OLE_LINK55"/>
            <w:r>
              <w:rPr>
                <w:rFonts w:hint="eastAsia" w:ascii="宋体" w:hAnsi="宋体" w:eastAsia="宋体" w:cs="宋体"/>
                <w:i w:val="0"/>
                <w:color w:val="000000"/>
                <w:kern w:val="0"/>
                <w:sz w:val="16"/>
                <w:szCs w:val="16"/>
                <w:u w:val="none"/>
                <w:lang w:val="en-US" w:eastAsia="zh-CN" w:bidi="ar"/>
              </w:rPr>
              <w:t>&lt;=100%</w:t>
            </w:r>
            <w:bookmarkEnd w:id="59"/>
          </w:p>
        </w:tc>
        <w:tc>
          <w:tcPr>
            <w:tcW w:w="1164" w:type="dxa"/>
            <w:tcBorders>
              <w:top w:val="single" w:color="000000" w:sz="4" w:space="0"/>
              <w:left w:val="single" w:color="000000" w:sz="4" w:space="0"/>
              <w:bottom w:val="nil"/>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&lt;=100%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设备利用率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提高医疗服务质量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有效提高</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有效提高</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患者满意度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=98.31%</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103.48%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患者对服务较为满意，故存在偏差。改进措施：下年度合理填报目标值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pPr>
        <w:rPr>
          <w:rFonts w:hint="default" w:ascii="Times New Roman" w:hAnsi="Times New Roman" w:cs="Times New Roman"/>
        </w:rPr>
      </w:pPr>
    </w:p>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56C608"/>
    <w:multiLevelType w:val="singleLevel"/>
    <w:tmpl w:val="8056C608"/>
    <w:lvl w:ilvl="0" w:tentative="0">
      <w:start w:val="1"/>
      <w:numFmt w:val="chineseCounting"/>
      <w:suff w:val="nothing"/>
      <w:lvlText w:val="（%1）"/>
      <w:lvlJc w:val="left"/>
      <w:pPr>
        <w:ind w:left="0" w:firstLine="420"/>
      </w:pPr>
      <w:rPr>
        <w:rFonts w:hint="eastAsia"/>
      </w:rPr>
    </w:lvl>
  </w:abstractNum>
  <w:abstractNum w:abstractNumId="1">
    <w:nsid w:val="DBF5020D"/>
    <w:multiLevelType w:val="singleLevel"/>
    <w:tmpl w:val="DBF5020D"/>
    <w:lvl w:ilvl="0" w:tentative="0">
      <w:start w:val="1"/>
      <w:numFmt w:val="decimal"/>
      <w:lvlText w:val="%1."/>
      <w:lvlJc w:val="left"/>
      <w:pPr>
        <w:tabs>
          <w:tab w:val="left" w:pos="312"/>
        </w:tabs>
      </w:pPr>
    </w:lvl>
  </w:abstractNum>
  <w:abstractNum w:abstractNumId="2">
    <w:nsid w:val="F4CD2B0F"/>
    <w:multiLevelType w:val="singleLevel"/>
    <w:tmpl w:val="F4CD2B0F"/>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pPr>
        <w:ind w:left="-81"/>
      </w:pPr>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0"/>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0157A3"/>
    <w:rsid w:val="02510197"/>
    <w:rsid w:val="03EC461B"/>
    <w:rsid w:val="071A5591"/>
    <w:rsid w:val="07397B77"/>
    <w:rsid w:val="0A2552B4"/>
    <w:rsid w:val="0AD007F3"/>
    <w:rsid w:val="0D082A6E"/>
    <w:rsid w:val="0E3C619F"/>
    <w:rsid w:val="0F6273CA"/>
    <w:rsid w:val="100F38EC"/>
    <w:rsid w:val="11170296"/>
    <w:rsid w:val="12C66037"/>
    <w:rsid w:val="12CD1ABC"/>
    <w:rsid w:val="13471461"/>
    <w:rsid w:val="13B90F01"/>
    <w:rsid w:val="155E4C4D"/>
    <w:rsid w:val="181066D2"/>
    <w:rsid w:val="1C671E73"/>
    <w:rsid w:val="1D322C47"/>
    <w:rsid w:val="20601BDA"/>
    <w:rsid w:val="20CA3E4F"/>
    <w:rsid w:val="21D83F80"/>
    <w:rsid w:val="22290DFD"/>
    <w:rsid w:val="23616034"/>
    <w:rsid w:val="23696C97"/>
    <w:rsid w:val="24480FA2"/>
    <w:rsid w:val="25227A45"/>
    <w:rsid w:val="26AC3A6A"/>
    <w:rsid w:val="26EA6A34"/>
    <w:rsid w:val="2888579A"/>
    <w:rsid w:val="2B9D7E25"/>
    <w:rsid w:val="2C7C7A3B"/>
    <w:rsid w:val="2F364819"/>
    <w:rsid w:val="2FD63906"/>
    <w:rsid w:val="33F817FE"/>
    <w:rsid w:val="37215DAE"/>
    <w:rsid w:val="38CA40DD"/>
    <w:rsid w:val="395F2B56"/>
    <w:rsid w:val="3B482032"/>
    <w:rsid w:val="3BBA0580"/>
    <w:rsid w:val="3BECE841"/>
    <w:rsid w:val="3CDE204C"/>
    <w:rsid w:val="3D363C36"/>
    <w:rsid w:val="3E9C3F6D"/>
    <w:rsid w:val="3FF7797D"/>
    <w:rsid w:val="40AF5319"/>
    <w:rsid w:val="42F16CBA"/>
    <w:rsid w:val="46690BD8"/>
    <w:rsid w:val="49F70BF1"/>
    <w:rsid w:val="4B4340EE"/>
    <w:rsid w:val="4DF72D0C"/>
    <w:rsid w:val="503D507A"/>
    <w:rsid w:val="51FA74D0"/>
    <w:rsid w:val="52AA4A52"/>
    <w:rsid w:val="539D3AD1"/>
    <w:rsid w:val="56442D30"/>
    <w:rsid w:val="59943D66"/>
    <w:rsid w:val="59E051FD"/>
    <w:rsid w:val="59E6355E"/>
    <w:rsid w:val="5B821531"/>
    <w:rsid w:val="5BFF6039"/>
    <w:rsid w:val="5D76A616"/>
    <w:rsid w:val="5D7F20B9"/>
    <w:rsid w:val="5DAC7D0E"/>
    <w:rsid w:val="5E1B126A"/>
    <w:rsid w:val="5F0F6D38"/>
    <w:rsid w:val="5F98B5AF"/>
    <w:rsid w:val="5FFE8511"/>
    <w:rsid w:val="5FFEACE2"/>
    <w:rsid w:val="609D5BF6"/>
    <w:rsid w:val="61073070"/>
    <w:rsid w:val="61B9080E"/>
    <w:rsid w:val="61DF3FED"/>
    <w:rsid w:val="625720C0"/>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8969</Words>
  <Characters>9166</Characters>
  <Lines>58</Lines>
  <Paragraphs>16</Paragraphs>
  <TotalTime>4</TotalTime>
  <ScaleCrop>false</ScaleCrop>
  <LinksUpToDate>false</LinksUpToDate>
  <CharactersWithSpaces>9181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2025-05-08T09:53:20Z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eyJoZGlkIjoiZWVkNzFmYmU3ZmFiNTI4YTExMTUxMzU0YWNhNmVlYWQiLCJ1c2VySWQiOiIxNTU4MDYwODYxIn0=</vt:lpwstr>
  </property>
</Properties>
</file>