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732DF">
      <w:pPr>
        <w:spacing w:line="540" w:lineRule="exact"/>
        <w:jc w:val="center"/>
        <w:rPr>
          <w:rFonts w:hint="default" w:ascii="Times New Roman" w:hAnsi="Times New Roman" w:eastAsia="华文中宋" w:cs="Times New Roman"/>
          <w:b/>
          <w:color w:val="auto"/>
          <w:kern w:val="0"/>
          <w:sz w:val="52"/>
          <w:szCs w:val="52"/>
          <w:highlight w:val="none"/>
        </w:rPr>
      </w:pPr>
      <w:bookmarkStart w:id="9" w:name="_GoBack"/>
    </w:p>
    <w:p w14:paraId="30BE3914">
      <w:pPr>
        <w:spacing w:line="540" w:lineRule="exact"/>
        <w:rPr>
          <w:rFonts w:hint="default" w:ascii="Times New Roman" w:hAnsi="Times New Roman" w:eastAsia="华文中宋" w:cs="Times New Roman"/>
          <w:b/>
          <w:color w:val="auto"/>
          <w:kern w:val="0"/>
          <w:sz w:val="52"/>
          <w:szCs w:val="52"/>
          <w:highlight w:val="none"/>
        </w:rPr>
      </w:pPr>
    </w:p>
    <w:p w14:paraId="791FD8B3">
      <w:pPr>
        <w:spacing w:line="540" w:lineRule="exact"/>
        <w:jc w:val="center"/>
        <w:rPr>
          <w:rFonts w:hint="default" w:ascii="Times New Roman" w:hAnsi="Times New Roman" w:eastAsia="华文中宋" w:cs="Times New Roman"/>
          <w:b/>
          <w:color w:val="auto"/>
          <w:kern w:val="0"/>
          <w:sz w:val="52"/>
          <w:szCs w:val="52"/>
          <w:highlight w:val="none"/>
        </w:rPr>
      </w:pPr>
    </w:p>
    <w:p w14:paraId="356CABE0">
      <w:pPr>
        <w:spacing w:line="540" w:lineRule="exact"/>
        <w:jc w:val="center"/>
        <w:rPr>
          <w:rFonts w:hint="default" w:ascii="Times New Roman" w:hAnsi="Times New Roman" w:eastAsia="华文中宋" w:cs="Times New Roman"/>
          <w:b/>
          <w:color w:val="auto"/>
          <w:kern w:val="0"/>
          <w:sz w:val="52"/>
          <w:szCs w:val="52"/>
          <w:highlight w:val="none"/>
        </w:rPr>
      </w:pPr>
    </w:p>
    <w:p w14:paraId="24E5375C">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2024年基本公共卫生服务补助资金项目支出绩效评价报告</w:t>
      </w:r>
    </w:p>
    <w:p w14:paraId="3FD76AF6">
      <w:pPr>
        <w:spacing w:line="540" w:lineRule="exact"/>
        <w:jc w:val="center"/>
        <w:rPr>
          <w:rFonts w:hint="default" w:ascii="Times New Roman" w:hAnsi="Times New Roman" w:eastAsia="华文中宋" w:cs="Times New Roman"/>
          <w:b/>
          <w:color w:val="auto"/>
          <w:kern w:val="0"/>
          <w:sz w:val="52"/>
          <w:szCs w:val="52"/>
          <w:highlight w:val="none"/>
        </w:rPr>
      </w:pPr>
    </w:p>
    <w:p w14:paraId="584F11DA">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7F0F7D8E">
      <w:pPr>
        <w:spacing w:line="540" w:lineRule="exact"/>
        <w:jc w:val="center"/>
        <w:rPr>
          <w:rFonts w:hint="default" w:ascii="Times New Roman" w:hAnsi="Times New Roman" w:eastAsia="仿宋_GB2312" w:cs="Times New Roman"/>
          <w:color w:val="auto"/>
          <w:kern w:val="0"/>
          <w:sz w:val="30"/>
          <w:szCs w:val="30"/>
          <w:highlight w:val="none"/>
        </w:rPr>
      </w:pPr>
    </w:p>
    <w:p w14:paraId="7996A388">
      <w:pPr>
        <w:spacing w:line="540" w:lineRule="exact"/>
        <w:jc w:val="center"/>
        <w:rPr>
          <w:rFonts w:hint="default" w:ascii="Times New Roman" w:hAnsi="Times New Roman" w:eastAsia="仿宋_GB2312" w:cs="Times New Roman"/>
          <w:color w:val="auto"/>
          <w:kern w:val="0"/>
          <w:sz w:val="30"/>
          <w:szCs w:val="30"/>
          <w:highlight w:val="none"/>
        </w:rPr>
      </w:pPr>
    </w:p>
    <w:p w14:paraId="0345BED6">
      <w:pPr>
        <w:spacing w:line="540" w:lineRule="exact"/>
        <w:jc w:val="center"/>
        <w:rPr>
          <w:rFonts w:hint="default" w:ascii="Times New Roman" w:hAnsi="Times New Roman" w:eastAsia="仿宋_GB2312" w:cs="Times New Roman"/>
          <w:color w:val="auto"/>
          <w:kern w:val="0"/>
          <w:sz w:val="30"/>
          <w:szCs w:val="30"/>
          <w:highlight w:val="none"/>
        </w:rPr>
      </w:pPr>
    </w:p>
    <w:p w14:paraId="48B28C9C">
      <w:pPr>
        <w:pStyle w:val="10"/>
        <w:rPr>
          <w:rFonts w:hint="default" w:ascii="Times New Roman" w:hAnsi="Times New Roman" w:cs="Times New Roman"/>
          <w:color w:val="auto"/>
          <w:highlight w:val="none"/>
        </w:rPr>
      </w:pPr>
    </w:p>
    <w:p w14:paraId="3ADFDA73">
      <w:pPr>
        <w:spacing w:line="540" w:lineRule="exact"/>
        <w:jc w:val="center"/>
        <w:rPr>
          <w:rFonts w:hint="default" w:ascii="Times New Roman" w:hAnsi="Times New Roman" w:eastAsia="仿宋_GB2312" w:cs="Times New Roman"/>
          <w:color w:val="auto"/>
          <w:kern w:val="0"/>
          <w:sz w:val="30"/>
          <w:szCs w:val="30"/>
          <w:highlight w:val="none"/>
        </w:rPr>
      </w:pPr>
    </w:p>
    <w:p w14:paraId="7F881949">
      <w:pPr>
        <w:spacing w:line="540" w:lineRule="exact"/>
        <w:rPr>
          <w:rFonts w:hint="default" w:ascii="Times New Roman" w:hAnsi="Times New Roman" w:eastAsia="仿宋_GB2312" w:cs="Times New Roman"/>
          <w:color w:val="auto"/>
          <w:kern w:val="0"/>
          <w:sz w:val="30"/>
          <w:szCs w:val="30"/>
          <w:highlight w:val="none"/>
        </w:rPr>
      </w:pPr>
    </w:p>
    <w:p w14:paraId="1A9F5929">
      <w:pPr>
        <w:spacing w:line="700" w:lineRule="exact"/>
        <w:ind w:left="1436" w:leftChars="684" w:firstLine="0" w:firstLineChars="0"/>
        <w:jc w:val="left"/>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6"/>
          <w:szCs w:val="36"/>
          <w:highlight w:val="none"/>
        </w:rPr>
        <w:t>项目名称</w:t>
      </w:r>
      <w:r>
        <w:rPr>
          <w:rFonts w:hint="eastAsia" w:eastAsia="仿宋_GB2312" w:cs="Times New Roman"/>
          <w:color w:val="auto"/>
          <w:kern w:val="0"/>
          <w:sz w:val="36"/>
          <w:szCs w:val="36"/>
          <w:highlight w:val="none"/>
          <w:lang w:eastAsia="zh-CN"/>
        </w:rPr>
        <w:t>：</w:t>
      </w:r>
      <w:bookmarkStart w:id="0" w:name="OLE_LINK1"/>
      <w:r>
        <w:rPr>
          <w:rFonts w:hint="default" w:ascii="Times New Roman" w:hAnsi="Times New Roman" w:eastAsia="仿宋_GB2312" w:cs="Times New Roman"/>
          <w:color w:val="auto"/>
          <w:kern w:val="0"/>
          <w:sz w:val="32"/>
          <w:szCs w:val="32"/>
          <w:highlight w:val="none"/>
        </w:rPr>
        <w:t>2024年基本公共卫生服务补助资金</w:t>
      </w:r>
      <w:bookmarkEnd w:id="0"/>
    </w:p>
    <w:p w14:paraId="157B16B2">
      <w:pPr>
        <w:spacing w:line="700" w:lineRule="exact"/>
        <w:ind w:left="1436" w:leftChars="684" w:firstLine="0" w:firstLineChars="0"/>
        <w:jc w:val="left"/>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6"/>
          <w:szCs w:val="36"/>
          <w:highlight w:val="none"/>
        </w:rPr>
        <w:t>实施单位（公章）：</w:t>
      </w:r>
      <w:bookmarkStart w:id="1" w:name="OLE_LINK2"/>
      <w:r>
        <w:rPr>
          <w:rFonts w:hint="default" w:ascii="Times New Roman" w:hAnsi="Times New Roman" w:eastAsia="仿宋_GB2312" w:cs="Times New Roman"/>
          <w:color w:val="auto"/>
          <w:kern w:val="0"/>
          <w:sz w:val="32"/>
          <w:szCs w:val="32"/>
          <w:highlight w:val="none"/>
        </w:rPr>
        <w:t>奇台县东湾镇卫生院（奇台县东湾镇人口和计划生育生殖健康服务站）</w:t>
      </w:r>
      <w:bookmarkEnd w:id="1"/>
    </w:p>
    <w:p w14:paraId="36336823">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2"/>
          <w:szCs w:val="32"/>
          <w:highlight w:val="none"/>
          <w:lang w:val="en-US" w:eastAsia="zh-CN"/>
        </w:rPr>
        <w:t>奇台县卫生健康委员会</w:t>
      </w:r>
    </w:p>
    <w:p w14:paraId="13A012B5">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2"/>
          <w:szCs w:val="32"/>
          <w:highlight w:val="none"/>
          <w:lang w:val="en-US" w:eastAsia="zh-CN"/>
        </w:rPr>
        <w:t>闫金成</w:t>
      </w:r>
    </w:p>
    <w:p w14:paraId="713C979D">
      <w:pPr>
        <w:spacing w:line="700" w:lineRule="exact"/>
        <w:ind w:firstLine="1440" w:firstLineChars="400"/>
        <w:jc w:val="left"/>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2"/>
          <w:szCs w:val="32"/>
          <w:highlight w:val="none"/>
          <w:lang w:val="en-US" w:eastAsia="zh-CN"/>
        </w:rPr>
        <w:t>2025</w:t>
      </w:r>
      <w:r>
        <w:rPr>
          <w:rFonts w:hint="default" w:ascii="Times New Roman" w:hAnsi="Times New Roman" w:eastAsia="仿宋_GB2312" w:cs="Times New Roman"/>
          <w:color w:val="auto"/>
          <w:kern w:val="0"/>
          <w:sz w:val="32"/>
          <w:szCs w:val="32"/>
          <w:highlight w:val="none"/>
        </w:rPr>
        <w:t>年</w:t>
      </w:r>
      <w:r>
        <w:rPr>
          <w:rFonts w:hint="eastAsia" w:eastAsia="仿宋_GB2312" w:cs="Times New Roman"/>
          <w:color w:val="auto"/>
          <w:kern w:val="0"/>
          <w:sz w:val="32"/>
          <w:szCs w:val="32"/>
          <w:highlight w:val="none"/>
          <w:lang w:val="en-US" w:eastAsia="zh-CN"/>
        </w:rPr>
        <w:t>5</w:t>
      </w:r>
      <w:r>
        <w:rPr>
          <w:rFonts w:hint="default" w:ascii="Times New Roman" w:hAnsi="Times New Roman" w:eastAsia="仿宋_GB2312" w:cs="Times New Roman"/>
          <w:color w:val="auto"/>
          <w:kern w:val="0"/>
          <w:sz w:val="32"/>
          <w:szCs w:val="32"/>
          <w:highlight w:val="none"/>
        </w:rPr>
        <w:t>月</w:t>
      </w:r>
      <w:r>
        <w:rPr>
          <w:rFonts w:hint="eastAsia" w:eastAsia="仿宋_GB2312" w:cs="Times New Roman"/>
          <w:color w:val="auto"/>
          <w:kern w:val="0"/>
          <w:sz w:val="32"/>
          <w:szCs w:val="32"/>
          <w:highlight w:val="none"/>
          <w:lang w:val="en-US" w:eastAsia="zh-CN"/>
        </w:rPr>
        <w:t>6</w:t>
      </w:r>
      <w:r>
        <w:rPr>
          <w:rFonts w:hint="default" w:ascii="Times New Roman" w:hAnsi="Times New Roman" w:eastAsia="仿宋_GB2312" w:cs="Times New Roman"/>
          <w:color w:val="auto"/>
          <w:kern w:val="0"/>
          <w:sz w:val="32"/>
          <w:szCs w:val="32"/>
          <w:highlight w:val="none"/>
        </w:rPr>
        <w:t>日</w:t>
      </w:r>
    </w:p>
    <w:p w14:paraId="1F304CA9">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35E7AD32">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7DAFE674">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022E25A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w:t>
      </w:r>
    </w:p>
    <w:p w14:paraId="7088EC0D">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4A51413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项目主要内容：根据《国家基本公共卫生服务规范》和上级卫生健康部门的工作部署，我院紧紧围绕“预防为主、防治结合”的方针，全面落实基本公共卫生服务项目。202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年度，我院服务辖区常住人口，覆盖</w:t>
      </w:r>
      <w:r>
        <w:rPr>
          <w:rFonts w:hint="eastAsia" w:ascii="Times New Roman" w:hAnsi="Times New Roman" w:eastAsia="仿宋_GB2312" w:cs="Times New Roman"/>
          <w:color w:val="auto"/>
          <w:sz w:val="32"/>
          <w:szCs w:val="32"/>
          <w:highlight w:val="none"/>
          <w:lang w:val="en-US" w:eastAsia="zh-CN"/>
        </w:rPr>
        <w:t>4个村</w:t>
      </w:r>
      <w:r>
        <w:rPr>
          <w:rFonts w:hint="default" w:ascii="Times New Roman" w:hAnsi="Times New Roman" w:eastAsia="仿宋_GB2312" w:cs="Times New Roman"/>
          <w:color w:val="auto"/>
          <w:sz w:val="32"/>
          <w:szCs w:val="32"/>
          <w:highlight w:val="none"/>
          <w:lang w:val="en-US" w:eastAsia="zh-CN"/>
        </w:rPr>
        <w:t>，服务对象包括老年人、孕产妇、儿童、慢性病患者等重点人群。本年度共收到基本公共卫生服务补助资金</w:t>
      </w:r>
      <w:r>
        <w:rPr>
          <w:rFonts w:hint="eastAsia" w:ascii="Times New Roman" w:hAnsi="Times New Roman" w:eastAsia="仿宋_GB2312" w:cs="Times New Roman"/>
          <w:color w:val="auto"/>
          <w:sz w:val="32"/>
          <w:szCs w:val="32"/>
          <w:highlight w:val="none"/>
          <w:lang w:val="en-US" w:eastAsia="zh-CN"/>
        </w:rPr>
        <w:t>80.77</w:t>
      </w:r>
      <w:r>
        <w:rPr>
          <w:rFonts w:hint="default" w:ascii="Times New Roman" w:hAnsi="Times New Roman" w:eastAsia="仿宋_GB2312" w:cs="Times New Roman"/>
          <w:color w:val="auto"/>
          <w:sz w:val="32"/>
          <w:szCs w:val="32"/>
          <w:highlight w:val="none"/>
          <w:lang w:val="en-US" w:eastAsia="zh-CN"/>
        </w:rPr>
        <w:t>万元，资金使用率为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%，群众满意度达9</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w:t>
      </w:r>
    </w:p>
    <w:p w14:paraId="67988166">
      <w:pPr>
        <w:spacing w:line="560" w:lineRule="exact"/>
        <w:ind w:firstLine="640" w:firstLineChars="200"/>
        <w:rPr>
          <w:rFonts w:hint="default" w:ascii="Times New Roman" w:hAnsi="Times New Roman" w:eastAsia="仿宋_GB2312" w:cs="Times New Roman"/>
          <w:b w:val="0"/>
          <w:bCs w:val="0"/>
          <w:color w:val="auto"/>
          <w:kern w:val="2"/>
          <w:sz w:val="30"/>
          <w:szCs w:val="30"/>
          <w:highlight w:val="none"/>
          <w:lang w:val="en-US" w:eastAsia="zh-CN" w:bidi="ar-SA"/>
        </w:rPr>
      </w:pPr>
      <w:r>
        <w:rPr>
          <w:rFonts w:hint="default" w:ascii="Times New Roman" w:hAnsi="Times New Roman" w:eastAsia="仿宋_GB2312" w:cs="Times New Roman"/>
          <w:color w:val="auto"/>
          <w:sz w:val="32"/>
          <w:szCs w:val="32"/>
          <w:highlight w:val="none"/>
        </w:rPr>
        <w:t>项目实施情况：</w:t>
      </w:r>
      <w:bookmarkStart w:id="2" w:name="OLE_LINK3"/>
      <w:r>
        <w:rPr>
          <w:rFonts w:hint="eastAsia" w:ascii="Times New Roman" w:hAnsi="Times New Roman" w:eastAsia="仿宋_GB2312" w:cs="Times New Roman"/>
          <w:b w:val="0"/>
          <w:bCs w:val="0"/>
          <w:color w:val="auto"/>
          <w:kern w:val="2"/>
          <w:sz w:val="30"/>
          <w:szCs w:val="30"/>
          <w:highlight w:val="none"/>
          <w:lang w:val="en-US" w:eastAsia="zh-CN" w:bidi="ar-SA"/>
        </w:rPr>
        <w:t>我院居民电子健康档案建档人数初预算服务人数为5488人，年末实际管理人数为5285人，使用率为83.67%；高血压患者年初预算管理人数为628人，年末实际管理人数为634人，管理率92.11%；2型糖尿病患者年初预算管理人数为230人，年末实际管理人数为226人，管理率92.92%；老年人中医药健康管理人</w:t>
      </w:r>
      <w:r>
        <w:rPr>
          <w:rFonts w:hint="eastAsia" w:ascii="Times New Roman" w:hAnsi="Times New Roman" w:eastAsia="仿宋_GB2312" w:cs="Times New Roman"/>
          <w:b w:val="0"/>
          <w:bCs w:val="0"/>
          <w:color w:val="auto"/>
          <w:kern w:val="2"/>
          <w:sz w:val="28"/>
          <w:szCs w:val="28"/>
          <w:highlight w:val="none"/>
          <w:lang w:val="en-US" w:eastAsia="zh-CN" w:bidi="ar-SA"/>
        </w:rPr>
        <w:t>数年初预算管理人数为1084人，年末实际管理人数为896人，管理</w:t>
      </w:r>
      <w:r>
        <w:rPr>
          <w:rFonts w:hint="eastAsia" w:ascii="Times New Roman" w:hAnsi="Times New Roman" w:eastAsia="仿宋_GB2312" w:cs="Times New Roman"/>
          <w:b w:val="0"/>
          <w:bCs w:val="0"/>
          <w:color w:val="auto"/>
          <w:kern w:val="2"/>
          <w:sz w:val="30"/>
          <w:szCs w:val="30"/>
          <w:highlight w:val="none"/>
          <w:lang w:val="en-US" w:eastAsia="zh-CN" w:bidi="ar-SA"/>
        </w:rPr>
        <w:t>率89.78%；7岁以下儿童健康管理人数年初预算管理人数为60人，年末实际管理人数为60人，管理率93.75%；</w:t>
      </w:r>
      <w:r>
        <w:rPr>
          <w:rFonts w:hint="eastAsia" w:ascii="Times New Roman" w:hAnsi="Times New Roman" w:eastAsia="仿宋_GB2312" w:cs="Times New Roman"/>
          <w:b w:val="0"/>
          <w:bCs w:val="0"/>
          <w:color w:val="auto"/>
          <w:kern w:val="2"/>
          <w:sz w:val="30"/>
          <w:szCs w:val="30"/>
          <w:highlight w:val="none"/>
          <w:lang w:val="en-US" w:eastAsia="zh-CN" w:bidi="ar-SA"/>
        </w:rPr>
        <w:tab/>
      </w:r>
      <w:r>
        <w:rPr>
          <w:rFonts w:hint="eastAsia" w:ascii="Times New Roman" w:hAnsi="Times New Roman" w:eastAsia="仿宋_GB2312" w:cs="Times New Roman"/>
          <w:b w:val="0"/>
          <w:bCs w:val="0"/>
          <w:color w:val="auto"/>
          <w:kern w:val="2"/>
          <w:sz w:val="30"/>
          <w:szCs w:val="30"/>
          <w:highlight w:val="none"/>
          <w:lang w:val="en-US" w:eastAsia="zh-CN" w:bidi="ar-SA"/>
        </w:rPr>
        <w:t>孕产妇年初预算管理人数为2人，年末实际管理人数为4人，管理率66.67%。有效提升基本公共卫生服务能力，促进了我院公共卫生事业发展。</w:t>
      </w:r>
    </w:p>
    <w:bookmarkEnd w:id="2"/>
    <w:p w14:paraId="16E51B6B">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69C3C65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3781904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55.57</w:t>
      </w:r>
      <w:r>
        <w:rPr>
          <w:rFonts w:hint="default" w:ascii="Times New Roman" w:hAnsi="Times New Roman" w:eastAsia="仿宋_GB2312" w:cs="Times New Roman"/>
          <w:color w:val="auto"/>
          <w:sz w:val="32"/>
          <w:szCs w:val="32"/>
          <w:highlight w:val="none"/>
          <w:lang w:val="en-US" w:eastAsia="zh-CN"/>
        </w:rPr>
        <w:t>万元，</w:t>
      </w:r>
      <w:bookmarkStart w:id="3" w:name="OLE_LINK5"/>
      <w:r>
        <w:rPr>
          <w:rFonts w:hint="eastAsia" w:ascii="Times New Roman" w:hAnsi="Times New Roman" w:eastAsia="仿宋_GB2312" w:cs="Times New Roman"/>
          <w:color w:val="auto"/>
          <w:sz w:val="32"/>
          <w:szCs w:val="32"/>
          <w:highlight w:val="none"/>
          <w:lang w:val="en-US" w:eastAsia="zh-CN"/>
        </w:rPr>
        <w:t>补充资金25.2万元</w:t>
      </w:r>
      <w:r>
        <w:rPr>
          <w:rFonts w:hint="eastAsia" w:eastAsia="仿宋_GB2312" w:cs="Times New Roman"/>
          <w:color w:val="auto"/>
          <w:sz w:val="32"/>
          <w:szCs w:val="32"/>
          <w:highlight w:val="none"/>
          <w:lang w:val="en-US" w:eastAsia="zh-CN"/>
        </w:rPr>
        <w:t>，</w:t>
      </w:r>
      <w:bookmarkEnd w:id="3"/>
      <w:r>
        <w:rPr>
          <w:rFonts w:hint="default" w:ascii="Times New Roman" w:hAnsi="Times New Roman" w:eastAsia="仿宋_GB2312" w:cs="Times New Roman"/>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en-US" w:eastAsia="zh-CN"/>
        </w:rPr>
        <w:t>80.77</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22E0CE2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2D44D12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55.57</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补充资金25.2万元</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80.77</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80.77</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主要用于：</w:t>
      </w:r>
    </w:p>
    <w:p w14:paraId="2C7AF8C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 村级卫生室公共卫生补助资金：19.96万元</w:t>
      </w:r>
    </w:p>
    <w:p w14:paraId="7C30D5AE">
      <w:pPr>
        <w:shd w:val="clear"/>
        <w:spacing w:line="600" w:lineRule="exact"/>
        <w:ind w:firstLine="1280" w:firstLineChars="4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 xml:space="preserve">- </w:t>
      </w:r>
      <w:r>
        <w:rPr>
          <w:rFonts w:hint="eastAsia" w:eastAsia="仿宋_GB2312" w:cs="Times New Roman"/>
          <w:color w:val="auto"/>
          <w:sz w:val="32"/>
          <w:szCs w:val="32"/>
          <w:highlight w:val="none"/>
          <w:lang w:val="en-US" w:eastAsia="zh-CN"/>
        </w:rPr>
        <w:t>公共卫生</w:t>
      </w:r>
      <w:r>
        <w:rPr>
          <w:rFonts w:hint="default" w:ascii="Times New Roman" w:hAnsi="Times New Roman" w:eastAsia="仿宋_GB2312" w:cs="Times New Roman"/>
          <w:color w:val="auto"/>
          <w:sz w:val="32"/>
          <w:szCs w:val="32"/>
          <w:highlight w:val="none"/>
          <w:lang w:val="en-US" w:eastAsia="zh-CN"/>
        </w:rPr>
        <w:t>健康信息化系统维护</w:t>
      </w:r>
      <w:r>
        <w:rPr>
          <w:rFonts w:hint="eastAsia" w:eastAsia="仿宋_GB2312" w:cs="Times New Roman"/>
          <w:color w:val="auto"/>
          <w:sz w:val="32"/>
          <w:szCs w:val="32"/>
          <w:highlight w:val="none"/>
          <w:lang w:val="en-US" w:eastAsia="zh-CN"/>
        </w:rPr>
        <w:t>及办公耗材：8.9万元</w:t>
      </w:r>
    </w:p>
    <w:p w14:paraId="7F1E519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 xml:space="preserve">    - 健康宣教资料印刷及活动开展：</w:t>
      </w:r>
      <w:r>
        <w:rPr>
          <w:rFonts w:hint="eastAsia" w:eastAsia="仿宋_GB2312" w:cs="Times New Roman"/>
          <w:color w:val="auto"/>
          <w:sz w:val="32"/>
          <w:szCs w:val="32"/>
          <w:highlight w:val="none"/>
          <w:lang w:val="en-US" w:eastAsia="zh-CN"/>
        </w:rPr>
        <w:t>5.23</w:t>
      </w:r>
      <w:r>
        <w:rPr>
          <w:rFonts w:hint="default" w:ascii="Times New Roman" w:hAnsi="Times New Roman" w:eastAsia="仿宋_GB2312" w:cs="Times New Roman"/>
          <w:color w:val="auto"/>
          <w:sz w:val="32"/>
          <w:szCs w:val="32"/>
          <w:highlight w:val="none"/>
          <w:lang w:val="en-US" w:eastAsia="zh-CN"/>
        </w:rPr>
        <w:t xml:space="preserve">万元 </w:t>
      </w:r>
    </w:p>
    <w:p w14:paraId="48AACC9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 基本公共卫生耗材款：9.4万元</w:t>
      </w:r>
    </w:p>
    <w:p w14:paraId="3B8D9C3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 xml:space="preserve">    - 慢性病患者随访交通及</w:t>
      </w:r>
      <w:r>
        <w:rPr>
          <w:rFonts w:hint="eastAsia" w:eastAsia="仿宋_GB2312" w:cs="Times New Roman"/>
          <w:color w:val="auto"/>
          <w:sz w:val="32"/>
          <w:szCs w:val="32"/>
          <w:highlight w:val="none"/>
          <w:lang w:val="en-US" w:eastAsia="zh-CN"/>
        </w:rPr>
        <w:t>运行费</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等</w:t>
      </w:r>
    </w:p>
    <w:p w14:paraId="67F181FD">
      <w:pPr>
        <w:shd w:val="clear"/>
        <w:spacing w:line="600" w:lineRule="exact"/>
        <w:outlineLvl w:val="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25E63773">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72FFEC21">
      <w:pPr>
        <w:spacing w:line="560" w:lineRule="exact"/>
        <w:ind w:firstLine="60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0"/>
          <w:szCs w:val="30"/>
          <w:highlight w:val="none"/>
          <w:lang w:val="en-US" w:eastAsia="zh-CN"/>
        </w:rPr>
        <w:t>为辖区内居民和企业，事业单位提供全民体健，居民健康档案，健康教育，预防接种，0-6岁儿童健康管理，孕产妇健康管理，老年人健康管理，慢性病患者健康管理，严重精神障碍患者健康管理，传染病及突发公共卫生事件报告与处理，肺结核患者健康管理，卫生计生监督协管。</w:t>
      </w:r>
    </w:p>
    <w:p w14:paraId="240C7221">
      <w:pPr>
        <w:numPr>
          <w:ilvl w:val="0"/>
          <w:numId w:val="1"/>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阶段性目标</w:t>
      </w:r>
    </w:p>
    <w:p w14:paraId="2F9B54C1">
      <w:pPr>
        <w:numPr>
          <w:ilvl w:val="0"/>
          <w:numId w:val="0"/>
        </w:numPr>
        <w:spacing w:line="560" w:lineRule="exact"/>
        <w:ind w:firstLine="960" w:firstLineChars="300"/>
        <w:rPr>
          <w:rFonts w:hint="default" w:ascii="Times New Roman" w:hAnsi="Times New Roman" w:eastAsia="黑体" w:cs="Times New Roman"/>
          <w:b w:val="0"/>
          <w:bCs/>
          <w:color w:val="auto"/>
          <w:highlight w:val="none"/>
          <w:lang w:eastAsia="zh-CN"/>
        </w:rPr>
      </w:pPr>
      <w:r>
        <w:rPr>
          <w:rFonts w:hint="eastAsia" w:ascii="仿宋_GB2312" w:hAnsi="仿宋_GB2312" w:eastAsia="仿宋_GB2312" w:cs="仿宋_GB2312"/>
          <w:color w:val="auto"/>
          <w:sz w:val="32"/>
          <w:szCs w:val="32"/>
          <w:highlight w:val="none"/>
          <w:lang w:val="en-US" w:eastAsia="zh-CN"/>
        </w:rPr>
        <w:t>第一阶段：依据历年公共卫生相关数据，设立年初预算数据，确保项目有序进行。第二阶段：严格把关检查各季度公卫相关工作完成情况，依据完成情况汇总成册，依据完成情况按月按季度支付相关费用。</w:t>
      </w:r>
    </w:p>
    <w:p w14:paraId="092994AE">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0ECBF9F1">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6CFA4AB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3B0513E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w:t>
      </w:r>
    </w:p>
    <w:p w14:paraId="5083978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color w:val="auto"/>
          <w:sz w:val="32"/>
          <w:szCs w:val="32"/>
          <w:highlight w:val="none"/>
          <w:lang w:val="en-US" w:eastAsia="zh-CN"/>
        </w:rPr>
        <w:t>满意度指标</w:t>
      </w:r>
      <w:r>
        <w:rPr>
          <w:rFonts w:hint="default" w:ascii="Times New Roman" w:hAnsi="Times New Roman" w:eastAsia="仿宋_GB2312" w:cs="Times New Roman"/>
          <w:color w:val="auto"/>
          <w:sz w:val="32"/>
          <w:szCs w:val="32"/>
          <w:highlight w:val="none"/>
          <w:lang w:val="en-US" w:eastAsia="zh-CN"/>
        </w:rPr>
        <w:t>等多个维度，力求全方位反映项目的绩效状况。同时，对于每个指标的评价标准和数据来源均进行了明确说明，确保评价结果的客观性和可追溯性。</w:t>
      </w:r>
    </w:p>
    <w:p w14:paraId="464B6EA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在未来的工作中，我们将继续完善绩效评价体系，不断提升评价工作的质量和水平，以更好地服务于项目的管理和优化。</w:t>
      </w:r>
      <w:bookmarkStart w:id="4" w:name="OLE_LINK4"/>
    </w:p>
    <w:bookmarkEnd w:id="4"/>
    <w:p w14:paraId="3E34FBE2">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2.</w:t>
      </w:r>
      <w:r>
        <w:rPr>
          <w:rFonts w:hint="default" w:ascii="Times New Roman" w:hAnsi="Times New Roman" w:eastAsia="仿宋_GB2312" w:cs="Times New Roman"/>
          <w:b/>
          <w:bCs/>
          <w:color w:val="auto"/>
          <w:sz w:val="32"/>
          <w:szCs w:val="32"/>
          <w:highlight w:val="none"/>
        </w:rPr>
        <w:t>绩效评价的目的</w:t>
      </w:r>
    </w:p>
    <w:p w14:paraId="0B5EC4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评估政策成效：通过对项目预算执行情况及各项绩效目标达成程度的分析，全面、客观地评估项目在预定周期内的实施效果，包括经济效益、社会效益、</w:t>
      </w:r>
      <w:r>
        <w:rPr>
          <w:rFonts w:hint="eastAsia"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rPr>
        <w:t>等多维度指标，为项目后续的改进与优化提供科学依据。</w:t>
      </w:r>
    </w:p>
    <w:p w14:paraId="0F18D1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）强化项目管理责任</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A3149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A3A5C45">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rPr>
        <w:t>绩效评价的对象</w:t>
      </w:r>
    </w:p>
    <w:p w14:paraId="6D932AA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仿宋" w:hAnsi="仿宋" w:eastAsia="仿宋" w:cs="仿宋"/>
          <w:color w:val="auto"/>
          <w:sz w:val="32"/>
          <w:szCs w:val="32"/>
          <w:highlight w:val="none"/>
        </w:rPr>
        <w:t>本项目预算绩效评价报告的评价对象是</w:t>
      </w:r>
      <w:r>
        <w:rPr>
          <w:rFonts w:hint="eastAsia" w:ascii="仿宋" w:hAnsi="仿宋" w:eastAsia="仿宋" w:cs="仿宋"/>
          <w:color w:val="auto"/>
          <w:kern w:val="0"/>
          <w:sz w:val="32"/>
          <w:szCs w:val="32"/>
          <w:highlight w:val="none"/>
        </w:rPr>
        <w:t>2024年基本公共卫生服务补助</w:t>
      </w:r>
      <w:r>
        <w:rPr>
          <w:rFonts w:hint="default" w:ascii="Times New Roman" w:hAnsi="Times New Roman" w:eastAsia="仿宋_GB2312" w:cs="Times New Roman"/>
          <w:color w:val="auto"/>
          <w:sz w:val="32"/>
          <w:szCs w:val="32"/>
          <w:highlight w:val="none"/>
        </w:rPr>
        <w:t>预算的投资及其预算执行情况。该项目由</w:t>
      </w:r>
      <w:r>
        <w:rPr>
          <w:rFonts w:hint="default" w:ascii="Times New Roman" w:hAnsi="Times New Roman" w:eastAsia="仿宋_GB2312" w:cs="Times New Roman"/>
          <w:color w:val="auto"/>
          <w:sz w:val="32"/>
          <w:szCs w:val="32"/>
          <w:highlight w:val="none"/>
          <w:lang w:val="en-US" w:eastAsia="zh-CN"/>
        </w:rPr>
        <w:t>奇台县</w:t>
      </w:r>
      <w:r>
        <w:rPr>
          <w:rFonts w:hint="eastAsia" w:eastAsia="仿宋_GB2312" w:cs="Times New Roman"/>
          <w:color w:val="auto"/>
          <w:sz w:val="32"/>
          <w:szCs w:val="32"/>
          <w:highlight w:val="none"/>
          <w:lang w:val="en-US" w:eastAsia="zh-CN"/>
        </w:rPr>
        <w:t>古城乡卫生院</w:t>
      </w:r>
      <w:r>
        <w:rPr>
          <w:rFonts w:hint="default" w:ascii="Times New Roman" w:hAnsi="Times New Roman" w:eastAsia="仿宋_GB2312" w:cs="Times New Roman"/>
          <w:color w:val="auto"/>
          <w:sz w:val="32"/>
          <w:szCs w:val="32"/>
          <w:highlight w:val="none"/>
        </w:rPr>
        <w:t>负责实施，旨在</w:t>
      </w:r>
      <w:r>
        <w:rPr>
          <w:rFonts w:hint="default" w:ascii="Times New Roman" w:hAnsi="Times New Roman" w:eastAsia="仿宋_GB2312" w:cs="Times New Roman"/>
          <w:color w:val="auto"/>
          <w:sz w:val="32"/>
          <w:szCs w:val="32"/>
          <w:highlight w:val="none"/>
          <w:lang w:val="en-US" w:eastAsia="zh-CN"/>
        </w:rPr>
        <w:t>2024年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项目预算涵盖从2024年1月1日至2024年12月31日的全部资金</w:t>
      </w:r>
      <w:r>
        <w:rPr>
          <w:rFonts w:hint="default" w:ascii="Times New Roman" w:hAnsi="Times New Roman" w:eastAsia="仿宋_GB2312" w:cs="Times New Roman"/>
          <w:color w:val="auto"/>
          <w:sz w:val="32"/>
          <w:szCs w:val="32"/>
          <w:highlight w:val="none"/>
        </w:rPr>
        <w:t>投入与支出，涉及资金总额</w:t>
      </w:r>
      <w:r>
        <w:rPr>
          <w:rFonts w:hint="default" w:ascii="Times New Roman" w:hAnsi="Times New Roman" w:eastAsia="仿宋_GB2312" w:cs="Times New Roman"/>
          <w:color w:val="auto"/>
          <w:sz w:val="32"/>
          <w:szCs w:val="32"/>
          <w:highlight w:val="none"/>
          <w:lang w:val="en-US" w:eastAsia="zh-CN"/>
        </w:rPr>
        <w:t>为</w:t>
      </w:r>
      <w:r>
        <w:rPr>
          <w:rFonts w:hint="eastAsia" w:eastAsia="仿宋_GB2312" w:cs="Times New Roman"/>
          <w:color w:val="auto"/>
          <w:sz w:val="32"/>
          <w:szCs w:val="32"/>
          <w:highlight w:val="none"/>
          <w:lang w:val="en-US" w:eastAsia="zh-CN"/>
        </w:rPr>
        <w:t>80.77</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rPr>
        <w:t>。</w:t>
      </w:r>
    </w:p>
    <w:p w14:paraId="596C52D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4.</w:t>
      </w:r>
      <w:r>
        <w:rPr>
          <w:rFonts w:hint="default" w:ascii="Times New Roman" w:hAnsi="Times New Roman" w:eastAsia="仿宋_GB2312" w:cs="Times New Roman"/>
          <w:b/>
          <w:bCs/>
          <w:color w:val="auto"/>
          <w:sz w:val="32"/>
          <w:szCs w:val="32"/>
          <w:highlight w:val="none"/>
        </w:rPr>
        <w:t>绩效评价的范围</w:t>
      </w:r>
    </w:p>
    <w:p w14:paraId="42F3DA1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14:paraId="14420B08">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2DD4DA3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7862FD2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0E56AC84">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7C132ABE">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1D11E863">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0BDB8B80">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7DA7A13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6618E4A2">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1A5A92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29B4491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D71497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5D9A5BC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确定各个指标相对于项目总体绩效的权重分值。在绩效评价指标体系中，</w:t>
      </w:r>
      <w:r>
        <w:rPr>
          <w:rFonts w:hint="default" w:ascii="Times New Roman" w:hAnsi="Times New Roman" w:eastAsia="仿宋_GB2312" w:cs="Times New Roman"/>
          <w:color w:val="auto"/>
          <w:sz w:val="32"/>
          <w:szCs w:val="32"/>
          <w:highlight w:val="none"/>
          <w:lang w:val="en-US" w:eastAsia="zh-CN"/>
        </w:rPr>
        <w:t>项目决策权重20分，项目过程</w:t>
      </w:r>
      <w:r>
        <w:rPr>
          <w:rFonts w:hint="default" w:ascii="Times New Roman" w:hAnsi="Times New Roman" w:eastAsia="仿宋_GB2312" w:cs="Times New Roman"/>
          <w:color w:val="auto"/>
          <w:sz w:val="32"/>
          <w:szCs w:val="32"/>
          <w:highlight w:val="none"/>
        </w:rPr>
        <w:t>权重为</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分，</w:t>
      </w:r>
      <w:r>
        <w:rPr>
          <w:rFonts w:hint="default" w:ascii="Times New Roman" w:hAnsi="Times New Roman" w:eastAsia="仿宋_GB2312" w:cs="Times New Roman"/>
          <w:color w:val="auto"/>
          <w:sz w:val="32"/>
          <w:szCs w:val="32"/>
          <w:highlight w:val="none"/>
          <w:lang w:val="en-US" w:eastAsia="zh-CN"/>
        </w:rPr>
        <w:t>项目产出权重为40分，</w:t>
      </w:r>
      <w:r>
        <w:rPr>
          <w:rFonts w:hint="default" w:ascii="Times New Roman" w:hAnsi="Times New Roman" w:eastAsia="仿宋_GB2312" w:cs="Times New Roman"/>
          <w:color w:val="auto"/>
          <w:sz w:val="32"/>
          <w:szCs w:val="32"/>
          <w:highlight w:val="none"/>
        </w:rPr>
        <w:t>项目效益权重为</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分。</w:t>
      </w:r>
    </w:p>
    <w:p w14:paraId="214787F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6E08075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3FA8C62C">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54D7BD9D">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2E6B594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2EB447A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400999B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15C92E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114ADDCF">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14:paraId="26E786D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eastAsia="zh-CN"/>
        </w:rPr>
        <w:t>三</w:t>
      </w:r>
      <w:r>
        <w:rPr>
          <w:rFonts w:hint="default" w:ascii="Times New Roman" w:hAnsi="Times New Roman" w:eastAsia="仿宋_GB2312" w:cs="Times New Roman"/>
          <w:color w:val="auto"/>
          <w:spacing w:val="17"/>
          <w:sz w:val="32"/>
          <w:szCs w:val="32"/>
          <w:highlight w:val="none"/>
        </w:rPr>
        <w:t>）其他评价方法。</w:t>
      </w:r>
    </w:p>
    <w:p w14:paraId="0AA5296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09BA82C7">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spacing w:val="17"/>
          <w:kern w:val="2"/>
          <w:sz w:val="32"/>
          <w:szCs w:val="32"/>
          <w:highlight w:val="none"/>
          <w:lang w:val="en-US" w:eastAsia="zh-CN" w:bidi="ar-SA"/>
        </w:rPr>
        <w:t>绩效评价标准通常包括计划标准、行业标准、历史标准等，用于对绩效指标完成情况进行比较、分析、评价。本次评价主要采用了计划标准</w:t>
      </w:r>
    </w:p>
    <w:p w14:paraId="462A9609">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5463E38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1.前期准备阶段</w:t>
      </w:r>
    </w:p>
    <w:p w14:paraId="4FC3D1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w:t>
      </w:r>
      <w:r>
        <w:rPr>
          <w:rFonts w:hint="eastAsia" w:eastAsia="仿宋_GB2312" w:cs="Times New Roman"/>
          <w:color w:val="auto"/>
          <w:sz w:val="32"/>
          <w:szCs w:val="32"/>
          <w:highlight w:val="none"/>
          <w:lang w:val="en-US" w:eastAsia="zh-CN"/>
        </w:rPr>
        <w:t>院</w:t>
      </w:r>
      <w:r>
        <w:rPr>
          <w:rFonts w:hint="eastAsia" w:eastAsia="仿宋_GB2312" w:cs="Times New Roman"/>
          <w:color w:val="auto"/>
          <w:sz w:val="32"/>
          <w:szCs w:val="32"/>
          <w:highlight w:val="none"/>
          <w:lang w:eastAsia="zh-CN"/>
        </w:rPr>
        <w:t>长</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各科室</w:t>
      </w:r>
      <w:r>
        <w:rPr>
          <w:rFonts w:hint="eastAsia" w:eastAsia="仿宋_GB2312" w:cs="Times New Roman"/>
          <w:color w:val="auto"/>
          <w:sz w:val="32"/>
          <w:szCs w:val="32"/>
          <w:highlight w:val="none"/>
          <w:lang w:eastAsia="zh-CN"/>
        </w:rPr>
        <w:t>主任</w:t>
      </w:r>
      <w:r>
        <w:rPr>
          <w:rFonts w:hint="default" w:ascii="Times New Roman" w:hAnsi="Times New Roman" w:eastAsia="仿宋_GB2312" w:cs="Times New Roman"/>
          <w:color w:val="auto"/>
          <w:sz w:val="32"/>
          <w:szCs w:val="32"/>
          <w:highlight w:val="none"/>
        </w:rPr>
        <w:t>组成，确保从多角度、全方位对项目绩效进行评价。同时，明确了评价工作的目标、范围、重点及时间安排，制定了详细的工作计划，为评价工作的顺利开展奠定了坚实基础。</w:t>
      </w:r>
    </w:p>
    <w:p w14:paraId="1C77F0E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r>
        <w:rPr>
          <w:rFonts w:hint="eastAsia" w:eastAsia="仿宋_GB2312" w:cs="Times New Roman"/>
          <w:b/>
          <w:bCs/>
          <w:color w:val="auto"/>
          <w:sz w:val="32"/>
          <w:szCs w:val="32"/>
          <w:highlight w:val="none"/>
          <w:lang w:val="en-US" w:eastAsia="zh-CN"/>
        </w:rPr>
        <w:t>2.</w:t>
      </w:r>
      <w:r>
        <w:rPr>
          <w:rFonts w:hint="default" w:ascii="Times New Roman" w:hAnsi="Times New Roman" w:eastAsia="仿宋_GB2312" w:cs="Times New Roman"/>
          <w:b/>
          <w:bCs/>
          <w:color w:val="auto"/>
          <w:sz w:val="32"/>
          <w:szCs w:val="32"/>
          <w:highlight w:val="none"/>
          <w:lang w:eastAsia="zh-CN"/>
        </w:rPr>
        <w:t>指标体系构建</w:t>
      </w:r>
    </w:p>
    <w:p w14:paraId="58AB57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3494479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r>
        <w:rPr>
          <w:rFonts w:hint="eastAsia" w:eastAsia="仿宋_GB2312" w:cs="Times New Roman"/>
          <w:b/>
          <w:bCs/>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lang w:eastAsia="zh-CN"/>
        </w:rPr>
        <w:t>数据收集与整理</w:t>
      </w:r>
    </w:p>
    <w:p w14:paraId="4E8682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w:t>
      </w:r>
      <w:r>
        <w:rPr>
          <w:rFonts w:hint="eastAsia" w:eastAsia="仿宋_GB2312" w:cs="Times New Roman"/>
          <w:color w:val="auto"/>
          <w:sz w:val="32"/>
          <w:szCs w:val="32"/>
          <w:highlight w:val="none"/>
          <w:lang w:eastAsia="zh-CN"/>
        </w:rPr>
        <w:t>各类支出票据</w:t>
      </w:r>
      <w:r>
        <w:rPr>
          <w:rFonts w:hint="default" w:ascii="Times New Roman" w:hAnsi="Times New Roman" w:eastAsia="仿宋_GB2312" w:cs="Times New Roman"/>
          <w:color w:val="auto"/>
          <w:sz w:val="32"/>
          <w:szCs w:val="32"/>
          <w:highlight w:val="none"/>
          <w:lang w:eastAsia="zh-CN"/>
        </w:rPr>
        <w:t>等。在数据收集过程中，注重数据的质量与完整性，为后续的数据分析提供了有力支持。</w:t>
      </w:r>
    </w:p>
    <w:p w14:paraId="2B87C2A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r>
        <w:rPr>
          <w:rFonts w:hint="eastAsia" w:eastAsia="仿宋_GB2312" w:cs="Times New Roman"/>
          <w:b/>
          <w:bCs/>
          <w:color w:val="auto"/>
          <w:sz w:val="32"/>
          <w:szCs w:val="32"/>
          <w:highlight w:val="none"/>
          <w:lang w:val="en-US" w:eastAsia="zh-CN"/>
        </w:rPr>
        <w:t>4.</w:t>
      </w:r>
      <w:r>
        <w:rPr>
          <w:rFonts w:hint="default" w:ascii="Times New Roman" w:hAnsi="Times New Roman" w:eastAsia="仿宋_GB2312" w:cs="Times New Roman"/>
          <w:b/>
          <w:bCs/>
          <w:color w:val="auto"/>
          <w:sz w:val="32"/>
          <w:szCs w:val="32"/>
          <w:highlight w:val="none"/>
          <w:lang w:eastAsia="zh-CN"/>
        </w:rPr>
        <w:t>数据分析与评估</w:t>
      </w:r>
    </w:p>
    <w:p w14:paraId="1E81DC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识别出项目实施过程中的优势与不足，为提出有针对性的改进建议提供了依据。</w:t>
      </w:r>
    </w:p>
    <w:p w14:paraId="3621A9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r>
        <w:rPr>
          <w:rFonts w:hint="eastAsia" w:eastAsia="仿宋_GB2312" w:cs="Times New Roman"/>
          <w:b/>
          <w:bCs/>
          <w:color w:val="auto"/>
          <w:sz w:val="32"/>
          <w:szCs w:val="32"/>
          <w:highlight w:val="none"/>
          <w:lang w:val="en-US" w:eastAsia="zh-CN"/>
        </w:rPr>
        <w:t>5.</w:t>
      </w:r>
      <w:r>
        <w:rPr>
          <w:rFonts w:hint="default" w:ascii="Times New Roman" w:hAnsi="Times New Roman" w:eastAsia="仿宋_GB2312" w:cs="Times New Roman"/>
          <w:b/>
          <w:bCs/>
          <w:color w:val="auto"/>
          <w:sz w:val="32"/>
          <w:szCs w:val="32"/>
          <w:highlight w:val="none"/>
          <w:lang w:eastAsia="zh-CN"/>
        </w:rPr>
        <w:t>报告撰写与反馈</w:t>
      </w:r>
    </w:p>
    <w:p w14:paraId="76F993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B347B8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r>
        <w:rPr>
          <w:rFonts w:hint="eastAsia" w:eastAsia="仿宋_GB2312" w:cs="Times New Roman"/>
          <w:b/>
          <w:bCs/>
          <w:color w:val="auto"/>
          <w:sz w:val="32"/>
          <w:szCs w:val="32"/>
          <w:highlight w:val="none"/>
          <w:lang w:val="en-US" w:eastAsia="zh-CN"/>
        </w:rPr>
        <w:t>6.</w:t>
      </w:r>
      <w:r>
        <w:rPr>
          <w:rFonts w:hint="default" w:ascii="Times New Roman" w:hAnsi="Times New Roman" w:eastAsia="仿宋_GB2312" w:cs="Times New Roman"/>
          <w:b/>
          <w:bCs/>
          <w:color w:val="auto"/>
          <w:sz w:val="32"/>
          <w:szCs w:val="32"/>
          <w:highlight w:val="none"/>
          <w:lang w:eastAsia="zh-CN"/>
        </w:rPr>
        <w:t>后续跟踪与改进</w:t>
      </w:r>
    </w:p>
    <w:p w14:paraId="4DA410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3BCDE8E">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1E7956E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lang w:eastAsia="zh-CN"/>
        </w:rPr>
        <w:t>（</w:t>
      </w:r>
      <w:r>
        <w:rPr>
          <w:rFonts w:hint="eastAsia" w:ascii="楷体" w:hAnsi="楷体" w:eastAsia="楷体" w:cs="楷体"/>
          <w:b/>
          <w:bCs/>
          <w:color w:val="auto"/>
          <w:sz w:val="32"/>
          <w:szCs w:val="32"/>
          <w:highlight w:val="none"/>
          <w:lang w:val="en-US" w:eastAsia="zh-CN"/>
        </w:rPr>
        <w:t>一</w:t>
      </w:r>
      <w:r>
        <w:rPr>
          <w:rFonts w:hint="eastAsia" w:ascii="楷体" w:hAnsi="楷体" w:eastAsia="楷体" w:cs="楷体"/>
          <w:b/>
          <w:bCs/>
          <w:color w:val="auto"/>
          <w:sz w:val="32"/>
          <w:szCs w:val="32"/>
          <w:highlight w:val="none"/>
          <w:lang w:eastAsia="zh-CN"/>
        </w:rPr>
        <w:t>）</w:t>
      </w:r>
      <w:r>
        <w:rPr>
          <w:rFonts w:hint="eastAsia" w:ascii="楷体" w:hAnsi="楷体" w:eastAsia="楷体" w:cs="楷体"/>
          <w:b/>
          <w:bCs/>
          <w:color w:val="auto"/>
          <w:sz w:val="32"/>
          <w:szCs w:val="32"/>
          <w:highlight w:val="none"/>
          <w:lang w:val="en-US" w:eastAsia="zh-CN"/>
        </w:rPr>
        <w:t>评价情况</w:t>
      </w:r>
    </w:p>
    <w:p w14:paraId="44EB6809">
      <w:pP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 w:hAnsi="仿宋" w:eastAsia="仿宋" w:cs="仿宋"/>
          <w:color w:val="auto"/>
          <w:kern w:val="0"/>
          <w:sz w:val="32"/>
          <w:szCs w:val="32"/>
          <w:highlight w:val="none"/>
        </w:rPr>
        <w:t>2024年基本公共卫生服务补助</w:t>
      </w:r>
      <w:r>
        <w:rPr>
          <w:rFonts w:hint="default" w:ascii="Times New Roman" w:hAnsi="Times New Roman" w:eastAsia="仿宋_GB2312" w:cs="Times New Roman"/>
          <w:color w:val="auto"/>
          <w:sz w:val="32"/>
          <w:szCs w:val="32"/>
          <w:highlight w:val="none"/>
        </w:rPr>
        <w:t>资金预算的投资</w:t>
      </w:r>
      <w:r>
        <w:rPr>
          <w:rFonts w:hint="eastAsia" w:eastAsia="仿宋_GB2312" w:cs="Times New Roman"/>
          <w:color w:val="auto"/>
          <w:sz w:val="32"/>
          <w:szCs w:val="32"/>
          <w:highlight w:val="none"/>
          <w:lang w:val="en-US" w:eastAsia="zh-CN"/>
        </w:rPr>
        <w:t>主要</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u w:val="none"/>
          <w:lang w:val="en-US" w:eastAsia="zh-CN"/>
        </w:rPr>
        <w:t>7岁以下儿童健康管理人数、孕产妇系统管理人数、高血压患者管理人数</w:t>
      </w:r>
      <w:r>
        <w:rPr>
          <w:rFonts w:hint="eastAsia" w:eastAsia="仿宋_GB2312" w:cs="Times New Roman"/>
          <w:color w:val="auto"/>
          <w:sz w:val="32"/>
          <w:szCs w:val="32"/>
          <w:highlight w:val="none"/>
          <w:lang w:eastAsia="zh-CN"/>
        </w:rPr>
        <w:t>指标等方面表现出色，达到了预期的标准与要求。</w:t>
      </w:r>
    </w:p>
    <w:p w14:paraId="1412992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default" w:ascii="Times New Roman" w:hAnsi="Times New Roman" w:eastAsia="仿宋_GB2312" w:cs="Times New Roman"/>
          <w:color w:val="auto"/>
          <w:sz w:val="32"/>
          <w:szCs w:val="32"/>
          <w:highlight w:val="none"/>
          <w:lang w:val="en-US" w:eastAsia="zh-CN"/>
        </w:rPr>
        <w:t>奇台县</w:t>
      </w:r>
      <w:r>
        <w:rPr>
          <w:rFonts w:hint="eastAsia" w:eastAsia="仿宋_GB2312" w:cs="Times New Roman"/>
          <w:color w:val="auto"/>
          <w:sz w:val="32"/>
          <w:szCs w:val="32"/>
          <w:highlight w:val="none"/>
          <w:lang w:val="en-US" w:eastAsia="zh-CN"/>
        </w:rPr>
        <w:t>东湾镇卫生院</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D61D1B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从项目效益的角度来看，本项目不仅实现了预期</w:t>
      </w:r>
      <w:r>
        <w:rPr>
          <w:rFonts w:hint="default" w:ascii="Times New Roman" w:hAnsi="Times New Roman" w:eastAsia="仿宋_GB2312" w:cs="Times New Roman"/>
          <w:color w:val="auto"/>
          <w:sz w:val="32"/>
          <w:szCs w:val="32"/>
          <w:highlight w:val="none"/>
        </w:rPr>
        <w:t>社会效益、</w:t>
      </w:r>
      <w:r>
        <w:rPr>
          <w:rFonts w:hint="eastAsia" w:eastAsia="仿宋_GB2312" w:cs="Times New Roman"/>
          <w:color w:val="auto"/>
          <w:sz w:val="32"/>
          <w:szCs w:val="32"/>
          <w:highlight w:val="none"/>
          <w:lang w:val="en-US" w:eastAsia="zh-CN"/>
        </w:rPr>
        <w:t>满意度指标、健康管理</w:t>
      </w:r>
      <w:r>
        <w:rPr>
          <w:rFonts w:hint="default" w:ascii="Times New Roman" w:hAnsi="Times New Roman" w:eastAsia="仿宋_GB2312" w:cs="Times New Roman"/>
          <w:color w:val="auto"/>
          <w:sz w:val="32"/>
          <w:szCs w:val="32"/>
          <w:highlight w:val="none"/>
        </w:rPr>
        <w:t>方面产生了积极的影响。具体而言</w:t>
      </w:r>
      <w:r>
        <w:rPr>
          <w:rFonts w:hint="eastAsia" w:eastAsia="仿宋_GB2312" w:cs="Times New Roman"/>
          <w:color w:val="auto"/>
          <w:sz w:val="32"/>
          <w:szCs w:val="32"/>
          <w:highlight w:val="none"/>
          <w:lang w:val="en-US" w:eastAsia="zh-CN"/>
        </w:rPr>
        <w:t>卫生院</w:t>
      </w:r>
      <w:r>
        <w:rPr>
          <w:rFonts w:hint="eastAsia" w:eastAsia="仿宋_GB2312" w:cs="Times New Roman"/>
          <w:color w:val="auto"/>
          <w:sz w:val="32"/>
          <w:szCs w:val="32"/>
          <w:highlight w:val="none"/>
          <w:lang w:eastAsia="zh-CN"/>
        </w:rPr>
        <w:t>工作正常开展率</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公用经费控制数</w:t>
      </w:r>
      <w:r>
        <w:rPr>
          <w:rFonts w:hint="default" w:ascii="Times New Roman" w:hAnsi="Times New Roman" w:eastAsia="仿宋_GB2312" w:cs="Times New Roman"/>
          <w:color w:val="auto"/>
          <w:sz w:val="32"/>
          <w:szCs w:val="32"/>
          <w:highlight w:val="none"/>
        </w:rPr>
        <w:t>等方面的提升，为项目的利益相关</w:t>
      </w:r>
      <w:r>
        <w:rPr>
          <w:rFonts w:hint="eastAsia" w:eastAsia="仿宋_GB2312" w:cs="Times New Roman"/>
          <w:color w:val="auto"/>
          <w:sz w:val="32"/>
          <w:szCs w:val="32"/>
          <w:highlight w:val="none"/>
          <w:lang w:val="en-US" w:eastAsia="zh-CN"/>
        </w:rPr>
        <w:t>患者</w:t>
      </w:r>
      <w:r>
        <w:rPr>
          <w:rFonts w:hint="default" w:ascii="Times New Roman" w:hAnsi="Times New Roman" w:eastAsia="仿宋_GB2312" w:cs="Times New Roman"/>
          <w:color w:val="auto"/>
          <w:sz w:val="32"/>
          <w:szCs w:val="32"/>
          <w:highlight w:val="none"/>
        </w:rPr>
        <w:t>带来了实实在在的利益。</w:t>
      </w:r>
    </w:p>
    <w:p w14:paraId="214FE9A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综上所述，2024年基本公共卫生服务补助资金预算的</w:t>
      </w:r>
      <w:r>
        <w:rPr>
          <w:rFonts w:hint="default"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7AB885C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4EE2D81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分，属于优。其中，项目决策类指标权重为</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分，得分为</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分，得分率为</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%。项目过程类指标权重为</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分，得分为</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%。项目产出类指标权重为40分，得分为</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%。项目效益类指标权重为</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分，得分为</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分，得分率为</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具体打分情况详见：附件1综合评分表</w:t>
      </w:r>
      <w:r>
        <w:rPr>
          <w:rFonts w:hint="default" w:ascii="Times New Roman" w:hAnsi="Times New Roman" w:eastAsia="仿宋_GB2312" w:cs="Times New Roman"/>
          <w:color w:val="auto"/>
          <w:sz w:val="32"/>
          <w:szCs w:val="32"/>
          <w:highlight w:val="none"/>
          <w:lang w:eastAsia="zh-CN"/>
        </w:rPr>
        <w:t>。</w:t>
      </w:r>
    </w:p>
    <w:p w14:paraId="575ACD5F">
      <w:pPr>
        <w:pStyle w:val="10"/>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9056" w:type="dxa"/>
        <w:jc w:val="center"/>
        <w:tblLayout w:type="fixed"/>
        <w:tblCellMar>
          <w:top w:w="0" w:type="dxa"/>
          <w:left w:w="108" w:type="dxa"/>
          <w:bottom w:w="0" w:type="dxa"/>
          <w:right w:w="108" w:type="dxa"/>
        </w:tblCellMar>
      </w:tblPr>
      <w:tblGrid>
        <w:gridCol w:w="2745"/>
        <w:gridCol w:w="2199"/>
        <w:gridCol w:w="1784"/>
        <w:gridCol w:w="2328"/>
      </w:tblGrid>
      <w:tr w14:paraId="5E3F00AE">
        <w:tblPrEx>
          <w:tblCellMar>
            <w:top w:w="0" w:type="dxa"/>
            <w:left w:w="108" w:type="dxa"/>
            <w:bottom w:w="0" w:type="dxa"/>
            <w:right w:w="108" w:type="dxa"/>
          </w:tblCellMar>
        </w:tblPrEx>
        <w:trPr>
          <w:trHeight w:val="90" w:hRule="atLeast"/>
          <w:tblHeader/>
          <w:jc w:val="center"/>
        </w:trPr>
        <w:tc>
          <w:tcPr>
            <w:tcW w:w="2745"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13C1DFE">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99"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921CE2F">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1784"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D4EB08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32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D3840EF">
            <w:pPr>
              <w:keepNext w:val="0"/>
              <w:keepLines w:val="0"/>
              <w:pageBreakBefore w:val="0"/>
              <w:kinsoku/>
              <w:wordWrap/>
              <w:overflowPunct/>
              <w:topLinePunct w:val="0"/>
              <w:autoSpaceDE/>
              <w:autoSpaceDN/>
              <w:bidi w:val="0"/>
              <w:adjustRightInd/>
              <w:snapToGrid/>
              <w:spacing w:line="500" w:lineRule="exact"/>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0A1EAB96">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14:paraId="0C8A63CB">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99" w:type="dxa"/>
            <w:tcBorders>
              <w:top w:val="nil"/>
              <w:left w:val="nil"/>
              <w:bottom w:val="single" w:color="auto" w:sz="4" w:space="0"/>
              <w:right w:val="single" w:color="auto" w:sz="4" w:space="0"/>
            </w:tcBorders>
            <w:shd w:val="clear" w:color="auto" w:fill="auto"/>
            <w:vAlign w:val="center"/>
          </w:tcPr>
          <w:p w14:paraId="7CC92508">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14:paraId="3A211ADF">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14:paraId="3EC4EF56">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47A82674">
        <w:tblPrEx>
          <w:tblCellMar>
            <w:top w:w="0" w:type="dxa"/>
            <w:left w:w="108" w:type="dxa"/>
            <w:bottom w:w="0" w:type="dxa"/>
            <w:right w:w="108" w:type="dxa"/>
          </w:tblCellMar>
        </w:tblPrEx>
        <w:trPr>
          <w:trHeight w:val="489"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14:paraId="11CB36D3">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99" w:type="dxa"/>
            <w:tcBorders>
              <w:top w:val="nil"/>
              <w:left w:val="nil"/>
              <w:bottom w:val="single" w:color="auto" w:sz="4" w:space="0"/>
              <w:right w:val="single" w:color="auto" w:sz="4" w:space="0"/>
            </w:tcBorders>
            <w:shd w:val="clear" w:color="auto" w:fill="auto"/>
            <w:vAlign w:val="center"/>
          </w:tcPr>
          <w:p w14:paraId="40297A0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14:paraId="1E61C71E">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14:paraId="59586D86">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2A0EF64D">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14:paraId="6B9E6430">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99" w:type="dxa"/>
            <w:tcBorders>
              <w:top w:val="nil"/>
              <w:left w:val="nil"/>
              <w:bottom w:val="single" w:color="auto" w:sz="4" w:space="0"/>
              <w:right w:val="single" w:color="auto" w:sz="4" w:space="0"/>
            </w:tcBorders>
            <w:shd w:val="clear" w:color="auto" w:fill="auto"/>
            <w:vAlign w:val="center"/>
          </w:tcPr>
          <w:p w14:paraId="04CDDE8B">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1784" w:type="dxa"/>
            <w:tcBorders>
              <w:top w:val="nil"/>
              <w:left w:val="nil"/>
              <w:bottom w:val="single" w:color="auto" w:sz="4" w:space="0"/>
              <w:right w:val="single" w:color="auto" w:sz="4" w:space="0"/>
            </w:tcBorders>
            <w:shd w:val="clear" w:color="auto" w:fill="auto"/>
            <w:vAlign w:val="center"/>
          </w:tcPr>
          <w:p w14:paraId="5A326149">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2328" w:type="dxa"/>
            <w:tcBorders>
              <w:top w:val="nil"/>
              <w:left w:val="nil"/>
              <w:bottom w:val="single" w:color="auto" w:sz="4" w:space="0"/>
              <w:right w:val="single" w:color="auto" w:sz="4" w:space="0"/>
            </w:tcBorders>
            <w:shd w:val="clear" w:color="auto" w:fill="auto"/>
            <w:vAlign w:val="center"/>
          </w:tcPr>
          <w:p w14:paraId="65ECB76B">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rPr>
            </w:pPr>
            <w:r>
              <w:rPr>
                <w:rFonts w:hint="eastAsia"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p>
        </w:tc>
      </w:tr>
      <w:tr w14:paraId="62557AC3">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14:paraId="55616ECB">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99" w:type="dxa"/>
            <w:tcBorders>
              <w:top w:val="nil"/>
              <w:left w:val="nil"/>
              <w:bottom w:val="single" w:color="auto" w:sz="4" w:space="0"/>
              <w:right w:val="single" w:color="auto" w:sz="4" w:space="0"/>
            </w:tcBorders>
            <w:shd w:val="clear" w:color="auto" w:fill="auto"/>
            <w:vAlign w:val="center"/>
          </w:tcPr>
          <w:p w14:paraId="67F9816A">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14:paraId="7772F892">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14:paraId="34B5E7AC">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0EE30B02">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14:paraId="72172D31">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99" w:type="dxa"/>
            <w:tcBorders>
              <w:top w:val="nil"/>
              <w:left w:val="nil"/>
              <w:bottom w:val="single" w:color="auto" w:sz="4" w:space="0"/>
              <w:right w:val="single" w:color="auto" w:sz="4" w:space="0"/>
            </w:tcBorders>
            <w:shd w:val="clear" w:color="auto" w:fill="auto"/>
            <w:vAlign w:val="center"/>
          </w:tcPr>
          <w:p w14:paraId="54617DDE">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1784" w:type="dxa"/>
            <w:tcBorders>
              <w:top w:val="nil"/>
              <w:left w:val="nil"/>
              <w:bottom w:val="single" w:color="auto" w:sz="4" w:space="0"/>
              <w:right w:val="single" w:color="auto" w:sz="4" w:space="0"/>
            </w:tcBorders>
            <w:shd w:val="clear" w:color="auto" w:fill="auto"/>
            <w:vAlign w:val="center"/>
          </w:tcPr>
          <w:p w14:paraId="60E0E530">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2328" w:type="dxa"/>
            <w:tcBorders>
              <w:top w:val="nil"/>
              <w:left w:val="nil"/>
              <w:bottom w:val="single" w:color="auto" w:sz="4" w:space="0"/>
              <w:right w:val="single" w:color="auto" w:sz="4" w:space="0"/>
            </w:tcBorders>
            <w:shd w:val="clear" w:color="auto" w:fill="auto"/>
            <w:vAlign w:val="center"/>
          </w:tcPr>
          <w:p w14:paraId="62151EE5">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auto"/>
                <w:sz w:val="21"/>
                <w:szCs w:val="21"/>
                <w:highlight w:val="none"/>
                <w:lang w:val="en-US"/>
              </w:rPr>
            </w:pPr>
            <w:r>
              <w:rPr>
                <w:rFonts w:hint="eastAsia" w:eastAsia="仿宋_GB2312" w:cs="Times New Roman"/>
                <w:b/>
                <w:bCs/>
                <w:color w:val="auto"/>
                <w:sz w:val="21"/>
                <w:szCs w:val="21"/>
                <w:highlight w:val="none"/>
                <w:lang w:val="en-US" w:eastAsia="zh-CN"/>
              </w:rPr>
              <w:t>100%</w:t>
            </w:r>
          </w:p>
        </w:tc>
      </w:tr>
    </w:tbl>
    <w:p w14:paraId="0369CDA3">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4A8D30DE">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542A742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项目决策类指标包括项目立项、绩效目标和资金投入三方面的内容，由6个三级指标构成，权重分值为20分，实际得分20分，得分率为100%。</w:t>
      </w:r>
    </w:p>
    <w:p w14:paraId="5825C9A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1BCAD3B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7395E9A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项目围绕本年度工作重点和工作计划制定经费预算，属于公共财政支持范围。本项目与部门内部其他相关项目不重复。部门发展规划及职能文件等归档完整。</w:t>
      </w:r>
    </w:p>
    <w:p w14:paraId="604B567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53B40EE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w:t>
      </w:r>
      <w:r>
        <w:rPr>
          <w:rFonts w:hint="eastAsia" w:eastAsia="仿宋_GB2312" w:cs="Times New Roman"/>
          <w:color w:val="auto"/>
          <w:sz w:val="32"/>
          <w:szCs w:val="32"/>
          <w:highlight w:val="none"/>
          <w:lang w:val="en-US" w:eastAsia="zh-CN"/>
        </w:rPr>
        <w:t>卫生院实际情况制定</w:t>
      </w:r>
      <w:r>
        <w:rPr>
          <w:rFonts w:hint="default" w:ascii="Times New Roman" w:hAnsi="Times New Roman" w:eastAsia="仿宋_GB2312" w:cs="Times New Roman"/>
          <w:color w:val="auto"/>
          <w:sz w:val="32"/>
          <w:szCs w:val="32"/>
          <w:highlight w:val="none"/>
          <w:lang w:val="en-US" w:eastAsia="zh-CN"/>
        </w:rPr>
        <w:t>工作计划和经费预算，经过与部门项目分管领导沟通、筛选确定经费预算计划，确定最终预算方案。项目的审批文件、材料符合相关要求，项目事前经过必要的集体决策，保障了程序的规范性。</w:t>
      </w:r>
    </w:p>
    <w:p w14:paraId="5957EF8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39CE5EE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0115650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B6571F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7149514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121D8E1C">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5620809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1B798B5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8D39DA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C7F24C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55CFBC0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7A016F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37A81E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1EFB6F1">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w:t>
      </w:r>
      <w:r>
        <w:rPr>
          <w:rFonts w:hint="eastAsia" w:ascii="楷体" w:hAnsi="楷体" w:eastAsia="楷体" w:cs="楷体"/>
          <w:b/>
          <w:bCs/>
          <w:color w:val="auto"/>
          <w:sz w:val="32"/>
          <w:szCs w:val="32"/>
          <w:highlight w:val="none"/>
          <w:lang w:val="en-US" w:eastAsia="zh-CN"/>
        </w:rPr>
        <w:t>二</w:t>
      </w:r>
      <w:r>
        <w:rPr>
          <w:rFonts w:hint="eastAsia" w:ascii="楷体" w:hAnsi="楷体" w:eastAsia="楷体" w:cs="楷体"/>
          <w:b/>
          <w:bCs/>
          <w:color w:val="auto"/>
          <w:sz w:val="32"/>
          <w:szCs w:val="32"/>
          <w:highlight w:val="none"/>
          <w:lang w:eastAsia="zh-CN"/>
        </w:rPr>
        <w:t>）</w:t>
      </w:r>
      <w:r>
        <w:rPr>
          <w:rFonts w:hint="default" w:ascii="楷体" w:hAnsi="楷体" w:eastAsia="楷体" w:cs="楷体"/>
          <w:b/>
          <w:bCs/>
          <w:color w:val="auto"/>
          <w:sz w:val="32"/>
          <w:szCs w:val="32"/>
          <w:highlight w:val="none"/>
        </w:rPr>
        <w:t>项目过程情况</w:t>
      </w:r>
    </w:p>
    <w:p w14:paraId="0AA83F4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036BB2F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5A1914E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4B7C18E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80.77</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4378E6C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5F66E9D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80.77万元</w:t>
      </w:r>
      <w:r>
        <w:rPr>
          <w:rFonts w:hint="default" w:ascii="Times New Roman" w:hAnsi="Times New Roman" w:eastAsia="仿宋_GB2312" w:cs="Times New Roman"/>
          <w:color w:val="auto"/>
          <w:sz w:val="32"/>
          <w:szCs w:val="32"/>
          <w:highlight w:val="none"/>
          <w:lang w:val="en-US" w:eastAsia="zh-CN"/>
        </w:rPr>
        <w:t>，预算执行率为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5D5290E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0047E6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w:t>
      </w:r>
      <w:r>
        <w:rPr>
          <w:rFonts w:hint="eastAsia" w:eastAsia="仿宋_GB2312" w:cs="Times New Roman"/>
          <w:color w:val="auto"/>
          <w:sz w:val="32"/>
          <w:szCs w:val="32"/>
          <w:highlight w:val="none"/>
          <w:lang w:eastAsia="zh-CN"/>
        </w:rPr>
        <w:t>依据《国家基本公共卫生服务规范（第三版）》</w:t>
      </w:r>
      <w:r>
        <w:rPr>
          <w:rFonts w:hint="default" w:ascii="Times New Roman" w:hAnsi="Times New Roman" w:eastAsia="仿宋_GB2312" w:cs="Times New Roman"/>
          <w:color w:val="auto"/>
          <w:sz w:val="32"/>
          <w:szCs w:val="32"/>
          <w:highlight w:val="none"/>
          <w:lang w:eastAsia="zh-CN"/>
        </w:rPr>
        <w:t>，确保了资金的合规性与安全性。在资金使用过程中，我们建立了完善的财务管理体系，对资金的流动进行了全程监控与记录。</w:t>
      </w:r>
    </w:p>
    <w:p w14:paraId="14A71C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2C859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B2A173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65EEDC8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5632B1F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根据</w:t>
      </w:r>
      <w:r>
        <w:rPr>
          <w:rFonts w:hint="eastAsia" w:eastAsia="仿宋_GB2312" w:cs="Times New Roman"/>
          <w:color w:val="auto"/>
          <w:sz w:val="32"/>
          <w:szCs w:val="32"/>
          <w:highlight w:val="none"/>
          <w:lang w:eastAsia="zh-CN"/>
        </w:rPr>
        <w:t>《国家基本公共卫生服务规范（第三版）》</w:t>
      </w: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01A7FC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14C32F2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32D7F1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82C03B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1FB186A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6B84231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7766E47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6291DA9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楷体" w:cs="Times New Roman"/>
          <w:b/>
          <w:bCs/>
          <w:color w:val="auto"/>
          <w:sz w:val="32"/>
          <w:szCs w:val="32"/>
          <w:highlight w:val="none"/>
        </w:rPr>
      </w:pPr>
      <w:r>
        <w:rPr>
          <w:rFonts w:hint="default" w:ascii="Times New Roman" w:hAnsi="Times New Roman" w:eastAsia="楷体" w:cs="Times New Roman"/>
          <w:b/>
          <w:bCs/>
          <w:color w:val="auto"/>
          <w:sz w:val="32"/>
          <w:szCs w:val="32"/>
          <w:highlight w:val="none"/>
          <w:lang w:eastAsia="zh-CN"/>
        </w:rPr>
        <w:t>（</w:t>
      </w:r>
      <w:r>
        <w:rPr>
          <w:rFonts w:hint="eastAsia" w:ascii="Times New Roman" w:hAnsi="Times New Roman" w:eastAsia="楷体" w:cs="Times New Roman"/>
          <w:b/>
          <w:bCs/>
          <w:color w:val="auto"/>
          <w:sz w:val="32"/>
          <w:szCs w:val="32"/>
          <w:highlight w:val="none"/>
          <w:lang w:val="en-US" w:eastAsia="zh-CN"/>
        </w:rPr>
        <w:t>三</w:t>
      </w:r>
      <w:r>
        <w:rPr>
          <w:rFonts w:hint="default" w:ascii="Times New Roman" w:hAnsi="Times New Roman" w:eastAsia="楷体" w:cs="Times New Roman"/>
          <w:b/>
          <w:bCs/>
          <w:color w:val="auto"/>
          <w:sz w:val="32"/>
          <w:szCs w:val="32"/>
          <w:highlight w:val="none"/>
          <w:lang w:eastAsia="zh-CN"/>
        </w:rPr>
        <w:t>）</w:t>
      </w:r>
      <w:r>
        <w:rPr>
          <w:rFonts w:hint="default" w:ascii="Times New Roman" w:hAnsi="Times New Roman" w:eastAsia="楷体" w:cs="Times New Roman"/>
          <w:b/>
          <w:bCs/>
          <w:color w:val="auto"/>
          <w:sz w:val="32"/>
          <w:szCs w:val="32"/>
          <w:highlight w:val="none"/>
        </w:rPr>
        <w:t>项目产出</w:t>
      </w:r>
      <w:r>
        <w:rPr>
          <w:rFonts w:hint="default" w:ascii="Times New Roman" w:hAnsi="Times New Roman" w:eastAsia="楷体" w:cs="Times New Roman"/>
          <w:b/>
          <w:bCs/>
          <w:color w:val="auto"/>
          <w:sz w:val="32"/>
          <w:szCs w:val="32"/>
          <w:highlight w:val="none"/>
          <w:lang w:val="en-US" w:eastAsia="zh-CN"/>
        </w:rPr>
        <w:t>情况</w:t>
      </w:r>
    </w:p>
    <w:p w14:paraId="2B5085C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14</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2035A3F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5B0C48F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：高血压患者管理人数指标值</w:t>
      </w:r>
      <w:r>
        <w:rPr>
          <w:rFonts w:hint="eastAsia"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628人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634人</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45CD21C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居民电子健康档案建档人数</w:t>
      </w:r>
      <w:r>
        <w:rPr>
          <w:rFonts w:hint="default" w:ascii="Times New Roman" w:hAnsi="Times New Roman" w:eastAsia="仿宋_GB2312" w:cs="Times New Roman"/>
          <w:color w:val="auto"/>
          <w:sz w:val="32"/>
          <w:szCs w:val="32"/>
          <w:highlight w:val="none"/>
        </w:rPr>
        <w:t>指标值</w:t>
      </w:r>
      <w:r>
        <w:rPr>
          <w:rFonts w:hint="eastAsia"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5488人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5285人</w:t>
      </w:r>
      <w:r>
        <w:rPr>
          <w:rFonts w:hint="default" w:ascii="Times New Roman" w:hAnsi="Times New Roman" w:eastAsia="仿宋_GB2312" w:cs="Times New Roman"/>
          <w:color w:val="auto"/>
          <w:sz w:val="32"/>
          <w:szCs w:val="32"/>
          <w:highlight w:val="none"/>
        </w:rPr>
        <w:t>，指率</w:t>
      </w:r>
      <w:r>
        <w:rPr>
          <w:rFonts w:hint="eastAsia" w:eastAsia="仿宋_GB2312" w:cs="Times New Roman"/>
          <w:color w:val="auto"/>
          <w:sz w:val="32"/>
          <w:szCs w:val="32"/>
          <w:highlight w:val="none"/>
          <w:lang w:val="en-US" w:eastAsia="zh-CN"/>
        </w:rPr>
        <w:t>96</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原因分析：部分群众迁出东湾镇户籍，改进措施：公卫专干及时建档</w:t>
      </w:r>
      <w:r>
        <w:rPr>
          <w:rFonts w:hint="eastAsia" w:eastAsia="仿宋_GB2312" w:cs="Times New Roman"/>
          <w:color w:val="auto"/>
          <w:sz w:val="32"/>
          <w:szCs w:val="32"/>
          <w:highlight w:val="none"/>
          <w:lang w:eastAsia="zh-CN"/>
        </w:rPr>
        <w:t>。</w:t>
      </w:r>
    </w:p>
    <w:p w14:paraId="64BB576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7岁以下儿童健康管理指标值60人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60人，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p>
    <w:p w14:paraId="0F66AD7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孕产妇系统管理人数指标值2人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4人，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200%；</w:t>
      </w:r>
      <w:r>
        <w:rPr>
          <w:rFonts w:hint="eastAsia" w:eastAsia="仿宋_GB2312" w:cs="Times New Roman"/>
          <w:color w:val="auto"/>
          <w:sz w:val="32"/>
          <w:szCs w:val="32"/>
          <w:highlight w:val="none"/>
          <w:lang w:val="en-US" w:eastAsia="zh-CN"/>
        </w:rPr>
        <w:t>原因分析：因辖区内多增加人口故有孕产妇人员增加，改进措施：妇幼专干对孕产妇及时督促做好随访。</w:t>
      </w:r>
    </w:p>
    <w:p w14:paraId="6E7A165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2型糖尿病患者管理人数指标值230人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226人，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98%；</w:t>
      </w:r>
      <w:r>
        <w:rPr>
          <w:rFonts w:hint="eastAsia" w:eastAsia="仿宋_GB2312" w:cs="Times New Roman"/>
          <w:color w:val="auto"/>
          <w:sz w:val="32"/>
          <w:szCs w:val="32"/>
          <w:highlight w:val="none"/>
          <w:lang w:val="en-US" w:eastAsia="zh-CN"/>
        </w:rPr>
        <w:t>原因分析：迁出户籍患者中包含部分糖尿病患者，改进措施：公卫专干及时随访。</w:t>
      </w:r>
    </w:p>
    <w:p w14:paraId="4AB8A00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老年人中医药健康管理指标值1084人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896人，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83%；</w:t>
      </w:r>
      <w:r>
        <w:rPr>
          <w:rFonts w:hint="eastAsia" w:eastAsia="仿宋_GB2312" w:cs="Times New Roman"/>
          <w:color w:val="auto"/>
          <w:sz w:val="32"/>
          <w:szCs w:val="32"/>
          <w:highlight w:val="none"/>
          <w:lang w:val="en-US" w:eastAsia="zh-CN"/>
        </w:rPr>
        <w:t>原因分析：老年人出行不变故未能及时完成老年人中医药健康指导。改进措施：公卫专干及时做好老年人中医药健康指导。</w:t>
      </w:r>
    </w:p>
    <w:p w14:paraId="1C060F8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471A2DA6">
      <w:pPr>
        <w:pStyle w:val="3"/>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居民电子健康档案建档人数初预算管理人数为5488人</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年末实际管理人数为5285人，使用率为83.67%；</w:t>
      </w:r>
      <w:r>
        <w:rPr>
          <w:rFonts w:hint="eastAsia" w:eastAsia="仿宋_GB2312" w:cs="Times New Roman"/>
          <w:color w:val="auto"/>
          <w:sz w:val="32"/>
          <w:szCs w:val="32"/>
          <w:highlight w:val="none"/>
          <w:lang w:val="en-US" w:eastAsia="zh-CN"/>
        </w:rPr>
        <w:t>原因分析：居民电子健康档案使用率为年度变动指标，改进措施：对居民健康档案加大管理及完善信息故居民健康档案管理率增高。。</w:t>
      </w:r>
    </w:p>
    <w:p w14:paraId="380D34D2">
      <w:pPr>
        <w:pStyle w:val="3"/>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bookmarkStart w:id="5" w:name="OLE_LINK6"/>
      <w:r>
        <w:rPr>
          <w:rFonts w:hint="eastAsia" w:eastAsia="仿宋_GB2312" w:cs="Times New Roman"/>
          <w:color w:val="auto"/>
          <w:sz w:val="32"/>
          <w:szCs w:val="32"/>
          <w:highlight w:val="none"/>
          <w:lang w:val="en-US" w:eastAsia="zh-CN"/>
        </w:rPr>
        <w:t>高血压患者</w:t>
      </w:r>
      <w:bookmarkEnd w:id="5"/>
      <w:r>
        <w:rPr>
          <w:rFonts w:hint="eastAsia" w:eastAsia="仿宋_GB2312" w:cs="Times New Roman"/>
          <w:color w:val="auto"/>
          <w:sz w:val="32"/>
          <w:szCs w:val="32"/>
          <w:highlight w:val="none"/>
          <w:lang w:val="en-US" w:eastAsia="zh-CN"/>
        </w:rPr>
        <w:t>年初预算管理人数为628人</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年末实际管理人数为634人，管理率92.11%；</w:t>
      </w:r>
      <w:r>
        <w:rPr>
          <w:rFonts w:hint="eastAsia" w:eastAsia="仿宋_GB2312" w:cs="Times New Roman"/>
          <w:color w:val="auto"/>
          <w:sz w:val="32"/>
          <w:szCs w:val="32"/>
          <w:highlight w:val="none"/>
          <w:lang w:val="en-US" w:eastAsia="zh-CN"/>
        </w:rPr>
        <w:t>原因分析：高血压患者管理率为年度变动指标，改进措施：因加大宣传及对高血压患者等管理故高血压患者增强意识提高管理率。</w:t>
      </w:r>
    </w:p>
    <w:p w14:paraId="0994376F">
      <w:pPr>
        <w:pStyle w:val="3"/>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2型糖尿病患者年初预算管理人数为230人</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年末实际管理人数为226人，管理率92.92%；</w:t>
      </w:r>
      <w:r>
        <w:rPr>
          <w:rFonts w:hint="eastAsia" w:eastAsia="仿宋_GB2312" w:cs="Times New Roman"/>
          <w:color w:val="auto"/>
          <w:sz w:val="32"/>
          <w:szCs w:val="32"/>
          <w:highlight w:val="none"/>
          <w:lang w:val="en-US" w:eastAsia="zh-CN"/>
        </w:rPr>
        <w:t>原因分析：2型糖尿病患者管理率为年度变动指标，改进措施：加大对2型糖尿病患者宣传及管理。</w:t>
      </w:r>
    </w:p>
    <w:p w14:paraId="45334B3C">
      <w:pPr>
        <w:pStyle w:val="3"/>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老年人中医药健康管理人数年初预算管理人数为1084人</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年末实际管理人数为896人，管理率89.78%；</w:t>
      </w:r>
      <w:r>
        <w:rPr>
          <w:rFonts w:hint="eastAsia" w:eastAsia="仿宋_GB2312" w:cs="Times New Roman"/>
          <w:color w:val="auto"/>
          <w:sz w:val="32"/>
          <w:szCs w:val="32"/>
          <w:highlight w:val="none"/>
          <w:lang w:val="en-US" w:eastAsia="zh-CN"/>
        </w:rPr>
        <w:t>原因分析：老年人中医药管理率为年度变动指标，改进措施：因加大对老年人中医药管理宣传及管理故今年老年人中医药管理率。</w:t>
      </w:r>
    </w:p>
    <w:p w14:paraId="2B7F4137">
      <w:pPr>
        <w:pStyle w:val="3"/>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7岁以下儿童健康管理人数年初预算管理人数为60人</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年末实际管理人数为60人，管理率93.75%；</w:t>
      </w:r>
      <w:r>
        <w:rPr>
          <w:rFonts w:hint="eastAsia" w:eastAsia="仿宋_GB2312" w:cs="Times New Roman"/>
          <w:color w:val="auto"/>
          <w:sz w:val="32"/>
          <w:szCs w:val="32"/>
          <w:highlight w:val="none"/>
          <w:lang w:val="en-US" w:eastAsia="zh-CN"/>
        </w:rPr>
        <w:t>原因分析：7岁以下儿童健康管理率为年度变动指标，改进措施：因加大对7岁以下儿童健康管理故7岁以下儿童健康管理率增加。</w:t>
      </w:r>
    </w:p>
    <w:p w14:paraId="60674128">
      <w:pPr>
        <w:pStyle w:val="3"/>
        <w:ind w:firstLine="640" w:firstLineChars="20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ab/>
      </w: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孕产妇年初预算管理人数为2人</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年末实际管理人数为4人，管理率66.67%。</w:t>
      </w:r>
      <w:r>
        <w:rPr>
          <w:rFonts w:hint="eastAsia" w:eastAsia="仿宋_GB2312" w:cs="Times New Roman"/>
          <w:color w:val="auto"/>
          <w:sz w:val="32"/>
          <w:szCs w:val="32"/>
          <w:highlight w:val="none"/>
          <w:lang w:val="en-US" w:eastAsia="zh-CN"/>
        </w:rPr>
        <w:t>原因分析：孕产妇系统管理率为年度变动指标，改进措施：加大孕产妇管理宣传工作，及时与村级对接实时更新孕产妇新增情况，了解孕产妇动向。</w:t>
      </w:r>
    </w:p>
    <w:p w14:paraId="4632D5B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1B0030A4">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资金发放及时率</w:t>
      </w:r>
      <w:r>
        <w:rPr>
          <w:rFonts w:hint="default" w:ascii="Times New Roman" w:hAnsi="Times New Roman" w:eastAsia="仿宋_GB2312" w:cs="Times New Roman"/>
          <w:color w:val="auto"/>
          <w:sz w:val="32"/>
          <w:szCs w:val="32"/>
          <w:highlight w:val="none"/>
        </w:rPr>
        <w:t xml:space="preserve"> ，指标值</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111</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偏差原因：年初设置预算参数过低，年末完成率100%，故存在偏差，改进措施：认真核对资金发放及时率，设置合格参数。</w:t>
      </w:r>
    </w:p>
    <w:p w14:paraId="14DB55F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2C4A48C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rPr>
        <w:t>指标1：</w:t>
      </w:r>
      <w:r>
        <w:rPr>
          <w:rFonts w:hint="eastAsia" w:ascii="Times New Roman" w:hAnsi="Times New Roman" w:eastAsia="仿宋_GB2312" w:cs="Times New Roman"/>
          <w:b w:val="0"/>
          <w:bCs w:val="0"/>
          <w:color w:val="auto"/>
          <w:sz w:val="32"/>
          <w:szCs w:val="32"/>
          <w:highlight w:val="none"/>
          <w:lang w:eastAsia="zh-CN"/>
        </w:rPr>
        <w:t>项目预算控制率</w:t>
      </w:r>
      <w:r>
        <w:rPr>
          <w:rFonts w:hint="default" w:ascii="Times New Roman" w:hAnsi="Times New Roman" w:eastAsia="仿宋_GB2312" w:cs="Times New Roman"/>
          <w:b w:val="0"/>
          <w:bCs w:val="0"/>
          <w:color w:val="auto"/>
          <w:sz w:val="32"/>
          <w:szCs w:val="32"/>
          <w:highlight w:val="none"/>
        </w:rPr>
        <w:t>，指标值：</w:t>
      </w:r>
      <w:r>
        <w:rPr>
          <w:rFonts w:hint="eastAsia" w:ascii="宋体" w:hAnsi="宋体" w:eastAsia="宋体" w:cs="宋体"/>
          <w:b w:val="0"/>
          <w:bCs w:val="0"/>
          <w:color w:val="auto"/>
          <w:sz w:val="32"/>
          <w:szCs w:val="32"/>
          <w:highlight w:val="none"/>
        </w:rPr>
        <w:t>≦</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，实际完成值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，指标完成率</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eastAsia="zh-CN"/>
        </w:rPr>
        <w:t>。</w:t>
      </w:r>
    </w:p>
    <w:p w14:paraId="2324CC1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lang w:val="en-US" w:eastAsia="zh-CN"/>
        </w:rPr>
        <w:t>（四）项目效益情况</w:t>
      </w:r>
    </w:p>
    <w:p w14:paraId="56C1007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分，得分率为100%。具体效益指标及满意度指标完成情况如下：</w:t>
      </w:r>
    </w:p>
    <w:p w14:paraId="38B9FAA1">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rPr>
      </w:pPr>
      <w:r>
        <w:rPr>
          <w:rFonts w:hint="eastAsia" w:ascii="Times New Roman" w:hAnsi="Times New Roman" w:eastAsia="仿宋_GB2312" w:cs="Times New Roman"/>
          <w:b/>
          <w:bCs/>
          <w:color w:val="auto"/>
          <w:sz w:val="32"/>
          <w:szCs w:val="32"/>
          <w:highlight w:val="none"/>
          <w:lang w:val="en-US" w:eastAsia="zh-CN"/>
        </w:rPr>
        <w:t>1.</w:t>
      </w:r>
      <w:r>
        <w:rPr>
          <w:rFonts w:hint="default" w:ascii="Times New Roman" w:hAnsi="Times New Roman" w:eastAsia="仿宋_GB2312" w:cs="Times New Roman"/>
          <w:b/>
          <w:bCs/>
          <w:color w:val="auto"/>
          <w:sz w:val="32"/>
          <w:szCs w:val="32"/>
          <w:highlight w:val="none"/>
          <w:lang w:val="en-US" w:eastAsia="zh-CN"/>
        </w:rPr>
        <w:t>实施效益</w:t>
      </w:r>
    </w:p>
    <w:p w14:paraId="0DC3F08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社会效益指标：</w:t>
      </w:r>
    </w:p>
    <w:p w14:paraId="11CF5F5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指标1：</w:t>
      </w:r>
      <w:r>
        <w:rPr>
          <w:rFonts w:hint="eastAsia" w:ascii="Times New Roman" w:hAnsi="Times New Roman" w:eastAsia="仿宋_GB2312" w:cs="Times New Roman"/>
          <w:color w:val="auto"/>
          <w:sz w:val="32"/>
          <w:szCs w:val="32"/>
          <w:highlight w:val="none"/>
          <w:lang w:val="en-US" w:eastAsia="zh-CN"/>
        </w:rPr>
        <w:t>缩小城乡居民公共卫生差距</w:t>
      </w:r>
      <w:r>
        <w:rPr>
          <w:rFonts w:hint="eastAsia" w:eastAsia="仿宋_GB2312" w:cs="Times New Roman"/>
          <w:color w:val="auto"/>
          <w:sz w:val="32"/>
          <w:szCs w:val="32"/>
          <w:highlight w:val="none"/>
          <w:lang w:val="en-US" w:eastAsia="zh-CN"/>
        </w:rPr>
        <w:t>，目标值：不断缩小，实际完成指标：不断缩小，完成率100%。</w:t>
      </w:r>
    </w:p>
    <w:p w14:paraId="31CC501A">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3" w:firstLineChars="200"/>
        <w:textAlignment w:val="auto"/>
        <w:rPr>
          <w:rFonts w:hint="eastAsia" w:ascii="Times New Roman" w:hAnsi="Times New Roman" w:eastAsia="仿宋_GB2312" w:cs="Times New Roman"/>
          <w:b/>
          <w:bCs/>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en-US" w:eastAsia="zh-CN"/>
        </w:rPr>
        <w:t>2.满意度</w:t>
      </w:r>
    </w:p>
    <w:p w14:paraId="2DBF9DEC">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指标1：</w:t>
      </w:r>
      <w:r>
        <w:rPr>
          <w:rFonts w:hint="eastAsia" w:eastAsia="仿宋_GB2312" w:cs="Times New Roman"/>
          <w:color w:val="auto"/>
          <w:sz w:val="32"/>
          <w:szCs w:val="32"/>
          <w:highlight w:val="none"/>
          <w:lang w:val="en-US" w:eastAsia="zh-CN"/>
        </w:rPr>
        <w:t>服务对象</w:t>
      </w:r>
      <w:r>
        <w:rPr>
          <w:rFonts w:hint="default" w:ascii="Times New Roman" w:hAnsi="Times New Roman"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w:t>
      </w:r>
    </w:p>
    <w:p w14:paraId="4ADEA5C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highlight w:val="none"/>
          <w:lang w:val="en-US" w:eastAsia="zh-Hans"/>
        </w:rPr>
      </w:pPr>
      <w:r>
        <w:rPr>
          <w:rFonts w:hint="eastAsia" w:ascii="楷体" w:hAnsi="楷体" w:eastAsia="楷体" w:cs="楷体"/>
          <w:b/>
          <w:bCs/>
          <w:color w:val="auto"/>
          <w:sz w:val="32"/>
          <w:szCs w:val="32"/>
          <w:highlight w:val="none"/>
          <w:lang w:val="en-US" w:eastAsia="zh-CN"/>
        </w:rPr>
        <w:t>（五）</w:t>
      </w:r>
      <w:r>
        <w:rPr>
          <w:rFonts w:hint="eastAsia" w:ascii="楷体" w:hAnsi="楷体" w:eastAsia="楷体" w:cs="楷体"/>
          <w:b/>
          <w:bCs/>
          <w:color w:val="auto"/>
          <w:sz w:val="32"/>
          <w:szCs w:val="32"/>
          <w:highlight w:val="none"/>
          <w:lang w:val="en-US" w:eastAsia="zh-Hans"/>
        </w:rPr>
        <w:t>预算执行进度与绩效指标总体完成率偏差</w:t>
      </w:r>
    </w:p>
    <w:p w14:paraId="0F98D5DB">
      <w:pPr>
        <w:pStyle w:val="19"/>
        <w:spacing w:line="560" w:lineRule="exact"/>
        <w:ind w:left="0" w:leftChars="0" w:firstLine="640" w:firstLineChars="200"/>
        <w:rPr>
          <w:rFonts w:hint="eastAsia" w:eastAsia="宋体"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2024年基本公共卫生服务补助</w:t>
      </w:r>
      <w:r>
        <w:rPr>
          <w:rFonts w:hint="default" w:ascii="Times New Roman" w:hAnsi="Times New Roman" w:eastAsia="仿宋_GB2312" w:cs="Times New Roman"/>
          <w:color w:val="auto"/>
          <w:sz w:val="32"/>
          <w:szCs w:val="32"/>
          <w:highlight w:val="none"/>
        </w:rPr>
        <w:t>年初预算</w:t>
      </w:r>
      <w:r>
        <w:rPr>
          <w:rFonts w:hint="eastAsia" w:eastAsia="仿宋_GB2312" w:cs="Times New Roman"/>
          <w:color w:val="auto"/>
          <w:sz w:val="32"/>
          <w:szCs w:val="32"/>
          <w:highlight w:val="none"/>
          <w:lang w:val="en-US" w:eastAsia="zh-CN"/>
        </w:rPr>
        <w:t>55.57</w:t>
      </w:r>
      <w:r>
        <w:rPr>
          <w:rFonts w:hint="default" w:ascii="Times New Roman" w:hAnsi="Times New Roman" w:eastAsia="仿宋_GB2312" w:cs="Times New Roman"/>
          <w:color w:val="auto"/>
          <w:sz w:val="32"/>
          <w:szCs w:val="32"/>
          <w:highlight w:val="none"/>
        </w:rPr>
        <w:t>万元，全年预算</w:t>
      </w:r>
      <w:r>
        <w:rPr>
          <w:rFonts w:hint="eastAsia" w:eastAsia="仿宋_GB2312" w:cs="Times New Roman"/>
          <w:color w:val="auto"/>
          <w:sz w:val="32"/>
          <w:szCs w:val="32"/>
          <w:highlight w:val="none"/>
          <w:lang w:val="en-US" w:eastAsia="zh-CN"/>
        </w:rPr>
        <w:t>80.77</w:t>
      </w:r>
      <w:r>
        <w:rPr>
          <w:rFonts w:hint="default" w:ascii="Times New Roman" w:hAnsi="Times New Roman" w:eastAsia="仿宋_GB2312" w:cs="Times New Roman"/>
          <w:color w:val="auto"/>
          <w:sz w:val="32"/>
          <w:szCs w:val="32"/>
          <w:highlight w:val="none"/>
        </w:rPr>
        <w:t>万元，实际支出</w:t>
      </w:r>
      <w:r>
        <w:rPr>
          <w:rFonts w:hint="eastAsia" w:eastAsia="仿宋_GB2312" w:cs="Times New Roman"/>
          <w:color w:val="auto"/>
          <w:sz w:val="32"/>
          <w:szCs w:val="32"/>
          <w:highlight w:val="none"/>
          <w:lang w:val="en-US" w:eastAsia="zh-CN"/>
        </w:rPr>
        <w:t>80.77</w:t>
      </w:r>
      <w:r>
        <w:rPr>
          <w:rFonts w:hint="default" w:ascii="Times New Roman" w:hAnsi="Times New Roman" w:eastAsia="仿宋_GB2312" w:cs="Times New Roman"/>
          <w:color w:val="auto"/>
          <w:sz w:val="32"/>
          <w:szCs w:val="32"/>
          <w:highlight w:val="none"/>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%，项目绩效指标总体完成率为</w:t>
      </w:r>
      <w:r>
        <w:rPr>
          <w:rFonts w:hint="eastAsia" w:eastAsia="仿宋_GB2312" w:cs="Times New Roman"/>
          <w:color w:val="auto"/>
          <w:sz w:val="32"/>
          <w:szCs w:val="32"/>
          <w:highlight w:val="none"/>
          <w:lang w:val="en-US" w:eastAsia="zh-CN"/>
        </w:rPr>
        <w:t>112.44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，总体偏差率为</w:t>
      </w:r>
      <w:r>
        <w:rPr>
          <w:rFonts w:hint="eastAsia" w:eastAsia="仿宋_GB2312" w:cs="Times New Roman"/>
          <w:color w:val="auto"/>
          <w:sz w:val="32"/>
          <w:szCs w:val="32"/>
          <w:highlight w:val="none"/>
          <w:lang w:val="en-US" w:eastAsia="zh-CN"/>
        </w:rPr>
        <w:t>12.44%，</w:t>
      </w:r>
      <w:r>
        <w:rPr>
          <w:rFonts w:hint="eastAsia" w:eastAsia="仿宋_GB2312" w:cs="Times New Roman"/>
          <w:color w:val="auto"/>
          <w:kern w:val="2"/>
          <w:sz w:val="32"/>
          <w:szCs w:val="32"/>
          <w:highlight w:val="none"/>
          <w:lang w:val="en-US" w:eastAsia="zh-CN" w:bidi="ar-SA"/>
        </w:rPr>
        <w:t>偏差原因：部分指标年初时预估较低，导致部分指标超额完成 ，部分指标年初预估较高，以致未完成目标指标，导致出现偏差，改进措施：做好数据统计，认真分析数据报告，研究后确立目标指标，年末时尽力达成目标指标，减少偏差。</w:t>
      </w:r>
    </w:p>
    <w:p w14:paraId="178FA89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五、</w:t>
      </w:r>
      <w:r>
        <w:rPr>
          <w:rFonts w:hint="eastAsia" w:ascii="黑体" w:hAnsi="黑体" w:eastAsia="黑体" w:cs="黑体"/>
          <w:color w:val="auto"/>
          <w:sz w:val="32"/>
          <w:szCs w:val="32"/>
          <w:highlight w:val="none"/>
        </w:rPr>
        <w:t>主要经验及做法、存在的问题及原因分析</w:t>
      </w:r>
    </w:p>
    <w:p w14:paraId="0820E6C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highlight w:val="none"/>
          <w:lang w:eastAsia="zh-CN"/>
        </w:rPr>
      </w:pPr>
      <w:r>
        <w:rPr>
          <w:rFonts w:hint="eastAsia" w:ascii="楷体" w:hAnsi="楷体" w:eastAsia="楷体" w:cs="楷体"/>
          <w:b/>
          <w:bCs/>
          <w:color w:val="auto"/>
          <w:sz w:val="32"/>
          <w:szCs w:val="32"/>
          <w:highlight w:val="none"/>
        </w:rPr>
        <w:t>（一）主要经验及做法</w:t>
      </w:r>
    </w:p>
    <w:p w14:paraId="76CE7FBF">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02B4F89">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通过本项目的实施，促进医疗卫生质量的提升，改善群众就医局面，保障公众健康，使医院职工、患者满意度达到90%。项目启动前，充分了解项目背景、目标和具体实施方案，执行过程中，加强与相关部门和人员的沟通协调，确保各项工作顺利推进，资金使用方面，遵守相关财务管理规定，确保资金使用安全、合规，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2024年中央基本公共卫生服务补助项目经验，我们能够更好地提高项目执行质量和效率，为工作提供有力支持。</w:t>
      </w:r>
    </w:p>
    <w:p w14:paraId="0EC40DB1">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color w:val="auto"/>
          <w:sz w:val="32"/>
          <w:szCs w:val="32"/>
          <w:highlight w:val="none"/>
          <w:lang w:eastAsia="zh-CN"/>
        </w:rPr>
      </w:pPr>
      <w:r>
        <w:rPr>
          <w:rFonts w:hint="default" w:ascii="楷体" w:hAnsi="楷体" w:eastAsia="楷体" w:cs="楷体"/>
          <w:b/>
          <w:bCs/>
          <w:color w:val="auto"/>
          <w:sz w:val="32"/>
          <w:szCs w:val="32"/>
          <w:highlight w:val="none"/>
          <w:lang w:eastAsia="zh-CN"/>
        </w:rPr>
        <w:t>（</w:t>
      </w:r>
      <w:r>
        <w:rPr>
          <w:rFonts w:hint="default" w:ascii="楷体" w:hAnsi="楷体" w:eastAsia="楷体" w:cs="楷体"/>
          <w:b/>
          <w:bCs/>
          <w:color w:val="auto"/>
          <w:sz w:val="32"/>
          <w:szCs w:val="32"/>
          <w:highlight w:val="none"/>
          <w:lang w:val="en-US" w:eastAsia="zh-CN"/>
        </w:rPr>
        <w:t>二</w:t>
      </w:r>
      <w:r>
        <w:rPr>
          <w:rFonts w:hint="default" w:ascii="楷体" w:hAnsi="楷体" w:eastAsia="楷体" w:cs="楷体"/>
          <w:b/>
          <w:bCs/>
          <w:color w:val="auto"/>
          <w:sz w:val="32"/>
          <w:szCs w:val="32"/>
          <w:highlight w:val="none"/>
          <w:lang w:eastAsia="zh-CN"/>
        </w:rPr>
        <w:t>）</w:t>
      </w:r>
      <w:r>
        <w:rPr>
          <w:rFonts w:hint="default" w:ascii="楷体" w:hAnsi="楷体" w:eastAsia="楷体" w:cs="楷体"/>
          <w:b/>
          <w:bCs/>
          <w:color w:val="auto"/>
          <w:sz w:val="32"/>
          <w:szCs w:val="32"/>
          <w:highlight w:val="none"/>
        </w:rPr>
        <w:t>存在的问题及原因分析</w:t>
      </w:r>
    </w:p>
    <w:p w14:paraId="2C744841">
      <w:pPr>
        <w:spacing w:line="560" w:lineRule="exact"/>
        <w:ind w:firstLine="640" w:firstLineChars="200"/>
        <w:rPr>
          <w:rFonts w:hint="eastAsia" w:ascii="Times New Roman" w:hAnsi="Times New Roman" w:eastAsia="仿宋_GB2312" w:cs="Times New Roman"/>
          <w:b w:val="0"/>
          <w:bCs w:val="0"/>
          <w:color w:val="auto"/>
          <w:kern w:val="2"/>
          <w:sz w:val="32"/>
          <w:szCs w:val="32"/>
          <w:highlight w:val="none"/>
          <w:lang w:val="en-US" w:eastAsia="zh-Hans" w:bidi="ar-SA"/>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b w:val="0"/>
          <w:bCs w:val="0"/>
          <w:color w:val="auto"/>
          <w:kern w:val="2"/>
          <w:sz w:val="32"/>
          <w:szCs w:val="32"/>
          <w:highlight w:val="none"/>
          <w:lang w:val="en-US" w:eastAsia="zh-Hans" w:bidi="ar-SA"/>
        </w:rPr>
        <w:t>未能全面深入认识理解绩效管理工作的意义。绩效管理经验不足，预算绩效管理工作有待进一步</w:t>
      </w:r>
      <w:r>
        <w:rPr>
          <w:rFonts w:hint="eastAsia" w:eastAsia="仿宋_GB2312" w:cs="Times New Roman"/>
          <w:b w:val="0"/>
          <w:bCs w:val="0"/>
          <w:color w:val="auto"/>
          <w:kern w:val="2"/>
          <w:sz w:val="32"/>
          <w:szCs w:val="32"/>
          <w:highlight w:val="none"/>
          <w:lang w:val="en-US" w:eastAsia="zh-CN" w:bidi="ar-SA"/>
        </w:rPr>
        <w:t>学习及</w:t>
      </w:r>
      <w:r>
        <w:rPr>
          <w:rFonts w:hint="eastAsia" w:ascii="Times New Roman" w:hAnsi="Times New Roman" w:eastAsia="仿宋_GB2312" w:cs="Times New Roman"/>
          <w:b w:val="0"/>
          <w:bCs w:val="0"/>
          <w:color w:val="auto"/>
          <w:kern w:val="2"/>
          <w:sz w:val="32"/>
          <w:szCs w:val="32"/>
          <w:highlight w:val="none"/>
          <w:lang w:val="en-US" w:eastAsia="zh-Hans" w:bidi="ar-SA"/>
        </w:rPr>
        <w:t>落实。</w:t>
      </w:r>
    </w:p>
    <w:p w14:paraId="47A3991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b w:val="0"/>
          <w:bCs w:val="0"/>
          <w:color w:val="auto"/>
          <w:kern w:val="2"/>
          <w:sz w:val="32"/>
          <w:szCs w:val="32"/>
          <w:highlight w:val="none"/>
          <w:lang w:val="en-US" w:eastAsia="zh-Hans" w:bidi="ar-SA"/>
        </w:rPr>
        <w:t>绩效指标的明确性、可衡量性、相关性还需进一步提升。预算精细化管理还需完善，预算编制管理水平仍有进一步提升的空间。</w:t>
      </w:r>
    </w:p>
    <w:p w14:paraId="6A928216">
      <w:pPr>
        <w:pStyle w:val="10"/>
        <w:spacing w:before="0" w:after="0" w:line="560" w:lineRule="exact"/>
        <w:ind w:firstLine="643" w:firstLineChars="200"/>
        <w:jc w:val="left"/>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highlight w:val="none"/>
          <w:lang w:val="en-US" w:eastAsia="zh-CN"/>
        </w:rPr>
        <w:t>3</w:t>
      </w:r>
      <w:r>
        <w:rPr>
          <w:rFonts w:hint="eastAsia" w:ascii="Times New Roman" w:hAnsi="Times New Roman" w:eastAsia="仿宋_GB2312" w:cs="Times New Roman"/>
          <w:b w:val="0"/>
          <w:bCs w:val="0"/>
          <w:color w:val="auto"/>
          <w:kern w:val="2"/>
          <w:sz w:val="32"/>
          <w:szCs w:val="32"/>
          <w:highlight w:val="none"/>
          <w:lang w:val="en-US" w:eastAsia="zh-CN" w:bidi="ar-SA"/>
        </w:rPr>
        <w:t>.高血压患者管理率为92.11%，糖尿病患者管理率92.92%，老年人中医药管理率为89.78%，这三项人群管理率比较低首先是我们的宣传教育还是有所欠缺，随访存在形式化，项目的实施及资金使用还需要加强学习及提升，结合绩效绩效管理方面的知识继续完善及改进，</w:t>
      </w:r>
      <w:r>
        <w:rPr>
          <w:rFonts w:hint="default" w:ascii="Times New Roman" w:hAnsi="Times New Roman" w:eastAsia="仿宋_GB2312" w:cs="Times New Roman"/>
          <w:b w:val="0"/>
          <w:bCs w:val="0"/>
          <w:color w:val="auto"/>
          <w:kern w:val="2"/>
          <w:highlight w:val="none"/>
        </w:rPr>
        <w:t>保障公众健康，使医院职工、患者满意</w:t>
      </w:r>
      <w:r>
        <w:rPr>
          <w:rFonts w:hint="eastAsia" w:ascii="Times New Roman" w:hAnsi="Times New Roman" w:eastAsia="仿宋_GB2312" w:cs="Times New Roman"/>
          <w:b w:val="0"/>
          <w:bCs w:val="0"/>
          <w:color w:val="auto"/>
          <w:kern w:val="2"/>
          <w:highlight w:val="none"/>
          <w:lang w:eastAsia="zh-CN"/>
        </w:rPr>
        <w:t>。</w:t>
      </w:r>
    </w:p>
    <w:p w14:paraId="7CFCE28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Hans" w:bidi="ar-SA"/>
        </w:rPr>
      </w:pPr>
    </w:p>
    <w:p w14:paraId="0F4127C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有关建议</w:t>
      </w:r>
    </w:p>
    <w:p w14:paraId="68CB09CC">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14:paraId="40EB80C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14:paraId="70E4586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19368CE">
      <w:pPr>
        <w:shd w:val="clear"/>
        <w:spacing w:line="600" w:lineRule="exact"/>
        <w:ind w:firstLine="640" w:firstLineChars="200"/>
        <w:outlineLvl w:val="0"/>
        <w:rPr>
          <w:color w:val="auto"/>
          <w:sz w:val="22"/>
          <w:szCs w:val="28"/>
          <w:highlight w:val="none"/>
        </w:rPr>
      </w:pPr>
      <w:r>
        <w:rPr>
          <w:rFonts w:hint="eastAsia" w:ascii="仿宋_GB2312" w:hAnsi="仿宋_GB2312" w:eastAsia="仿宋_GB2312" w:cs="仿宋_GB2312"/>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6"/>
          <w:szCs w:val="32"/>
          <w:highlight w:val="none"/>
        </w:rPr>
        <w:t>。</w:t>
      </w:r>
    </w:p>
    <w:p w14:paraId="68B07B9A">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FEEFDE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其他需要说</w:t>
      </w:r>
      <w:bookmarkStart w:id="6" w:name="page8"/>
      <w:bookmarkEnd w:id="6"/>
      <w:r>
        <w:rPr>
          <w:rFonts w:hint="eastAsia" w:ascii="黑体" w:hAnsi="黑体" w:eastAsia="黑体" w:cs="黑体"/>
          <w:color w:val="auto"/>
          <w:sz w:val="32"/>
          <w:szCs w:val="32"/>
          <w:highlight w:val="none"/>
        </w:rPr>
        <w:t>明的问题</w:t>
      </w:r>
    </w:p>
    <w:p w14:paraId="672A1303">
      <w:pPr>
        <w:pStyle w:val="13"/>
        <w:spacing w:after="0" w:line="560" w:lineRule="exact"/>
        <w:ind w:left="0" w:leftChars="0" w:firstLine="640" w:firstLineChars="200"/>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2098" w:right="1531" w:bottom="1984" w:left="1531" w:header="851" w:footer="992" w:gutter="0"/>
          <w:pgNumType w:start="1"/>
          <w:cols w:space="425" w:num="1"/>
          <w:docGrid w:type="lines" w:linePitch="312" w:charSpace="0"/>
        </w:sectPr>
      </w:pPr>
      <w:r>
        <w:rPr>
          <w:rFonts w:hint="default" w:ascii="Times New Roman" w:hAnsi="Times New Roman" w:eastAsia="仿宋_GB2312" w:cs="Times New Roman"/>
          <w:color w:val="auto"/>
          <w:sz w:val="32"/>
          <w:szCs w:val="32"/>
          <w:highlight w:val="none"/>
          <w:lang w:eastAsia="zh-Hans"/>
        </w:rPr>
        <w:t>本项目无其他需说明的问题。</w:t>
      </w:r>
    </w:p>
    <w:p w14:paraId="28F4F76E">
      <w:pPr>
        <w:spacing w:line="600" w:lineRule="exact"/>
        <w:rPr>
          <w:rFonts w:hint="eastAsia" w:ascii="Times New Roman" w:hAnsi="Times New Roman" w:eastAsia="黑体" w:cs="Times New Roman"/>
          <w:color w:val="auto"/>
          <w:sz w:val="32"/>
          <w:szCs w:val="32"/>
          <w:highlight w:val="none"/>
          <w:lang w:val="en-US" w:eastAsia="zh-CN"/>
        </w:rPr>
        <w:sectPr>
          <w:footerReference r:id="rId4" w:type="default"/>
          <w:pgSz w:w="11906" w:h="16838"/>
          <w:pgMar w:top="1440" w:right="1558" w:bottom="1440" w:left="1800" w:header="851" w:footer="992" w:gutter="0"/>
          <w:pgNumType w:start="1"/>
          <w:cols w:space="425" w:num="1"/>
          <w:docGrid w:type="lines" w:linePitch="312" w:charSpace="0"/>
        </w:sectPr>
      </w:pPr>
    </w:p>
    <w:p w14:paraId="7F4EA61D">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70C20E20">
      <w:pPr>
        <w:pStyle w:val="19"/>
        <w:ind w:firstLine="562"/>
        <w:jc w:val="center"/>
        <w:rPr>
          <w:rFonts w:hint="eastAsia" w:ascii="仿宋_GB2312" w:hAnsi="仿宋_GB2312" w:eastAsia="仿宋_GB2312" w:cs="仿宋_GB2312"/>
          <w:color w:val="auto"/>
          <w:sz w:val="28"/>
          <w:szCs w:val="40"/>
          <w:highlight w:val="none"/>
        </w:rPr>
      </w:pPr>
      <w:bookmarkStart w:id="7" w:name="_Toc26499_WPSOffice_Level2"/>
      <w:bookmarkStart w:id="8" w:name="_Toc30064_WPSOffice_Level1"/>
      <w:r>
        <w:rPr>
          <w:rFonts w:hint="eastAsia" w:ascii="仿宋_GB2312" w:hAnsi="仿宋_GB2312" w:eastAsia="仿宋_GB2312" w:cs="仿宋_GB2312"/>
          <w:b/>
          <w:bCs/>
          <w:color w:val="auto"/>
          <w:sz w:val="28"/>
          <w:szCs w:val="40"/>
          <w:highlight w:val="none"/>
          <w:lang w:val="en-US" w:eastAsia="zh-CN"/>
        </w:rPr>
        <w:t>XXXX</w:t>
      </w:r>
      <w:r>
        <w:rPr>
          <w:rFonts w:hint="eastAsia" w:ascii="仿宋_GB2312" w:hAnsi="仿宋_GB2312" w:eastAsia="仿宋_GB2312" w:cs="仿宋_GB2312"/>
          <w:b/>
          <w:bCs/>
          <w:color w:val="auto"/>
          <w:sz w:val="28"/>
          <w:szCs w:val="40"/>
          <w:highlight w:val="none"/>
        </w:rPr>
        <w:t>项目绩效评价指标体系及综合评分表</w:t>
      </w:r>
      <w:bookmarkEnd w:id="7"/>
      <w:bookmarkEnd w:id="8"/>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2490A6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488759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1000" w:type="dxa"/>
            <w:shd w:val="clear" w:color="auto" w:fill="FFFFFF"/>
            <w:vAlign w:val="center"/>
          </w:tcPr>
          <w:p w14:paraId="1E818C9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1071" w:type="dxa"/>
            <w:shd w:val="clear" w:color="auto" w:fill="FFFFFF"/>
            <w:vAlign w:val="center"/>
          </w:tcPr>
          <w:p w14:paraId="2FEE474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1725" w:type="dxa"/>
            <w:shd w:val="clear" w:color="auto" w:fill="FFFFFF"/>
            <w:vAlign w:val="center"/>
          </w:tcPr>
          <w:p w14:paraId="40BB497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5216" w:type="dxa"/>
            <w:shd w:val="clear" w:color="auto" w:fill="FFFFFF"/>
            <w:vAlign w:val="center"/>
          </w:tcPr>
          <w:p w14:paraId="688CC51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1304" w:type="dxa"/>
            <w:gridSpan w:val="2"/>
            <w:shd w:val="clear" w:color="auto" w:fill="FFFFFF"/>
            <w:vAlign w:val="center"/>
          </w:tcPr>
          <w:p w14:paraId="04E7695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1365" w:type="dxa"/>
            <w:shd w:val="clear" w:color="auto" w:fill="FFFFFF"/>
            <w:vAlign w:val="center"/>
          </w:tcPr>
          <w:p w14:paraId="3BC2704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12B34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3882FBC1">
            <w:pPr>
              <w:widowControl/>
              <w:spacing w:line="0" w:lineRule="atLeast"/>
              <w:jc w:val="center"/>
              <w:rPr>
                <w:rFonts w:hint="default" w:ascii="Times New Roman" w:hAnsi="Times New Roman" w:eastAsia="仿宋_GB2312" w:cs="Times New Roman"/>
                <w:color w:val="auto"/>
                <w:kern w:val="0"/>
                <w:sz w:val="18"/>
                <w:szCs w:val="18"/>
                <w:highlight w:val="none"/>
              </w:rPr>
            </w:pPr>
          </w:p>
          <w:p w14:paraId="7C8A5EDB">
            <w:pPr>
              <w:widowControl/>
              <w:spacing w:line="0" w:lineRule="atLeast"/>
              <w:jc w:val="center"/>
              <w:rPr>
                <w:rFonts w:hint="default" w:ascii="Times New Roman" w:hAnsi="Times New Roman" w:eastAsia="仿宋_GB2312" w:cs="Times New Roman"/>
                <w:color w:val="auto"/>
                <w:kern w:val="0"/>
                <w:sz w:val="18"/>
                <w:szCs w:val="18"/>
                <w:highlight w:val="none"/>
              </w:rPr>
            </w:pPr>
          </w:p>
          <w:p w14:paraId="4CD0AF23">
            <w:pPr>
              <w:widowControl/>
              <w:spacing w:line="0" w:lineRule="atLeast"/>
              <w:jc w:val="center"/>
              <w:rPr>
                <w:rFonts w:hint="default" w:ascii="Times New Roman" w:hAnsi="Times New Roman" w:eastAsia="仿宋_GB2312" w:cs="Times New Roman"/>
                <w:color w:val="auto"/>
                <w:kern w:val="0"/>
                <w:sz w:val="18"/>
                <w:szCs w:val="18"/>
                <w:highlight w:val="none"/>
              </w:rPr>
            </w:pPr>
          </w:p>
          <w:p w14:paraId="75739B1D">
            <w:pPr>
              <w:widowControl/>
              <w:spacing w:line="0" w:lineRule="atLeast"/>
              <w:jc w:val="center"/>
              <w:rPr>
                <w:rFonts w:hint="default" w:ascii="Times New Roman" w:hAnsi="Times New Roman" w:eastAsia="仿宋_GB2312" w:cs="Times New Roman"/>
                <w:color w:val="auto"/>
                <w:kern w:val="0"/>
                <w:sz w:val="18"/>
                <w:szCs w:val="18"/>
                <w:highlight w:val="none"/>
              </w:rPr>
            </w:pPr>
          </w:p>
          <w:p w14:paraId="33C73E23">
            <w:pPr>
              <w:widowControl/>
              <w:spacing w:line="0" w:lineRule="atLeast"/>
              <w:jc w:val="center"/>
              <w:rPr>
                <w:rFonts w:hint="default" w:ascii="Times New Roman" w:hAnsi="Times New Roman" w:eastAsia="仿宋_GB2312" w:cs="Times New Roman"/>
                <w:color w:val="auto"/>
                <w:kern w:val="0"/>
                <w:sz w:val="18"/>
                <w:szCs w:val="18"/>
                <w:highlight w:val="none"/>
              </w:rPr>
            </w:pPr>
          </w:p>
          <w:p w14:paraId="74141CCE">
            <w:pPr>
              <w:widowControl/>
              <w:spacing w:line="0" w:lineRule="atLeast"/>
              <w:jc w:val="center"/>
              <w:rPr>
                <w:rFonts w:hint="default" w:ascii="Times New Roman" w:hAnsi="Times New Roman" w:eastAsia="仿宋_GB2312" w:cs="Times New Roman"/>
                <w:color w:val="auto"/>
                <w:kern w:val="0"/>
                <w:sz w:val="18"/>
                <w:szCs w:val="18"/>
                <w:highlight w:val="none"/>
              </w:rPr>
            </w:pPr>
          </w:p>
          <w:p w14:paraId="71B57E2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1000" w:type="dxa"/>
            <w:vMerge w:val="restart"/>
            <w:shd w:val="clear" w:color="auto" w:fill="FFFFFF"/>
            <w:vAlign w:val="center"/>
          </w:tcPr>
          <w:p w14:paraId="5488E7F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1071" w:type="dxa"/>
            <w:shd w:val="clear" w:color="auto" w:fill="FFFFFF"/>
            <w:vAlign w:val="center"/>
          </w:tcPr>
          <w:p w14:paraId="18ADA30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5057373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1725" w:type="dxa"/>
            <w:shd w:val="clear" w:color="auto" w:fill="FFFFFF"/>
            <w:vAlign w:val="center"/>
          </w:tcPr>
          <w:p w14:paraId="2F10437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66F5C91A">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1304" w:type="dxa"/>
            <w:gridSpan w:val="2"/>
            <w:shd w:val="clear" w:color="auto" w:fill="FFFFFF"/>
            <w:vAlign w:val="center"/>
          </w:tcPr>
          <w:p w14:paraId="149071E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7EB48408">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14:paraId="2EF5F8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1E70E714">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40E2720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59F65F1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13F344D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1725" w:type="dxa"/>
            <w:shd w:val="clear" w:color="auto" w:fill="FFFFFF"/>
            <w:vAlign w:val="center"/>
          </w:tcPr>
          <w:p w14:paraId="07662B7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5216" w:type="dxa"/>
            <w:shd w:val="clear" w:color="auto" w:fill="FFFFFF"/>
            <w:vAlign w:val="center"/>
          </w:tcPr>
          <w:p w14:paraId="201362A9">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4D47B12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5026FFAC">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14:paraId="4FE25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8495F89">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697E4B5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1071" w:type="dxa"/>
            <w:shd w:val="clear" w:color="auto" w:fill="FFFFFF"/>
            <w:vAlign w:val="center"/>
          </w:tcPr>
          <w:p w14:paraId="2A41F39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2C0DDCC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000000" w:fill="FFFFFF"/>
            <w:vAlign w:val="center"/>
          </w:tcPr>
          <w:p w14:paraId="1BE9715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74A0C42A">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7F979B63">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1304" w:type="dxa"/>
            <w:gridSpan w:val="2"/>
            <w:shd w:val="clear" w:color="000000" w:fill="FFFFFF"/>
            <w:vAlign w:val="center"/>
          </w:tcPr>
          <w:p w14:paraId="665485D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26C164D5">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14:paraId="3C0B30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2A96C8C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6766664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67D7725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60F6E6A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1725" w:type="dxa"/>
            <w:shd w:val="clear" w:color="000000" w:fill="FFFFFF"/>
            <w:vAlign w:val="center"/>
          </w:tcPr>
          <w:p w14:paraId="65FF0E9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76F4F53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1304" w:type="dxa"/>
            <w:gridSpan w:val="2"/>
            <w:shd w:val="clear" w:color="000000" w:fill="FFFFFF"/>
            <w:vAlign w:val="center"/>
          </w:tcPr>
          <w:p w14:paraId="0E2FF30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565D1464">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14:paraId="43007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73845B4D">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7D61B7C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49E6047F">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62AE2F9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7521E22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1725" w:type="dxa"/>
            <w:shd w:val="clear" w:color="auto" w:fill="FFFFFF"/>
            <w:vAlign w:val="center"/>
          </w:tcPr>
          <w:p w14:paraId="5AB16C4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54452A3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1304" w:type="dxa"/>
            <w:gridSpan w:val="2"/>
            <w:shd w:val="clear" w:color="auto" w:fill="FFFFFF"/>
            <w:vAlign w:val="center"/>
          </w:tcPr>
          <w:p w14:paraId="5BB9C5B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61C16DB5">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14:paraId="69559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157413C2">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085BFED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3522244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5C00BE6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auto" w:fill="FFFFFF"/>
            <w:vAlign w:val="center"/>
          </w:tcPr>
          <w:p w14:paraId="685DC8D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416035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1304" w:type="dxa"/>
            <w:gridSpan w:val="2"/>
            <w:shd w:val="clear" w:color="auto" w:fill="FFFFFF"/>
            <w:vAlign w:val="center"/>
          </w:tcPr>
          <w:p w14:paraId="7D381ED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00B65D7C">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14:paraId="03F59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46E5AEF1">
            <w:pPr>
              <w:spacing w:line="0" w:lineRule="atLeast"/>
              <w:jc w:val="center"/>
              <w:rPr>
                <w:rFonts w:hint="default" w:ascii="Times New Roman" w:hAnsi="Times New Roman" w:eastAsia="仿宋_GB2312" w:cs="Times New Roman"/>
                <w:color w:val="auto"/>
                <w:kern w:val="0"/>
                <w:sz w:val="18"/>
                <w:szCs w:val="18"/>
                <w:highlight w:val="none"/>
              </w:rPr>
            </w:pPr>
          </w:p>
          <w:p w14:paraId="687BA2AF">
            <w:pPr>
              <w:spacing w:line="0" w:lineRule="atLeast"/>
              <w:jc w:val="center"/>
              <w:rPr>
                <w:rFonts w:hint="default" w:ascii="Times New Roman" w:hAnsi="Times New Roman" w:eastAsia="仿宋_GB2312" w:cs="Times New Roman"/>
                <w:color w:val="auto"/>
                <w:kern w:val="0"/>
                <w:sz w:val="18"/>
                <w:szCs w:val="18"/>
                <w:highlight w:val="none"/>
              </w:rPr>
            </w:pPr>
          </w:p>
          <w:p w14:paraId="747C4BF4">
            <w:pPr>
              <w:spacing w:line="0" w:lineRule="atLeast"/>
              <w:jc w:val="center"/>
              <w:rPr>
                <w:rFonts w:hint="default" w:ascii="Times New Roman" w:hAnsi="Times New Roman" w:eastAsia="仿宋_GB2312" w:cs="Times New Roman"/>
                <w:color w:val="auto"/>
                <w:kern w:val="0"/>
                <w:sz w:val="18"/>
                <w:szCs w:val="18"/>
                <w:highlight w:val="none"/>
              </w:rPr>
            </w:pPr>
          </w:p>
          <w:p w14:paraId="4402EA15">
            <w:pPr>
              <w:spacing w:line="0" w:lineRule="atLeast"/>
              <w:jc w:val="center"/>
              <w:rPr>
                <w:rFonts w:hint="default" w:ascii="Times New Roman" w:hAnsi="Times New Roman" w:eastAsia="仿宋_GB2312" w:cs="Times New Roman"/>
                <w:color w:val="auto"/>
                <w:kern w:val="0"/>
                <w:sz w:val="18"/>
                <w:szCs w:val="18"/>
                <w:highlight w:val="none"/>
              </w:rPr>
            </w:pPr>
          </w:p>
          <w:p w14:paraId="0B2DE04C">
            <w:pPr>
              <w:spacing w:line="0" w:lineRule="atLeast"/>
              <w:jc w:val="center"/>
              <w:rPr>
                <w:rFonts w:hint="default" w:ascii="Times New Roman" w:hAnsi="Times New Roman" w:eastAsia="仿宋_GB2312" w:cs="Times New Roman"/>
                <w:color w:val="auto"/>
                <w:kern w:val="0"/>
                <w:sz w:val="18"/>
                <w:szCs w:val="18"/>
                <w:highlight w:val="none"/>
              </w:rPr>
            </w:pPr>
          </w:p>
          <w:p w14:paraId="75C838C7">
            <w:pPr>
              <w:spacing w:line="0" w:lineRule="atLeast"/>
              <w:jc w:val="center"/>
              <w:rPr>
                <w:rFonts w:hint="default" w:ascii="Times New Roman" w:hAnsi="Times New Roman" w:eastAsia="仿宋_GB2312" w:cs="Times New Roman"/>
                <w:color w:val="auto"/>
                <w:kern w:val="0"/>
                <w:sz w:val="18"/>
                <w:szCs w:val="18"/>
                <w:highlight w:val="none"/>
              </w:rPr>
            </w:pPr>
          </w:p>
          <w:p w14:paraId="3E927B10">
            <w:pPr>
              <w:spacing w:line="0" w:lineRule="atLeast"/>
              <w:jc w:val="center"/>
              <w:rPr>
                <w:rFonts w:hint="default" w:ascii="Times New Roman" w:hAnsi="Times New Roman" w:eastAsia="仿宋_GB2312" w:cs="Times New Roman"/>
                <w:color w:val="auto"/>
                <w:kern w:val="0"/>
                <w:sz w:val="18"/>
                <w:szCs w:val="18"/>
                <w:highlight w:val="none"/>
              </w:rPr>
            </w:pPr>
          </w:p>
          <w:p w14:paraId="274345EC">
            <w:pPr>
              <w:spacing w:line="0" w:lineRule="atLeast"/>
              <w:jc w:val="center"/>
              <w:rPr>
                <w:rFonts w:hint="default" w:ascii="Times New Roman" w:hAnsi="Times New Roman" w:eastAsia="仿宋_GB2312" w:cs="Times New Roman"/>
                <w:color w:val="auto"/>
                <w:kern w:val="0"/>
                <w:sz w:val="18"/>
                <w:szCs w:val="18"/>
                <w:highlight w:val="none"/>
              </w:rPr>
            </w:pPr>
          </w:p>
          <w:p w14:paraId="3706C151">
            <w:pPr>
              <w:spacing w:line="0" w:lineRule="atLeast"/>
              <w:jc w:val="center"/>
              <w:rPr>
                <w:rFonts w:hint="default" w:ascii="Times New Roman" w:hAnsi="Times New Roman" w:eastAsia="仿宋_GB2312" w:cs="Times New Roman"/>
                <w:color w:val="auto"/>
                <w:kern w:val="0"/>
                <w:sz w:val="18"/>
                <w:szCs w:val="18"/>
                <w:highlight w:val="none"/>
              </w:rPr>
            </w:pPr>
          </w:p>
          <w:p w14:paraId="5DDEEDF0">
            <w:pPr>
              <w:spacing w:line="0" w:lineRule="atLeast"/>
              <w:jc w:val="center"/>
              <w:rPr>
                <w:rFonts w:hint="default" w:ascii="Times New Roman" w:hAnsi="Times New Roman" w:eastAsia="仿宋_GB2312" w:cs="Times New Roman"/>
                <w:color w:val="auto"/>
                <w:kern w:val="0"/>
                <w:sz w:val="18"/>
                <w:szCs w:val="18"/>
                <w:highlight w:val="none"/>
              </w:rPr>
            </w:pPr>
          </w:p>
          <w:p w14:paraId="7DA30066">
            <w:pPr>
              <w:spacing w:line="0" w:lineRule="atLeast"/>
              <w:jc w:val="center"/>
              <w:rPr>
                <w:rFonts w:hint="default" w:ascii="Times New Roman" w:hAnsi="Times New Roman" w:eastAsia="仿宋_GB2312" w:cs="Times New Roman"/>
                <w:color w:val="auto"/>
                <w:kern w:val="0"/>
                <w:sz w:val="18"/>
                <w:szCs w:val="18"/>
                <w:highlight w:val="none"/>
              </w:rPr>
            </w:pPr>
          </w:p>
          <w:p w14:paraId="08911171">
            <w:pPr>
              <w:spacing w:line="0" w:lineRule="atLeast"/>
              <w:jc w:val="center"/>
              <w:rPr>
                <w:rFonts w:hint="default" w:ascii="Times New Roman" w:hAnsi="Times New Roman" w:eastAsia="仿宋_GB2312" w:cs="Times New Roman"/>
                <w:color w:val="auto"/>
                <w:kern w:val="0"/>
                <w:sz w:val="18"/>
                <w:szCs w:val="18"/>
                <w:highlight w:val="none"/>
              </w:rPr>
            </w:pPr>
          </w:p>
          <w:p w14:paraId="4AF0B565">
            <w:pPr>
              <w:spacing w:line="0" w:lineRule="atLeast"/>
              <w:jc w:val="center"/>
              <w:rPr>
                <w:rFonts w:hint="default" w:ascii="Times New Roman" w:hAnsi="Times New Roman" w:eastAsia="仿宋_GB2312" w:cs="Times New Roman"/>
                <w:color w:val="auto"/>
                <w:kern w:val="0"/>
                <w:sz w:val="18"/>
                <w:szCs w:val="18"/>
                <w:highlight w:val="none"/>
              </w:rPr>
            </w:pPr>
          </w:p>
          <w:p w14:paraId="10FE58B9">
            <w:pPr>
              <w:spacing w:line="0" w:lineRule="atLeast"/>
              <w:jc w:val="center"/>
              <w:rPr>
                <w:rFonts w:hint="default" w:ascii="Times New Roman" w:hAnsi="Times New Roman" w:eastAsia="仿宋_GB2312" w:cs="Times New Roman"/>
                <w:color w:val="auto"/>
                <w:kern w:val="0"/>
                <w:sz w:val="18"/>
                <w:szCs w:val="18"/>
                <w:highlight w:val="none"/>
              </w:rPr>
            </w:pPr>
          </w:p>
          <w:p w14:paraId="0A86C1C6">
            <w:pPr>
              <w:spacing w:line="0" w:lineRule="atLeast"/>
              <w:jc w:val="center"/>
              <w:rPr>
                <w:rFonts w:hint="default" w:ascii="Times New Roman" w:hAnsi="Times New Roman" w:eastAsia="仿宋_GB2312" w:cs="Times New Roman"/>
                <w:color w:val="auto"/>
                <w:kern w:val="0"/>
                <w:sz w:val="18"/>
                <w:szCs w:val="18"/>
                <w:highlight w:val="none"/>
              </w:rPr>
            </w:pPr>
          </w:p>
          <w:p w14:paraId="7FB70319">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6F2C480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00" w:type="dxa"/>
            <w:vMerge w:val="restart"/>
            <w:shd w:val="clear" w:color="auto" w:fill="FFFFFF"/>
            <w:vAlign w:val="center"/>
          </w:tcPr>
          <w:p w14:paraId="189E820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54C7A57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1725" w:type="dxa"/>
            <w:shd w:val="clear" w:color="000000" w:fill="FFFFFF"/>
            <w:vAlign w:val="center"/>
          </w:tcPr>
          <w:p w14:paraId="240C988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51DA1F5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07CE0B1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408F741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6C89FC8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443B9139">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14:paraId="441FF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21F345D5">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152AE0F1">
            <w:pPr>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5F0598B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1725" w:type="dxa"/>
            <w:shd w:val="clear" w:color="auto" w:fill="FFFFFF"/>
            <w:vAlign w:val="center"/>
          </w:tcPr>
          <w:p w14:paraId="37D427A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5216" w:type="dxa"/>
            <w:shd w:val="clear" w:color="auto" w:fill="FFFFFF"/>
            <w:vAlign w:val="center"/>
          </w:tcPr>
          <w:p w14:paraId="7F352BD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577AA41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7C41D57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4</w:t>
            </w:r>
          </w:p>
        </w:tc>
      </w:tr>
      <w:tr w14:paraId="4BD87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500E3ED">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1DD4B79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0F28253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6E3CDDF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1725" w:type="dxa"/>
            <w:shd w:val="clear" w:color="000000" w:fill="FFFFFF"/>
            <w:vAlign w:val="center"/>
          </w:tcPr>
          <w:p w14:paraId="02BEFF0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0889CDE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1304" w:type="dxa"/>
            <w:gridSpan w:val="2"/>
            <w:shd w:val="clear" w:color="000000" w:fill="FFFFFF"/>
            <w:vAlign w:val="center"/>
          </w:tcPr>
          <w:p w14:paraId="7AB3DBC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47CD6181">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14:paraId="53DBE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7F019063">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3B2EB61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08DE65D0">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033A0B7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2AB91C7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1725" w:type="dxa"/>
            <w:shd w:val="clear" w:color="000000" w:fill="FFFFFF"/>
            <w:vAlign w:val="center"/>
          </w:tcPr>
          <w:p w14:paraId="6431F5B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7B148CB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1304" w:type="dxa"/>
            <w:gridSpan w:val="2"/>
            <w:shd w:val="clear" w:color="000000" w:fill="FFFFFF"/>
            <w:vAlign w:val="center"/>
          </w:tcPr>
          <w:p w14:paraId="54B2705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23298E13">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14:paraId="209E3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659F37A2">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7A7EED86">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733C593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79CF186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1725" w:type="dxa"/>
            <w:shd w:val="clear" w:color="000000" w:fill="FFFFFF"/>
            <w:vAlign w:val="center"/>
          </w:tcPr>
          <w:p w14:paraId="4F6C8CC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1112281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1304" w:type="dxa"/>
            <w:gridSpan w:val="2"/>
            <w:shd w:val="clear" w:color="000000" w:fill="FFFFFF"/>
            <w:vAlign w:val="center"/>
          </w:tcPr>
          <w:p w14:paraId="5E820AD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63417A8E">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14:paraId="6D4E9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2F6606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1000" w:type="dxa"/>
            <w:shd w:val="clear" w:color="auto" w:fill="FFFFFF"/>
            <w:vAlign w:val="center"/>
          </w:tcPr>
          <w:p w14:paraId="0E6AA85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1071" w:type="dxa"/>
            <w:shd w:val="clear" w:color="auto" w:fill="FFFFFF"/>
            <w:vAlign w:val="center"/>
          </w:tcPr>
          <w:p w14:paraId="7035A1F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1725" w:type="dxa"/>
            <w:shd w:val="clear" w:color="000000" w:fill="FFFFFF"/>
            <w:vAlign w:val="center"/>
          </w:tcPr>
          <w:p w14:paraId="407FC59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1557E15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2E83362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73ADE7A9">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3FC7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1905FC8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0A6F80A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1071" w:type="dxa"/>
            <w:shd w:val="clear" w:color="auto" w:fill="FFFFFF"/>
            <w:vAlign w:val="center"/>
          </w:tcPr>
          <w:p w14:paraId="6BA53D6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1725" w:type="dxa"/>
            <w:shd w:val="clear" w:color="000000" w:fill="FFFFFF"/>
            <w:vAlign w:val="center"/>
          </w:tcPr>
          <w:p w14:paraId="1D24D92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64AC1B2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21614D7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60A432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297198BE">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1CE00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7FF91C1D">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5D6E46F2">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1071" w:type="dxa"/>
            <w:shd w:val="clear" w:color="auto" w:fill="FFFFFF"/>
            <w:vAlign w:val="center"/>
          </w:tcPr>
          <w:p w14:paraId="47E184B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1725" w:type="dxa"/>
            <w:shd w:val="clear" w:color="000000" w:fill="FFFFFF"/>
            <w:vAlign w:val="center"/>
          </w:tcPr>
          <w:p w14:paraId="696A910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1123F42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0D0E5A6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2211310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09586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450A4F8">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6F39EB1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1071" w:type="dxa"/>
            <w:shd w:val="clear" w:color="auto" w:fill="FFFFFF"/>
            <w:vAlign w:val="center"/>
          </w:tcPr>
          <w:p w14:paraId="250F0A6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1725" w:type="dxa"/>
            <w:shd w:val="clear" w:color="000000" w:fill="FFFFFF"/>
            <w:vAlign w:val="center"/>
          </w:tcPr>
          <w:p w14:paraId="62FF46D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30743D8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3B3B455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48224EC5">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4489C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24AD04A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1000" w:type="dxa"/>
            <w:vMerge w:val="restart"/>
            <w:shd w:val="clear" w:color="auto" w:fill="FFFFFF"/>
            <w:vAlign w:val="center"/>
          </w:tcPr>
          <w:p w14:paraId="6D46508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1071" w:type="dxa"/>
            <w:shd w:val="clear" w:color="auto" w:fill="FFFFFF"/>
            <w:vAlign w:val="center"/>
          </w:tcPr>
          <w:p w14:paraId="70E3644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1725" w:type="dxa"/>
            <w:shd w:val="clear" w:color="auto" w:fill="FFFFFF"/>
            <w:vAlign w:val="center"/>
          </w:tcPr>
          <w:p w14:paraId="384E9823">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5216" w:type="dxa"/>
            <w:shd w:val="clear" w:color="auto" w:fill="FFFFFF"/>
            <w:vAlign w:val="center"/>
          </w:tcPr>
          <w:p w14:paraId="2EBA658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516EB12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auto" w:fill="FFFFFF"/>
            <w:vAlign w:val="center"/>
          </w:tcPr>
          <w:p w14:paraId="00072A87">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AB70D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36B1519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79E8B088">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1852420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5" w:type="dxa"/>
            <w:shd w:val="clear" w:color="000000" w:fill="FFFFFF"/>
            <w:vAlign w:val="center"/>
          </w:tcPr>
          <w:p w14:paraId="1200A06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14:paraId="53BB60C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47F6EAF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632228DE">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7D8D7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7F42CD61">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shd w:val="clear" w:color="000000" w:fill="FFFFFF"/>
            <w:vAlign w:val="center"/>
          </w:tcPr>
          <w:p w14:paraId="1CDF324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shd w:val="clear" w:color="000000" w:fill="FFFFFF"/>
            <w:vAlign w:val="center"/>
          </w:tcPr>
          <w:p w14:paraId="5948769F">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p w14:paraId="02DBB2F2">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14:paraId="31194F0D">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tbl>
      <w:tblPr>
        <w:tblStyle w:val="14"/>
        <w:tblW w:w="1234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7"/>
        <w:gridCol w:w="947"/>
        <w:gridCol w:w="947"/>
        <w:gridCol w:w="971"/>
        <w:gridCol w:w="1061"/>
        <w:gridCol w:w="606"/>
        <w:gridCol w:w="1326"/>
        <w:gridCol w:w="1189"/>
        <w:gridCol w:w="760"/>
        <w:gridCol w:w="682"/>
        <w:gridCol w:w="772"/>
        <w:gridCol w:w="552"/>
        <w:gridCol w:w="626"/>
        <w:gridCol w:w="962"/>
      </w:tblGrid>
      <w:tr w14:paraId="65AF9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2348" w:type="dxa"/>
            <w:gridSpan w:val="14"/>
            <w:tcBorders>
              <w:top w:val="nil"/>
              <w:left w:val="nil"/>
              <w:bottom w:val="nil"/>
              <w:right w:val="nil"/>
            </w:tcBorders>
            <w:shd w:val="clear" w:color="auto" w:fill="auto"/>
            <w:vAlign w:val="center"/>
          </w:tcPr>
          <w:p w14:paraId="168F1C6F">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项目支出绩效自评表</w:t>
            </w:r>
          </w:p>
        </w:tc>
      </w:tr>
      <w:tr w14:paraId="59DB8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48" w:type="dxa"/>
            <w:gridSpan w:val="14"/>
            <w:tcBorders>
              <w:top w:val="nil"/>
              <w:left w:val="nil"/>
              <w:bottom w:val="nil"/>
              <w:right w:val="nil"/>
            </w:tcBorders>
            <w:shd w:val="clear" w:color="auto" w:fill="auto"/>
            <w:vAlign w:val="center"/>
          </w:tcPr>
          <w:p w14:paraId="5D974C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(2024年度)</w:t>
            </w:r>
          </w:p>
        </w:tc>
      </w:tr>
      <w:tr w14:paraId="60206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D79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项目名称</w:t>
            </w:r>
          </w:p>
        </w:tc>
        <w:tc>
          <w:tcPr>
            <w:tcW w:w="1045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ECE9A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2024年基本公共卫生服务补助资金</w:t>
            </w:r>
          </w:p>
        </w:tc>
      </w:tr>
      <w:tr w14:paraId="25311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F64D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主管部门</w:t>
            </w:r>
          </w:p>
        </w:tc>
        <w:tc>
          <w:tcPr>
            <w:tcW w:w="49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76BA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奇台县东湾镇卫生院（奇台县东湾镇人口和计划生育生殖健康服务站）</w:t>
            </w:r>
          </w:p>
        </w:tc>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C15C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实施单位</w:t>
            </w:r>
          </w:p>
        </w:tc>
        <w:tc>
          <w:tcPr>
            <w:tcW w:w="35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03C5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奇台县东湾镇卫生院（奇台县东湾镇人口和计划生育生殖健康服务站）</w:t>
            </w:r>
          </w:p>
        </w:tc>
      </w:tr>
      <w:tr w14:paraId="3935B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89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E91A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项目资金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（万元）</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7BA2E">
            <w:pPr>
              <w:jc w:val="center"/>
              <w:rPr>
                <w:rFonts w:hint="eastAsia" w:ascii="宋体" w:hAnsi="宋体" w:eastAsia="宋体" w:cs="宋体"/>
                <w:i w:val="0"/>
                <w:iCs w:val="0"/>
                <w:color w:val="auto"/>
                <w:sz w:val="20"/>
                <w:szCs w:val="20"/>
                <w:highlight w:val="none"/>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17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187E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全年预算数</w:t>
            </w:r>
          </w:p>
        </w:tc>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718B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全年执行数</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B23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11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2D9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执行率</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0A8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r>
      <w:tr w14:paraId="6A457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8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2D686">
            <w:pPr>
              <w:jc w:val="center"/>
              <w:rPr>
                <w:rFonts w:hint="eastAsia" w:ascii="宋体" w:hAnsi="宋体" w:eastAsia="宋体" w:cs="宋体"/>
                <w:i w:val="0"/>
                <w:iCs w:val="0"/>
                <w:color w:val="auto"/>
                <w:sz w:val="20"/>
                <w:szCs w:val="20"/>
                <w:highlight w:val="none"/>
                <w:u w:val="none"/>
              </w:rPr>
            </w:pP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AF81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年度资金总额</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670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55.57</w:t>
            </w:r>
          </w:p>
        </w:tc>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ABE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80.77</w:t>
            </w:r>
          </w:p>
        </w:tc>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7BE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80.77</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FA82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1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F1F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100.00%</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5F3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w:t>
            </w:r>
          </w:p>
        </w:tc>
      </w:tr>
      <w:tr w14:paraId="5743F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8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E70CE">
            <w:pPr>
              <w:jc w:val="center"/>
              <w:rPr>
                <w:rFonts w:hint="eastAsia" w:ascii="宋体" w:hAnsi="宋体" w:eastAsia="宋体" w:cs="宋体"/>
                <w:i w:val="0"/>
                <w:iCs w:val="0"/>
                <w:color w:val="auto"/>
                <w:sz w:val="20"/>
                <w:szCs w:val="20"/>
                <w:highlight w:val="none"/>
                <w:u w:val="none"/>
              </w:rPr>
            </w:pP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B1C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其中：当年财政拨款</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9FB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55.57</w:t>
            </w:r>
          </w:p>
        </w:tc>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CF74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80.77</w:t>
            </w:r>
          </w:p>
        </w:tc>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85E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80.77</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1DA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1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7A6D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84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14:paraId="52328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8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69A9D">
            <w:pPr>
              <w:jc w:val="center"/>
              <w:rPr>
                <w:rFonts w:hint="eastAsia" w:ascii="宋体" w:hAnsi="宋体" w:eastAsia="宋体" w:cs="宋体"/>
                <w:i w:val="0"/>
                <w:iCs w:val="0"/>
                <w:color w:val="auto"/>
                <w:sz w:val="20"/>
                <w:szCs w:val="20"/>
                <w:highlight w:val="none"/>
                <w:u w:val="none"/>
              </w:rPr>
            </w:pP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60C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其他资金</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24FA">
            <w:pPr>
              <w:jc w:val="center"/>
              <w:rPr>
                <w:rFonts w:hint="eastAsia" w:ascii="宋体" w:hAnsi="宋体" w:eastAsia="宋体" w:cs="宋体"/>
                <w:i w:val="0"/>
                <w:iCs w:val="0"/>
                <w:color w:val="auto"/>
                <w:sz w:val="20"/>
                <w:szCs w:val="20"/>
                <w:highlight w:val="none"/>
                <w:u w:val="none"/>
              </w:rPr>
            </w:pPr>
          </w:p>
        </w:tc>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23384">
            <w:pPr>
              <w:jc w:val="center"/>
              <w:rPr>
                <w:rFonts w:hint="eastAsia" w:ascii="宋体" w:hAnsi="宋体" w:eastAsia="宋体" w:cs="宋体"/>
                <w:i w:val="0"/>
                <w:iCs w:val="0"/>
                <w:color w:val="auto"/>
                <w:sz w:val="20"/>
                <w:szCs w:val="20"/>
                <w:highlight w:val="none"/>
                <w:u w:val="none"/>
              </w:rPr>
            </w:pPr>
          </w:p>
        </w:tc>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F53D9C">
            <w:pPr>
              <w:jc w:val="center"/>
              <w:rPr>
                <w:rFonts w:hint="eastAsia" w:ascii="宋体" w:hAnsi="宋体" w:eastAsia="宋体" w:cs="宋体"/>
                <w:i w:val="0"/>
                <w:iCs w:val="0"/>
                <w:color w:val="auto"/>
                <w:sz w:val="20"/>
                <w:szCs w:val="20"/>
                <w:highlight w:val="none"/>
                <w:u w:val="none"/>
              </w:rPr>
            </w:pP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DE1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1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F624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987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14:paraId="549E2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8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232B9">
            <w:pPr>
              <w:jc w:val="center"/>
              <w:rPr>
                <w:rFonts w:hint="eastAsia" w:ascii="宋体" w:hAnsi="宋体" w:eastAsia="宋体" w:cs="宋体"/>
                <w:i w:val="0"/>
                <w:iCs w:val="0"/>
                <w:color w:val="auto"/>
                <w:sz w:val="20"/>
                <w:szCs w:val="20"/>
                <w:highlight w:val="none"/>
                <w:u w:val="none"/>
              </w:rPr>
            </w:pP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74A46E">
            <w:pPr>
              <w:jc w:val="center"/>
              <w:rPr>
                <w:rFonts w:hint="eastAsia" w:ascii="宋体" w:hAnsi="宋体" w:eastAsia="宋体" w:cs="宋体"/>
                <w:i w:val="0"/>
                <w:iCs w:val="0"/>
                <w:color w:val="auto"/>
                <w:sz w:val="20"/>
                <w:szCs w:val="20"/>
                <w:highlight w:val="none"/>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CF63">
            <w:pPr>
              <w:jc w:val="center"/>
              <w:rPr>
                <w:rFonts w:hint="eastAsia" w:ascii="宋体" w:hAnsi="宋体" w:eastAsia="宋体" w:cs="宋体"/>
                <w:i w:val="0"/>
                <w:iCs w:val="0"/>
                <w:color w:val="auto"/>
                <w:sz w:val="20"/>
                <w:szCs w:val="20"/>
                <w:highlight w:val="none"/>
                <w:u w:val="none"/>
              </w:rPr>
            </w:pPr>
          </w:p>
        </w:tc>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B2AB2">
            <w:pPr>
              <w:jc w:val="center"/>
              <w:rPr>
                <w:rFonts w:hint="eastAsia" w:ascii="宋体" w:hAnsi="宋体" w:eastAsia="宋体" w:cs="宋体"/>
                <w:i w:val="0"/>
                <w:iCs w:val="0"/>
                <w:color w:val="auto"/>
                <w:sz w:val="20"/>
                <w:szCs w:val="20"/>
                <w:highlight w:val="none"/>
                <w:u w:val="none"/>
              </w:rPr>
            </w:pPr>
          </w:p>
        </w:tc>
        <w:tc>
          <w:tcPr>
            <w:tcW w:w="1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46CB60">
            <w:pPr>
              <w:jc w:val="center"/>
              <w:rPr>
                <w:rFonts w:hint="eastAsia" w:ascii="宋体" w:hAnsi="宋体" w:eastAsia="宋体" w:cs="宋体"/>
                <w:i w:val="0"/>
                <w:iCs w:val="0"/>
                <w:color w:val="auto"/>
                <w:sz w:val="20"/>
                <w:szCs w:val="20"/>
                <w:highlight w:val="none"/>
                <w:u w:val="none"/>
              </w:rPr>
            </w:pP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7E6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1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12D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D90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14:paraId="10C7F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913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年度总体目标</w:t>
            </w:r>
          </w:p>
        </w:tc>
        <w:tc>
          <w:tcPr>
            <w:tcW w:w="58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3A61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预期目标</w:t>
            </w:r>
          </w:p>
        </w:tc>
        <w:tc>
          <w:tcPr>
            <w:tcW w:w="55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6B1C5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实际完成情况</w:t>
            </w:r>
          </w:p>
        </w:tc>
      </w:tr>
      <w:tr w14:paraId="1282D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A725D">
            <w:pPr>
              <w:jc w:val="center"/>
              <w:rPr>
                <w:rFonts w:hint="eastAsia" w:ascii="宋体" w:hAnsi="宋体" w:eastAsia="宋体" w:cs="宋体"/>
                <w:i w:val="0"/>
                <w:iCs w:val="0"/>
                <w:color w:val="auto"/>
                <w:sz w:val="20"/>
                <w:szCs w:val="20"/>
                <w:highlight w:val="none"/>
                <w:u w:val="none"/>
              </w:rPr>
            </w:pPr>
          </w:p>
        </w:tc>
        <w:tc>
          <w:tcPr>
            <w:tcW w:w="5858"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60D5054D">
            <w:pPr>
              <w:keepNext w:val="0"/>
              <w:keepLines w:val="0"/>
              <w:widowControl/>
              <w:suppressLineNumbers w:val="0"/>
              <w:jc w:val="left"/>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为辖区内居民和企业，事业单位提供全民体健，居民健康档案，健康教育，预防接种，0-6岁儿童健康管理，孕产妇健康管理，老年人健康管理，慢性病患者健康管理，严重精神障碍患者健康管理，传染病及突发公共卫生事件报告与处理，肺结核患者健康管理，卫生计生监督协管。</w:t>
            </w:r>
          </w:p>
        </w:tc>
        <w:tc>
          <w:tcPr>
            <w:tcW w:w="5543"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666F4C9A">
            <w:pPr>
              <w:keepNext w:val="0"/>
              <w:keepLines w:val="0"/>
              <w:widowControl/>
              <w:suppressLineNumbers w:val="0"/>
              <w:jc w:val="left"/>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通过本项目的实施，促进医疗卫生质量的提升，改善群众就医局面，保障公众健康，使医院职工、提高患者满意度，为辖区内居民和企业提高服务质量。</w:t>
            </w:r>
          </w:p>
        </w:tc>
      </w:tr>
      <w:tr w14:paraId="32BD0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1490">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nil"/>
            </w:tcBorders>
            <w:shd w:val="clear" w:color="auto" w:fill="auto"/>
            <w:vAlign w:val="top"/>
          </w:tcPr>
          <w:p w14:paraId="28602324">
            <w:pPr>
              <w:jc w:val="left"/>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nil"/>
              <w:bottom w:val="single" w:color="000000" w:sz="4" w:space="0"/>
              <w:right w:val="nil"/>
            </w:tcBorders>
            <w:shd w:val="clear" w:color="auto" w:fill="auto"/>
            <w:vAlign w:val="top"/>
          </w:tcPr>
          <w:p w14:paraId="06D4E12E">
            <w:pPr>
              <w:jc w:val="left"/>
              <w:rPr>
                <w:rFonts w:hint="eastAsia" w:ascii="宋体" w:hAnsi="宋体" w:eastAsia="宋体" w:cs="宋体"/>
                <w:i w:val="0"/>
                <w:iCs w:val="0"/>
                <w:color w:val="auto"/>
                <w:sz w:val="20"/>
                <w:szCs w:val="20"/>
                <w:highlight w:val="none"/>
                <w:u w:val="none"/>
              </w:rPr>
            </w:pPr>
          </w:p>
        </w:tc>
        <w:tc>
          <w:tcPr>
            <w:tcW w:w="971" w:type="dxa"/>
            <w:tcBorders>
              <w:top w:val="single" w:color="000000" w:sz="4" w:space="0"/>
              <w:left w:val="nil"/>
              <w:bottom w:val="single" w:color="000000" w:sz="4" w:space="0"/>
              <w:right w:val="nil"/>
            </w:tcBorders>
            <w:shd w:val="clear" w:color="auto" w:fill="auto"/>
            <w:vAlign w:val="top"/>
          </w:tcPr>
          <w:p w14:paraId="53D90098">
            <w:pPr>
              <w:jc w:val="left"/>
              <w:rPr>
                <w:rFonts w:hint="eastAsia" w:ascii="宋体" w:hAnsi="宋体" w:eastAsia="宋体" w:cs="宋体"/>
                <w:i w:val="0"/>
                <w:iCs w:val="0"/>
                <w:color w:val="auto"/>
                <w:sz w:val="20"/>
                <w:szCs w:val="20"/>
                <w:highlight w:val="none"/>
                <w:u w:val="none"/>
              </w:rPr>
            </w:pPr>
          </w:p>
        </w:tc>
        <w:tc>
          <w:tcPr>
            <w:tcW w:w="1061" w:type="dxa"/>
            <w:tcBorders>
              <w:top w:val="single" w:color="000000" w:sz="4" w:space="0"/>
              <w:left w:val="nil"/>
              <w:bottom w:val="single" w:color="000000" w:sz="4" w:space="0"/>
              <w:right w:val="nil"/>
            </w:tcBorders>
            <w:shd w:val="clear" w:color="auto" w:fill="auto"/>
            <w:vAlign w:val="top"/>
          </w:tcPr>
          <w:p w14:paraId="3E097D36">
            <w:pPr>
              <w:jc w:val="left"/>
              <w:rPr>
                <w:rFonts w:hint="eastAsia" w:ascii="宋体" w:hAnsi="宋体" w:eastAsia="宋体" w:cs="宋体"/>
                <w:i w:val="0"/>
                <w:iCs w:val="0"/>
                <w:color w:val="auto"/>
                <w:sz w:val="20"/>
                <w:szCs w:val="20"/>
                <w:highlight w:val="none"/>
                <w:u w:val="none"/>
              </w:rPr>
            </w:pPr>
          </w:p>
        </w:tc>
        <w:tc>
          <w:tcPr>
            <w:tcW w:w="606" w:type="dxa"/>
            <w:tcBorders>
              <w:top w:val="single" w:color="000000" w:sz="4" w:space="0"/>
              <w:left w:val="nil"/>
              <w:bottom w:val="single" w:color="000000" w:sz="4" w:space="0"/>
              <w:right w:val="nil"/>
            </w:tcBorders>
            <w:shd w:val="clear" w:color="auto" w:fill="auto"/>
            <w:vAlign w:val="top"/>
          </w:tcPr>
          <w:p w14:paraId="55942507">
            <w:pPr>
              <w:jc w:val="left"/>
              <w:rPr>
                <w:rFonts w:hint="eastAsia" w:ascii="宋体" w:hAnsi="宋体" w:eastAsia="宋体" w:cs="宋体"/>
                <w:i w:val="0"/>
                <w:iCs w:val="0"/>
                <w:color w:val="auto"/>
                <w:sz w:val="20"/>
                <w:szCs w:val="20"/>
                <w:highlight w:val="none"/>
                <w:u w:val="none"/>
              </w:rPr>
            </w:pPr>
          </w:p>
        </w:tc>
        <w:tc>
          <w:tcPr>
            <w:tcW w:w="1326" w:type="dxa"/>
            <w:tcBorders>
              <w:top w:val="single" w:color="000000" w:sz="4" w:space="0"/>
              <w:left w:val="nil"/>
              <w:bottom w:val="single" w:color="000000" w:sz="4" w:space="0"/>
              <w:right w:val="single" w:color="000000" w:sz="4" w:space="0"/>
            </w:tcBorders>
            <w:shd w:val="clear" w:color="auto" w:fill="auto"/>
            <w:vAlign w:val="top"/>
          </w:tcPr>
          <w:p w14:paraId="262C0D32">
            <w:pPr>
              <w:jc w:val="left"/>
              <w:rPr>
                <w:rFonts w:hint="eastAsia" w:ascii="宋体" w:hAnsi="宋体" w:eastAsia="宋体" w:cs="宋体"/>
                <w:i w:val="0"/>
                <w:iCs w:val="0"/>
                <w:color w:val="auto"/>
                <w:sz w:val="20"/>
                <w:szCs w:val="20"/>
                <w:highlight w:val="none"/>
                <w:u w:val="none"/>
              </w:rPr>
            </w:pPr>
          </w:p>
        </w:tc>
        <w:tc>
          <w:tcPr>
            <w:tcW w:w="1189" w:type="dxa"/>
            <w:tcBorders>
              <w:top w:val="single" w:color="000000" w:sz="4" w:space="0"/>
              <w:left w:val="single" w:color="000000" w:sz="4" w:space="0"/>
              <w:bottom w:val="single" w:color="000000" w:sz="4" w:space="0"/>
              <w:right w:val="nil"/>
            </w:tcBorders>
            <w:shd w:val="clear" w:color="auto" w:fill="auto"/>
            <w:vAlign w:val="top"/>
          </w:tcPr>
          <w:p w14:paraId="6DD7D0FE">
            <w:pPr>
              <w:jc w:val="left"/>
              <w:rPr>
                <w:rFonts w:hint="eastAsia" w:ascii="宋体" w:hAnsi="宋体" w:eastAsia="宋体" w:cs="宋体"/>
                <w:i w:val="0"/>
                <w:iCs w:val="0"/>
                <w:color w:val="auto"/>
                <w:sz w:val="20"/>
                <w:szCs w:val="20"/>
                <w:highlight w:val="none"/>
                <w:u w:val="none"/>
              </w:rPr>
            </w:pPr>
          </w:p>
        </w:tc>
        <w:tc>
          <w:tcPr>
            <w:tcW w:w="760" w:type="dxa"/>
            <w:tcBorders>
              <w:top w:val="single" w:color="000000" w:sz="4" w:space="0"/>
              <w:left w:val="nil"/>
              <w:bottom w:val="single" w:color="000000" w:sz="4" w:space="0"/>
              <w:right w:val="nil"/>
            </w:tcBorders>
            <w:shd w:val="clear" w:color="auto" w:fill="auto"/>
            <w:vAlign w:val="top"/>
          </w:tcPr>
          <w:p w14:paraId="5E00E1CF">
            <w:pPr>
              <w:jc w:val="left"/>
              <w:rPr>
                <w:rFonts w:hint="eastAsia" w:ascii="宋体" w:hAnsi="宋体" w:eastAsia="宋体" w:cs="宋体"/>
                <w:i w:val="0"/>
                <w:iCs w:val="0"/>
                <w:color w:val="auto"/>
                <w:sz w:val="20"/>
                <w:szCs w:val="20"/>
                <w:highlight w:val="none"/>
                <w:u w:val="none"/>
              </w:rPr>
            </w:pPr>
          </w:p>
        </w:tc>
        <w:tc>
          <w:tcPr>
            <w:tcW w:w="682" w:type="dxa"/>
            <w:tcBorders>
              <w:top w:val="single" w:color="000000" w:sz="4" w:space="0"/>
              <w:left w:val="nil"/>
              <w:bottom w:val="single" w:color="000000" w:sz="4" w:space="0"/>
              <w:right w:val="nil"/>
            </w:tcBorders>
            <w:shd w:val="clear" w:color="auto" w:fill="auto"/>
            <w:vAlign w:val="top"/>
          </w:tcPr>
          <w:p w14:paraId="7A2E2944">
            <w:pPr>
              <w:jc w:val="left"/>
              <w:rPr>
                <w:rFonts w:hint="eastAsia" w:ascii="宋体" w:hAnsi="宋体" w:eastAsia="宋体" w:cs="宋体"/>
                <w:i w:val="0"/>
                <w:iCs w:val="0"/>
                <w:color w:val="auto"/>
                <w:sz w:val="20"/>
                <w:szCs w:val="20"/>
                <w:highlight w:val="none"/>
                <w:u w:val="none"/>
              </w:rPr>
            </w:pPr>
          </w:p>
        </w:tc>
        <w:tc>
          <w:tcPr>
            <w:tcW w:w="772" w:type="dxa"/>
            <w:tcBorders>
              <w:top w:val="single" w:color="000000" w:sz="4" w:space="0"/>
              <w:left w:val="nil"/>
              <w:bottom w:val="single" w:color="000000" w:sz="4" w:space="0"/>
              <w:right w:val="nil"/>
            </w:tcBorders>
            <w:shd w:val="clear" w:color="auto" w:fill="auto"/>
            <w:vAlign w:val="top"/>
          </w:tcPr>
          <w:p w14:paraId="06096C4B">
            <w:pPr>
              <w:jc w:val="left"/>
              <w:rPr>
                <w:rFonts w:hint="eastAsia" w:ascii="宋体" w:hAnsi="宋体" w:eastAsia="宋体" w:cs="宋体"/>
                <w:i w:val="0"/>
                <w:iCs w:val="0"/>
                <w:color w:val="auto"/>
                <w:sz w:val="20"/>
                <w:szCs w:val="20"/>
                <w:highlight w:val="none"/>
                <w:u w:val="none"/>
              </w:rPr>
            </w:pPr>
          </w:p>
        </w:tc>
        <w:tc>
          <w:tcPr>
            <w:tcW w:w="552" w:type="dxa"/>
            <w:tcBorders>
              <w:top w:val="single" w:color="000000" w:sz="4" w:space="0"/>
              <w:left w:val="nil"/>
              <w:bottom w:val="single" w:color="000000" w:sz="4" w:space="0"/>
              <w:right w:val="nil"/>
            </w:tcBorders>
            <w:shd w:val="clear" w:color="auto" w:fill="auto"/>
            <w:vAlign w:val="top"/>
          </w:tcPr>
          <w:p w14:paraId="106E6746">
            <w:pPr>
              <w:jc w:val="left"/>
              <w:rPr>
                <w:rFonts w:hint="eastAsia" w:ascii="宋体" w:hAnsi="宋体" w:eastAsia="宋体" w:cs="宋体"/>
                <w:i w:val="0"/>
                <w:iCs w:val="0"/>
                <w:color w:val="auto"/>
                <w:sz w:val="20"/>
                <w:szCs w:val="20"/>
                <w:highlight w:val="none"/>
                <w:u w:val="none"/>
              </w:rPr>
            </w:pPr>
          </w:p>
        </w:tc>
        <w:tc>
          <w:tcPr>
            <w:tcW w:w="626" w:type="dxa"/>
            <w:tcBorders>
              <w:top w:val="single" w:color="000000" w:sz="4" w:space="0"/>
              <w:left w:val="nil"/>
              <w:bottom w:val="single" w:color="000000" w:sz="4" w:space="0"/>
              <w:right w:val="nil"/>
            </w:tcBorders>
            <w:shd w:val="clear" w:color="auto" w:fill="auto"/>
            <w:vAlign w:val="top"/>
          </w:tcPr>
          <w:p w14:paraId="466E8BFE">
            <w:pPr>
              <w:jc w:val="left"/>
              <w:rPr>
                <w:rFonts w:hint="eastAsia" w:ascii="宋体" w:hAnsi="宋体" w:eastAsia="宋体" w:cs="宋体"/>
                <w:i w:val="0"/>
                <w:iCs w:val="0"/>
                <w:color w:val="auto"/>
                <w:sz w:val="20"/>
                <w:szCs w:val="20"/>
                <w:highlight w:val="none"/>
                <w:u w:val="none"/>
              </w:rPr>
            </w:pPr>
          </w:p>
        </w:tc>
        <w:tc>
          <w:tcPr>
            <w:tcW w:w="962" w:type="dxa"/>
            <w:tcBorders>
              <w:top w:val="single" w:color="000000" w:sz="4" w:space="0"/>
              <w:left w:val="nil"/>
              <w:bottom w:val="single" w:color="000000" w:sz="4" w:space="0"/>
              <w:right w:val="single" w:color="000000" w:sz="4" w:space="0"/>
            </w:tcBorders>
            <w:shd w:val="clear" w:color="auto" w:fill="auto"/>
            <w:vAlign w:val="top"/>
          </w:tcPr>
          <w:p w14:paraId="0769AE69">
            <w:pPr>
              <w:jc w:val="left"/>
              <w:rPr>
                <w:rFonts w:hint="eastAsia" w:ascii="宋体" w:hAnsi="宋体" w:eastAsia="宋体" w:cs="宋体"/>
                <w:i w:val="0"/>
                <w:iCs w:val="0"/>
                <w:color w:val="auto"/>
                <w:sz w:val="20"/>
                <w:szCs w:val="20"/>
                <w:highlight w:val="none"/>
                <w:u w:val="none"/>
              </w:rPr>
            </w:pPr>
          </w:p>
        </w:tc>
      </w:tr>
      <w:tr w14:paraId="089EF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6CF269">
            <w:pPr>
              <w:jc w:val="center"/>
              <w:rPr>
                <w:rFonts w:hint="eastAsia" w:ascii="宋体" w:hAnsi="宋体" w:eastAsia="宋体" w:cs="宋体"/>
                <w:i w:val="0"/>
                <w:iCs w:val="0"/>
                <w:color w:val="auto"/>
                <w:sz w:val="20"/>
                <w:szCs w:val="20"/>
                <w:highlight w:val="none"/>
                <w:u w:val="none"/>
              </w:rPr>
            </w:pP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ACC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040C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26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AAB8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C9F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年度指标值</w:t>
            </w:r>
          </w:p>
        </w:tc>
        <w:tc>
          <w:tcPr>
            <w:tcW w:w="11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570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实际完成值</w:t>
            </w:r>
          </w:p>
        </w:tc>
        <w:tc>
          <w:tcPr>
            <w:tcW w:w="14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8DA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13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9FD3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c>
          <w:tcPr>
            <w:tcW w:w="15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E69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偏差原因分析及改进措施</w:t>
            </w:r>
          </w:p>
        </w:tc>
      </w:tr>
      <w:tr w14:paraId="2DEF1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8B740">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AD24A">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CA404">
            <w:pPr>
              <w:jc w:val="center"/>
              <w:rPr>
                <w:rFonts w:hint="eastAsia" w:ascii="宋体" w:hAnsi="宋体" w:eastAsia="宋体" w:cs="宋体"/>
                <w:i w:val="0"/>
                <w:iCs w:val="0"/>
                <w:color w:val="auto"/>
                <w:sz w:val="20"/>
                <w:szCs w:val="20"/>
                <w:highlight w:val="none"/>
                <w:u w:val="none"/>
              </w:rPr>
            </w:pPr>
          </w:p>
        </w:tc>
        <w:tc>
          <w:tcPr>
            <w:tcW w:w="26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736E7">
            <w:pPr>
              <w:jc w:val="center"/>
              <w:rPr>
                <w:rFonts w:hint="eastAsia" w:ascii="宋体" w:hAnsi="宋体" w:eastAsia="宋体" w:cs="宋体"/>
                <w:i w:val="0"/>
                <w:iCs w:val="0"/>
                <w:color w:val="auto"/>
                <w:sz w:val="20"/>
                <w:szCs w:val="20"/>
                <w:highlight w:val="none"/>
                <w:u w:val="none"/>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64365">
            <w:pPr>
              <w:jc w:val="center"/>
              <w:rPr>
                <w:rFonts w:hint="eastAsia" w:ascii="宋体" w:hAnsi="宋体" w:eastAsia="宋体" w:cs="宋体"/>
                <w:i w:val="0"/>
                <w:iCs w:val="0"/>
                <w:color w:val="auto"/>
                <w:sz w:val="20"/>
                <w:szCs w:val="20"/>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11FE4">
            <w:pPr>
              <w:jc w:val="center"/>
              <w:rPr>
                <w:rFonts w:hint="eastAsia" w:ascii="宋体" w:hAnsi="宋体" w:eastAsia="宋体" w:cs="宋体"/>
                <w:i w:val="0"/>
                <w:iCs w:val="0"/>
                <w:color w:val="auto"/>
                <w:sz w:val="20"/>
                <w:szCs w:val="20"/>
                <w:highlight w:val="none"/>
                <w:u w:val="none"/>
              </w:rPr>
            </w:pPr>
          </w:p>
        </w:tc>
        <w:tc>
          <w:tcPr>
            <w:tcW w:w="14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D0A04">
            <w:pPr>
              <w:jc w:val="center"/>
              <w:rPr>
                <w:rFonts w:hint="eastAsia" w:ascii="宋体" w:hAnsi="宋体" w:eastAsia="宋体" w:cs="宋体"/>
                <w:i w:val="0"/>
                <w:iCs w:val="0"/>
                <w:color w:val="auto"/>
                <w:sz w:val="20"/>
                <w:szCs w:val="20"/>
                <w:highlight w:val="none"/>
                <w:u w:val="none"/>
              </w:rPr>
            </w:pPr>
          </w:p>
        </w:tc>
        <w:tc>
          <w:tcPr>
            <w:tcW w:w="13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E470E">
            <w:pPr>
              <w:jc w:val="center"/>
              <w:rPr>
                <w:rFonts w:hint="eastAsia" w:ascii="宋体" w:hAnsi="宋体" w:eastAsia="宋体" w:cs="宋体"/>
                <w:i w:val="0"/>
                <w:iCs w:val="0"/>
                <w:color w:val="auto"/>
                <w:sz w:val="20"/>
                <w:szCs w:val="20"/>
                <w:highlight w:val="none"/>
                <w:u w:val="none"/>
              </w:rPr>
            </w:pPr>
          </w:p>
        </w:tc>
        <w:tc>
          <w:tcPr>
            <w:tcW w:w="15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4FD5F">
            <w:pPr>
              <w:jc w:val="center"/>
              <w:rPr>
                <w:rFonts w:hint="eastAsia" w:ascii="宋体" w:hAnsi="宋体" w:eastAsia="宋体" w:cs="宋体"/>
                <w:i w:val="0"/>
                <w:iCs w:val="0"/>
                <w:color w:val="auto"/>
                <w:sz w:val="20"/>
                <w:szCs w:val="20"/>
                <w:highlight w:val="none"/>
                <w:u w:val="none"/>
              </w:rPr>
            </w:pPr>
          </w:p>
        </w:tc>
      </w:tr>
      <w:tr w14:paraId="7E2B1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1305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年度绩效指标完成情况</w:t>
            </w: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8D9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5AE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91A17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高血压患者管理人数</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71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&gt;=628人</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07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=634人</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DA5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8B72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A8C40">
            <w:pPr>
              <w:jc w:val="center"/>
              <w:rPr>
                <w:rFonts w:hint="eastAsia" w:ascii="宋体" w:hAnsi="宋体" w:eastAsia="宋体" w:cs="宋体"/>
                <w:i w:val="0"/>
                <w:iCs w:val="0"/>
                <w:color w:val="auto"/>
                <w:sz w:val="20"/>
                <w:szCs w:val="20"/>
                <w:highlight w:val="none"/>
                <w:u w:val="none"/>
              </w:rPr>
            </w:pPr>
          </w:p>
        </w:tc>
      </w:tr>
      <w:tr w14:paraId="790B3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2E205">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FD427">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688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1D7ED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居民电子健康档案建档人数</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80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&gt;=5488人</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939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=5285人</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810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D52B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FD5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原因分析：部分群众迁出东湾镇户籍，改进措施：公卫专干及时建档</w:t>
            </w:r>
          </w:p>
        </w:tc>
      </w:tr>
      <w:tr w14:paraId="515F9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FA6C3">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34AA3">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D03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98586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7岁以下儿童健康管理人数</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E7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&gt;=60人</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52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=60人</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276D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A78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7120C">
            <w:pPr>
              <w:jc w:val="center"/>
              <w:rPr>
                <w:rFonts w:hint="eastAsia" w:ascii="宋体" w:hAnsi="宋体" w:eastAsia="宋体" w:cs="宋体"/>
                <w:i w:val="0"/>
                <w:iCs w:val="0"/>
                <w:color w:val="auto"/>
                <w:sz w:val="20"/>
                <w:szCs w:val="20"/>
                <w:highlight w:val="none"/>
                <w:u w:val="none"/>
              </w:rPr>
            </w:pPr>
          </w:p>
        </w:tc>
      </w:tr>
      <w:tr w14:paraId="44DD1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C0AAD">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60901">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FD1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B9ECD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孕产妇系统管理人数</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77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&gt;=2人</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DFF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=4人</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7B0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224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4D1F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原因分析：因辖区内多增加人口故有孕产妇人员增加，改进措施：妇幼专干对孕产妇及时督促做好随访</w:t>
            </w:r>
          </w:p>
        </w:tc>
      </w:tr>
      <w:tr w14:paraId="156E2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A92CE">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1DAEA">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D2C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3ED93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2型糖尿病患者管理人数</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48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&gt;=230人</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DA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=226人</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DE6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61D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9E35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原因分析：迁出户籍患者中包含部分糖尿病患者，改进措施：公卫专干及时随访</w:t>
            </w:r>
          </w:p>
        </w:tc>
      </w:tr>
      <w:tr w14:paraId="5B6D0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3FD9F">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CDC89">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138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B7A32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老年人中医药健康管理人数</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40A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&gt;=1084人</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C2B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=896人</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9627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99B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8E5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原因分析：老年人出行不变故未能及时完成老年人中医药健康指导。改进措施：公卫专干及时做好老年人中医药健康指导。</w:t>
            </w:r>
          </w:p>
        </w:tc>
      </w:tr>
      <w:tr w14:paraId="3B4FF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BE648">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DA803">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2D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BB319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高血压患者管理率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837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&gt;=82%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39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=92.11%</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EBB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C53A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1.76</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B43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原因分析：高血压患者管理率为年度变动指标，改进措施：因加大宣传及对高血压患者等管理故高血压患者增强意识提高管理率</w:t>
            </w:r>
          </w:p>
        </w:tc>
      </w:tr>
      <w:tr w14:paraId="7412F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3865E">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D301E">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BB7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7F56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居民电子健康档案使用率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40B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&gt;=40%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6A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=83.67%</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FBD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25F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5797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原因分析：居民电子健康档案使用率为年度变动指标，改进措施：对居民健康档案加大管理及完善信息故居民健康档案管理率增高</w:t>
            </w:r>
          </w:p>
        </w:tc>
      </w:tr>
      <w:tr w14:paraId="6E90B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311FB">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51BF9">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6D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C5DF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7岁以下儿童健康管理率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24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E3F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=93.75%</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80A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9F8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1.92</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7797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原因分析：7岁以下儿童健康管理率为年度变动指标，改进措施：因加大对7岁以下儿童健康管理故7岁以下儿童健康管理率增加</w:t>
            </w:r>
          </w:p>
        </w:tc>
      </w:tr>
      <w:tr w14:paraId="322B1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433F6">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DAD69">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F8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876C6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孕产妇系统管理率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E9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850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=66.67%</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528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54D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0.7</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732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原因分析：孕产妇系统管理率为年度变动指标，改进措施：有新增孕产妇，加大宣传</w:t>
            </w:r>
          </w:p>
        </w:tc>
      </w:tr>
      <w:tr w14:paraId="44722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6A4E7">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36B29">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727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DAD5E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2型糖尿病患者管理率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C2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&gt;=82%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77C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=92.92%</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B13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99A7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1.74</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4AAD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原因分析：2型糖尿病患者管理率为年度变动指标，改进措施：加大对2型糖尿病患者宣传及管理</w:t>
            </w:r>
          </w:p>
        </w:tc>
      </w:tr>
      <w:tr w14:paraId="3E882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3FBD0">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4E1CE">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ED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62BC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老年人中医药管理率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119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01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=89.78%</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FCC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177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1.95</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DE21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原因分析：老年人中医药管理率为年度变动指标，改进措施：因加大对老年人中医药管理宣传及管理故今年老年人中医药管理率</w:t>
            </w:r>
          </w:p>
        </w:tc>
      </w:tr>
      <w:tr w14:paraId="3F4EB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A94CC">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57F11">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C7B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FA69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资金发放及时率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93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29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58F6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4F2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1.78</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1E9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因年初未完全支付完毕故资金发放及时率未达标，但年底已全部发放</w:t>
            </w:r>
          </w:p>
        </w:tc>
      </w:tr>
      <w:tr w14:paraId="57D5D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742ED">
            <w:pPr>
              <w:jc w:val="center"/>
              <w:rPr>
                <w:rFonts w:hint="eastAsia" w:ascii="宋体" w:hAnsi="宋体" w:eastAsia="宋体" w:cs="宋体"/>
                <w:i w:val="0"/>
                <w:iCs w:val="0"/>
                <w:color w:val="auto"/>
                <w:sz w:val="20"/>
                <w:szCs w:val="20"/>
                <w:highlight w:val="none"/>
                <w:u w:val="none"/>
              </w:rPr>
            </w:pP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7E87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9C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5F69A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项目预算控制率</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6B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&lt;=100%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52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3BB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50A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4DFF9E">
            <w:pPr>
              <w:jc w:val="center"/>
              <w:rPr>
                <w:rFonts w:hint="eastAsia" w:ascii="宋体" w:hAnsi="宋体" w:eastAsia="宋体" w:cs="宋体"/>
                <w:i w:val="0"/>
                <w:iCs w:val="0"/>
                <w:color w:val="auto"/>
                <w:sz w:val="20"/>
                <w:szCs w:val="20"/>
                <w:highlight w:val="none"/>
                <w:u w:val="none"/>
              </w:rPr>
            </w:pPr>
          </w:p>
        </w:tc>
      </w:tr>
      <w:tr w14:paraId="06617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335B6">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DCE40">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FA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社会成本指标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5F6973">
            <w:pPr>
              <w:jc w:val="left"/>
              <w:rPr>
                <w:rFonts w:hint="eastAsia" w:ascii="宋体" w:hAnsi="宋体" w:eastAsia="宋体" w:cs="宋体"/>
                <w:i w:val="0"/>
                <w:iCs w:val="0"/>
                <w:color w:val="auto"/>
                <w:sz w:val="20"/>
                <w:szCs w:val="20"/>
                <w:highlight w:val="none"/>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63EB">
            <w:pPr>
              <w:jc w:val="center"/>
              <w:rPr>
                <w:rFonts w:hint="eastAsia" w:ascii="宋体" w:hAnsi="宋体" w:eastAsia="宋体" w:cs="宋体"/>
                <w:i w:val="0"/>
                <w:iCs w:val="0"/>
                <w:color w:val="auto"/>
                <w:sz w:val="20"/>
                <w:szCs w:val="20"/>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8743">
            <w:pPr>
              <w:jc w:val="center"/>
              <w:rPr>
                <w:rFonts w:hint="eastAsia" w:ascii="宋体" w:hAnsi="宋体" w:eastAsia="宋体" w:cs="宋体"/>
                <w:i w:val="0"/>
                <w:iCs w:val="0"/>
                <w:color w:val="auto"/>
                <w:sz w:val="20"/>
                <w:szCs w:val="20"/>
                <w:highlight w:val="none"/>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9EAD9">
            <w:pPr>
              <w:jc w:val="center"/>
              <w:rPr>
                <w:rFonts w:hint="eastAsia" w:ascii="宋体" w:hAnsi="宋体" w:eastAsia="宋体" w:cs="宋体"/>
                <w:i w:val="0"/>
                <w:iCs w:val="0"/>
                <w:color w:val="auto"/>
                <w:sz w:val="20"/>
                <w:szCs w:val="20"/>
                <w:highlight w:val="none"/>
                <w:u w:val="none"/>
              </w:rPr>
            </w:pP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ABE261">
            <w:pPr>
              <w:jc w:val="center"/>
              <w:rPr>
                <w:rFonts w:hint="eastAsia" w:ascii="宋体" w:hAnsi="宋体" w:eastAsia="宋体" w:cs="宋体"/>
                <w:i w:val="0"/>
                <w:iCs w:val="0"/>
                <w:color w:val="auto"/>
                <w:sz w:val="20"/>
                <w:szCs w:val="20"/>
                <w:highlight w:val="none"/>
                <w:u w:val="none"/>
              </w:rPr>
            </w:pP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8A6734">
            <w:pPr>
              <w:jc w:val="center"/>
              <w:rPr>
                <w:rFonts w:hint="eastAsia" w:ascii="宋体" w:hAnsi="宋体" w:eastAsia="宋体" w:cs="宋体"/>
                <w:i w:val="0"/>
                <w:iCs w:val="0"/>
                <w:color w:val="auto"/>
                <w:sz w:val="20"/>
                <w:szCs w:val="20"/>
                <w:highlight w:val="none"/>
                <w:u w:val="none"/>
              </w:rPr>
            </w:pPr>
          </w:p>
        </w:tc>
      </w:tr>
      <w:tr w14:paraId="165AA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3C111">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4DB15">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3D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生态环境成本指标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D9C2D8">
            <w:pPr>
              <w:jc w:val="left"/>
              <w:rPr>
                <w:rFonts w:hint="eastAsia" w:ascii="宋体" w:hAnsi="宋体" w:eastAsia="宋体" w:cs="宋体"/>
                <w:i w:val="0"/>
                <w:iCs w:val="0"/>
                <w:color w:val="auto"/>
                <w:sz w:val="20"/>
                <w:szCs w:val="20"/>
                <w:highlight w:val="none"/>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39721">
            <w:pPr>
              <w:jc w:val="center"/>
              <w:rPr>
                <w:rFonts w:hint="eastAsia" w:ascii="宋体" w:hAnsi="宋体" w:eastAsia="宋体" w:cs="宋体"/>
                <w:i w:val="0"/>
                <w:iCs w:val="0"/>
                <w:color w:val="auto"/>
                <w:sz w:val="20"/>
                <w:szCs w:val="20"/>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D78A">
            <w:pPr>
              <w:jc w:val="center"/>
              <w:rPr>
                <w:rFonts w:hint="eastAsia" w:ascii="宋体" w:hAnsi="宋体" w:eastAsia="宋体" w:cs="宋体"/>
                <w:i w:val="0"/>
                <w:iCs w:val="0"/>
                <w:color w:val="auto"/>
                <w:sz w:val="20"/>
                <w:szCs w:val="20"/>
                <w:highlight w:val="none"/>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48082">
            <w:pPr>
              <w:jc w:val="center"/>
              <w:rPr>
                <w:rFonts w:hint="eastAsia" w:ascii="宋体" w:hAnsi="宋体" w:eastAsia="宋体" w:cs="宋体"/>
                <w:i w:val="0"/>
                <w:iCs w:val="0"/>
                <w:color w:val="auto"/>
                <w:sz w:val="20"/>
                <w:szCs w:val="20"/>
                <w:highlight w:val="none"/>
                <w:u w:val="none"/>
              </w:rPr>
            </w:pP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AEBD0">
            <w:pPr>
              <w:jc w:val="center"/>
              <w:rPr>
                <w:rFonts w:hint="eastAsia" w:ascii="宋体" w:hAnsi="宋体" w:eastAsia="宋体" w:cs="宋体"/>
                <w:i w:val="0"/>
                <w:iCs w:val="0"/>
                <w:color w:val="auto"/>
                <w:sz w:val="20"/>
                <w:szCs w:val="20"/>
                <w:highlight w:val="none"/>
                <w:u w:val="none"/>
              </w:rPr>
            </w:pP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446F4">
            <w:pPr>
              <w:jc w:val="center"/>
              <w:rPr>
                <w:rFonts w:hint="eastAsia" w:ascii="宋体" w:hAnsi="宋体" w:eastAsia="宋体" w:cs="宋体"/>
                <w:i w:val="0"/>
                <w:iCs w:val="0"/>
                <w:color w:val="auto"/>
                <w:sz w:val="20"/>
                <w:szCs w:val="20"/>
                <w:highlight w:val="none"/>
                <w:u w:val="none"/>
              </w:rPr>
            </w:pPr>
          </w:p>
        </w:tc>
      </w:tr>
      <w:tr w14:paraId="50778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0A9E3">
            <w:pPr>
              <w:jc w:val="center"/>
              <w:rPr>
                <w:rFonts w:hint="eastAsia" w:ascii="宋体" w:hAnsi="宋体" w:eastAsia="宋体" w:cs="宋体"/>
                <w:i w:val="0"/>
                <w:iCs w:val="0"/>
                <w:color w:val="auto"/>
                <w:sz w:val="20"/>
                <w:szCs w:val="20"/>
                <w:highlight w:val="none"/>
                <w:u w:val="none"/>
              </w:rPr>
            </w:pP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6A76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33E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经济效益指标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5EE1B0">
            <w:pPr>
              <w:jc w:val="left"/>
              <w:rPr>
                <w:rFonts w:hint="eastAsia" w:ascii="宋体" w:hAnsi="宋体" w:eastAsia="宋体" w:cs="宋体"/>
                <w:i w:val="0"/>
                <w:iCs w:val="0"/>
                <w:color w:val="auto"/>
                <w:sz w:val="20"/>
                <w:szCs w:val="20"/>
                <w:highlight w:val="none"/>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A1BA">
            <w:pPr>
              <w:jc w:val="center"/>
              <w:rPr>
                <w:rFonts w:hint="eastAsia" w:ascii="宋体" w:hAnsi="宋体" w:eastAsia="宋体" w:cs="宋体"/>
                <w:i w:val="0"/>
                <w:iCs w:val="0"/>
                <w:color w:val="auto"/>
                <w:sz w:val="20"/>
                <w:szCs w:val="20"/>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ECFF">
            <w:pPr>
              <w:jc w:val="center"/>
              <w:rPr>
                <w:rFonts w:hint="eastAsia" w:ascii="宋体" w:hAnsi="宋体" w:eastAsia="宋体" w:cs="宋体"/>
                <w:i w:val="0"/>
                <w:iCs w:val="0"/>
                <w:color w:val="auto"/>
                <w:sz w:val="20"/>
                <w:szCs w:val="20"/>
                <w:highlight w:val="none"/>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7189EB">
            <w:pPr>
              <w:jc w:val="center"/>
              <w:rPr>
                <w:rFonts w:hint="eastAsia" w:ascii="宋体" w:hAnsi="宋体" w:eastAsia="宋体" w:cs="宋体"/>
                <w:i w:val="0"/>
                <w:iCs w:val="0"/>
                <w:color w:val="auto"/>
                <w:sz w:val="20"/>
                <w:szCs w:val="20"/>
                <w:highlight w:val="none"/>
                <w:u w:val="none"/>
              </w:rPr>
            </w:pP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1F4BFD">
            <w:pPr>
              <w:jc w:val="center"/>
              <w:rPr>
                <w:rFonts w:hint="eastAsia" w:ascii="宋体" w:hAnsi="宋体" w:eastAsia="宋体" w:cs="宋体"/>
                <w:i w:val="0"/>
                <w:iCs w:val="0"/>
                <w:color w:val="auto"/>
                <w:sz w:val="20"/>
                <w:szCs w:val="20"/>
                <w:highlight w:val="none"/>
                <w:u w:val="none"/>
              </w:rPr>
            </w:pP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C7AA0C">
            <w:pPr>
              <w:jc w:val="center"/>
              <w:rPr>
                <w:rFonts w:hint="eastAsia" w:ascii="宋体" w:hAnsi="宋体" w:eastAsia="宋体" w:cs="宋体"/>
                <w:i w:val="0"/>
                <w:iCs w:val="0"/>
                <w:color w:val="auto"/>
                <w:sz w:val="20"/>
                <w:szCs w:val="20"/>
                <w:highlight w:val="none"/>
                <w:u w:val="none"/>
              </w:rPr>
            </w:pPr>
          </w:p>
        </w:tc>
      </w:tr>
      <w:tr w14:paraId="29377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59758">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8A90D">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9A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53009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缩小城乡居民公共卫生差距</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6E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不断缩小</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8C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不断缩小</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F6E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92D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87C613">
            <w:pPr>
              <w:jc w:val="center"/>
              <w:rPr>
                <w:rFonts w:hint="eastAsia" w:ascii="宋体" w:hAnsi="宋体" w:eastAsia="宋体" w:cs="宋体"/>
                <w:i w:val="0"/>
                <w:iCs w:val="0"/>
                <w:color w:val="auto"/>
                <w:sz w:val="20"/>
                <w:szCs w:val="20"/>
                <w:highlight w:val="none"/>
                <w:u w:val="none"/>
              </w:rPr>
            </w:pPr>
          </w:p>
        </w:tc>
      </w:tr>
      <w:tr w14:paraId="11FF4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3C6E3">
            <w:pPr>
              <w:jc w:val="center"/>
              <w:rPr>
                <w:rFonts w:hint="eastAsia" w:ascii="宋体" w:hAnsi="宋体" w:eastAsia="宋体" w:cs="宋体"/>
                <w:i w:val="0"/>
                <w:iCs w:val="0"/>
                <w:color w:val="auto"/>
                <w:sz w:val="20"/>
                <w:szCs w:val="20"/>
                <w:highlight w:val="none"/>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7AB9D">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068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生态效益指标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E4099A">
            <w:pPr>
              <w:jc w:val="left"/>
              <w:rPr>
                <w:rFonts w:hint="eastAsia" w:ascii="宋体" w:hAnsi="宋体" w:eastAsia="宋体" w:cs="宋体"/>
                <w:i w:val="0"/>
                <w:iCs w:val="0"/>
                <w:color w:val="auto"/>
                <w:sz w:val="20"/>
                <w:szCs w:val="20"/>
                <w:highlight w:val="none"/>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94F2">
            <w:pPr>
              <w:jc w:val="center"/>
              <w:rPr>
                <w:rFonts w:hint="eastAsia" w:ascii="宋体" w:hAnsi="宋体" w:eastAsia="宋体" w:cs="宋体"/>
                <w:i w:val="0"/>
                <w:iCs w:val="0"/>
                <w:color w:val="auto"/>
                <w:sz w:val="20"/>
                <w:szCs w:val="20"/>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11FE">
            <w:pPr>
              <w:jc w:val="center"/>
              <w:rPr>
                <w:rFonts w:hint="eastAsia" w:ascii="宋体" w:hAnsi="宋体" w:eastAsia="宋体" w:cs="宋体"/>
                <w:i w:val="0"/>
                <w:iCs w:val="0"/>
                <w:color w:val="auto"/>
                <w:sz w:val="20"/>
                <w:szCs w:val="20"/>
                <w:highlight w:val="none"/>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51C80">
            <w:pPr>
              <w:jc w:val="center"/>
              <w:rPr>
                <w:rFonts w:hint="eastAsia" w:ascii="宋体" w:hAnsi="宋体" w:eastAsia="宋体" w:cs="宋体"/>
                <w:i w:val="0"/>
                <w:iCs w:val="0"/>
                <w:color w:val="auto"/>
                <w:sz w:val="20"/>
                <w:szCs w:val="20"/>
                <w:highlight w:val="none"/>
                <w:u w:val="none"/>
              </w:rPr>
            </w:pP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5DF78D">
            <w:pPr>
              <w:jc w:val="center"/>
              <w:rPr>
                <w:rFonts w:hint="eastAsia" w:ascii="宋体" w:hAnsi="宋体" w:eastAsia="宋体" w:cs="宋体"/>
                <w:i w:val="0"/>
                <w:iCs w:val="0"/>
                <w:color w:val="auto"/>
                <w:sz w:val="20"/>
                <w:szCs w:val="20"/>
                <w:highlight w:val="none"/>
                <w:u w:val="none"/>
              </w:rPr>
            </w:pP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7CD121">
            <w:pPr>
              <w:jc w:val="center"/>
              <w:rPr>
                <w:rFonts w:hint="eastAsia" w:ascii="宋体" w:hAnsi="宋体" w:eastAsia="宋体" w:cs="宋体"/>
                <w:i w:val="0"/>
                <w:iCs w:val="0"/>
                <w:color w:val="auto"/>
                <w:sz w:val="20"/>
                <w:szCs w:val="20"/>
                <w:highlight w:val="none"/>
                <w:u w:val="none"/>
              </w:rPr>
            </w:pPr>
          </w:p>
        </w:tc>
      </w:tr>
      <w:tr w14:paraId="24FFF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CA9CE">
            <w:pPr>
              <w:jc w:val="center"/>
              <w:rPr>
                <w:rFonts w:hint="eastAsia" w:ascii="宋体" w:hAnsi="宋体" w:eastAsia="宋体" w:cs="宋体"/>
                <w:i w:val="0"/>
                <w:iCs w:val="0"/>
                <w:color w:val="auto"/>
                <w:sz w:val="20"/>
                <w:szCs w:val="20"/>
                <w:highlight w:val="none"/>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D35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CAA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61483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B3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01C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=90%</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2D3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38C2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BF4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加强对辖区居民患者的服务质量故提高患者满意度。</w:t>
            </w:r>
          </w:p>
        </w:tc>
      </w:tr>
      <w:tr w14:paraId="3C8AC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9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8F859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总分</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697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3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FA8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89.45分</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4F4744">
            <w:pPr>
              <w:jc w:val="center"/>
              <w:rPr>
                <w:rFonts w:hint="eastAsia" w:ascii="宋体" w:hAnsi="宋体" w:eastAsia="宋体" w:cs="宋体"/>
                <w:i w:val="0"/>
                <w:iCs w:val="0"/>
                <w:color w:val="auto"/>
                <w:sz w:val="20"/>
                <w:szCs w:val="20"/>
                <w:highlight w:val="none"/>
                <w:u w:val="none"/>
              </w:rPr>
            </w:pPr>
          </w:p>
        </w:tc>
      </w:tr>
    </w:tbl>
    <w:p w14:paraId="1DCF132E">
      <w:pPr>
        <w:rPr>
          <w:rFonts w:hint="default" w:ascii="Times New Roman" w:hAnsi="Times New Roman" w:cs="Times New Roman"/>
          <w:color w:val="auto"/>
          <w:highlight w:val="none"/>
        </w:rPr>
      </w:pPr>
    </w:p>
    <w:bookmarkEnd w:id="9"/>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6018"/>
    </w:sdtPr>
    <w:sdtContent>
      <w:p w14:paraId="5CC86988">
        <w:pPr>
          <w:pStyle w:val="7"/>
          <w:jc w:val="center"/>
        </w:pPr>
        <w:r>
          <w:fldChar w:fldCharType="begin"/>
        </w:r>
        <w:r>
          <w:instrText xml:space="preserve">PAGE   \* MERGEFORMAT</w:instrText>
        </w:r>
        <w:r>
          <w:fldChar w:fldCharType="separate"/>
        </w:r>
        <w:r>
          <w:rPr>
            <w:lang w:val="zh-CN"/>
          </w:rPr>
          <w:t>13</w:t>
        </w:r>
        <w:r>
          <w:fldChar w:fldCharType="end"/>
        </w:r>
      </w:p>
    </w:sdtContent>
  </w:sdt>
  <w:p w14:paraId="6B31C19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5DE3535">
        <w:pPr>
          <w:pStyle w:val="7"/>
          <w:jc w:val="center"/>
        </w:pPr>
        <w:r>
          <w:fldChar w:fldCharType="begin"/>
        </w:r>
        <w:r>
          <w:instrText xml:space="preserve">PAGE   \* MERGEFORMAT</w:instrText>
        </w:r>
        <w:r>
          <w:fldChar w:fldCharType="separate"/>
        </w:r>
        <w:r>
          <w:rPr>
            <w:lang w:val="zh-CN"/>
          </w:rPr>
          <w:t>13</w:t>
        </w:r>
        <w:r>
          <w:fldChar w:fldCharType="end"/>
        </w:r>
      </w:p>
    </w:sdtContent>
  </w:sdt>
  <w:p w14:paraId="43CC653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E29099"/>
    <w:multiLevelType w:val="singleLevel"/>
    <w:tmpl w:val="E6E29099"/>
    <w:lvl w:ilvl="0" w:tentative="0">
      <w:start w:val="2"/>
      <w:numFmt w:val="decimal"/>
      <w:lvlText w:val="%1."/>
      <w:lvlJc w:val="left"/>
      <w:pPr>
        <w:tabs>
          <w:tab w:val="left" w:pos="312"/>
        </w:tabs>
      </w:p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6F7242"/>
    <w:rsid w:val="007B168A"/>
    <w:rsid w:val="008B2CFE"/>
    <w:rsid w:val="00F26FF6"/>
    <w:rsid w:val="01170C55"/>
    <w:rsid w:val="01610122"/>
    <w:rsid w:val="01BB4D72"/>
    <w:rsid w:val="02510197"/>
    <w:rsid w:val="03EC461B"/>
    <w:rsid w:val="04785EAF"/>
    <w:rsid w:val="04814D63"/>
    <w:rsid w:val="063A455A"/>
    <w:rsid w:val="071A5591"/>
    <w:rsid w:val="07397B77"/>
    <w:rsid w:val="090146C5"/>
    <w:rsid w:val="090E7F03"/>
    <w:rsid w:val="0AD007F3"/>
    <w:rsid w:val="0B61769D"/>
    <w:rsid w:val="0C7931C8"/>
    <w:rsid w:val="0D082A6E"/>
    <w:rsid w:val="0E3C619F"/>
    <w:rsid w:val="0F0F1A28"/>
    <w:rsid w:val="0F6273CA"/>
    <w:rsid w:val="100F38EC"/>
    <w:rsid w:val="11170296"/>
    <w:rsid w:val="127E0B34"/>
    <w:rsid w:val="12C66037"/>
    <w:rsid w:val="12CD1ABC"/>
    <w:rsid w:val="13471461"/>
    <w:rsid w:val="13B90F01"/>
    <w:rsid w:val="13BD3445"/>
    <w:rsid w:val="155E4C4D"/>
    <w:rsid w:val="17AF62C3"/>
    <w:rsid w:val="1807337A"/>
    <w:rsid w:val="181066D2"/>
    <w:rsid w:val="19E3672D"/>
    <w:rsid w:val="1B5C39DD"/>
    <w:rsid w:val="1BA46830"/>
    <w:rsid w:val="1C671E73"/>
    <w:rsid w:val="1C786BAD"/>
    <w:rsid w:val="1D322C47"/>
    <w:rsid w:val="2059498F"/>
    <w:rsid w:val="21026DD4"/>
    <w:rsid w:val="22290DFD"/>
    <w:rsid w:val="23616034"/>
    <w:rsid w:val="23696C97"/>
    <w:rsid w:val="24480FA2"/>
    <w:rsid w:val="25227A45"/>
    <w:rsid w:val="26233A75"/>
    <w:rsid w:val="26AC3A6A"/>
    <w:rsid w:val="2A4627FD"/>
    <w:rsid w:val="2B2E37CA"/>
    <w:rsid w:val="2B9D7E25"/>
    <w:rsid w:val="2BF043F9"/>
    <w:rsid w:val="2C7C7A3B"/>
    <w:rsid w:val="2D0C66D1"/>
    <w:rsid w:val="2F364819"/>
    <w:rsid w:val="2F971030"/>
    <w:rsid w:val="2FD63906"/>
    <w:rsid w:val="356D0868"/>
    <w:rsid w:val="37215DAE"/>
    <w:rsid w:val="38CA40DD"/>
    <w:rsid w:val="39184519"/>
    <w:rsid w:val="395F2B56"/>
    <w:rsid w:val="3B482032"/>
    <w:rsid w:val="3BBA0580"/>
    <w:rsid w:val="3BECE841"/>
    <w:rsid w:val="3C616C4D"/>
    <w:rsid w:val="3CDE204C"/>
    <w:rsid w:val="3D363C36"/>
    <w:rsid w:val="3E9C3F6D"/>
    <w:rsid w:val="3FF7797D"/>
    <w:rsid w:val="42F16CBA"/>
    <w:rsid w:val="45837C34"/>
    <w:rsid w:val="46001285"/>
    <w:rsid w:val="46690BD8"/>
    <w:rsid w:val="46E44703"/>
    <w:rsid w:val="4815417E"/>
    <w:rsid w:val="49F70BF1"/>
    <w:rsid w:val="4B4340EE"/>
    <w:rsid w:val="4C6C1422"/>
    <w:rsid w:val="503D507A"/>
    <w:rsid w:val="51FA74D0"/>
    <w:rsid w:val="52AA4A52"/>
    <w:rsid w:val="539D3AD1"/>
    <w:rsid w:val="53B31050"/>
    <w:rsid w:val="5709082A"/>
    <w:rsid w:val="596D67DA"/>
    <w:rsid w:val="59943D66"/>
    <w:rsid w:val="59E051FD"/>
    <w:rsid w:val="59E6355E"/>
    <w:rsid w:val="5A924909"/>
    <w:rsid w:val="5AE0248D"/>
    <w:rsid w:val="5B821531"/>
    <w:rsid w:val="5BFF6039"/>
    <w:rsid w:val="5CEE7C31"/>
    <w:rsid w:val="5D76A616"/>
    <w:rsid w:val="5D7F20B9"/>
    <w:rsid w:val="5DAC7D0E"/>
    <w:rsid w:val="5E3007C7"/>
    <w:rsid w:val="5F98B5AF"/>
    <w:rsid w:val="5FFE8511"/>
    <w:rsid w:val="5FFEACE2"/>
    <w:rsid w:val="609D5BF6"/>
    <w:rsid w:val="61073070"/>
    <w:rsid w:val="61B9080E"/>
    <w:rsid w:val="61DF3FED"/>
    <w:rsid w:val="62606CE8"/>
    <w:rsid w:val="63264D39"/>
    <w:rsid w:val="642B176B"/>
    <w:rsid w:val="643EE26D"/>
    <w:rsid w:val="656019A0"/>
    <w:rsid w:val="65C11E95"/>
    <w:rsid w:val="65F242EE"/>
    <w:rsid w:val="666D7E19"/>
    <w:rsid w:val="67087B42"/>
    <w:rsid w:val="68376930"/>
    <w:rsid w:val="68F91E38"/>
    <w:rsid w:val="6B3158B9"/>
    <w:rsid w:val="6BA02A3F"/>
    <w:rsid w:val="6C105349"/>
    <w:rsid w:val="6C1E5A53"/>
    <w:rsid w:val="6F085D07"/>
    <w:rsid w:val="6F5C41AC"/>
    <w:rsid w:val="6FAF6C78"/>
    <w:rsid w:val="716167CC"/>
    <w:rsid w:val="718A7AD1"/>
    <w:rsid w:val="71956476"/>
    <w:rsid w:val="72A44BC2"/>
    <w:rsid w:val="72D8162E"/>
    <w:rsid w:val="7317C656"/>
    <w:rsid w:val="731C4CEB"/>
    <w:rsid w:val="734ED73F"/>
    <w:rsid w:val="73722430"/>
    <w:rsid w:val="73BD0C67"/>
    <w:rsid w:val="73C82B32"/>
    <w:rsid w:val="73F94DAE"/>
    <w:rsid w:val="74220495"/>
    <w:rsid w:val="747D1B6F"/>
    <w:rsid w:val="749E5641"/>
    <w:rsid w:val="75ED6880"/>
    <w:rsid w:val="76271066"/>
    <w:rsid w:val="766F489C"/>
    <w:rsid w:val="77FD8BE9"/>
    <w:rsid w:val="78000AED"/>
    <w:rsid w:val="78036054"/>
    <w:rsid w:val="79A9BD3F"/>
    <w:rsid w:val="7AC5270E"/>
    <w:rsid w:val="7B776F12"/>
    <w:rsid w:val="7BFFFDD0"/>
    <w:rsid w:val="7C336E5F"/>
    <w:rsid w:val="7C8D4919"/>
    <w:rsid w:val="7D7A5F86"/>
    <w:rsid w:val="7E1A042F"/>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34</Pages>
  <Words>13318</Words>
  <Characters>14008</Characters>
  <Lines>58</Lines>
  <Paragraphs>16</Paragraphs>
  <TotalTime>24</TotalTime>
  <ScaleCrop>false</ScaleCrop>
  <LinksUpToDate>false</LinksUpToDate>
  <CharactersWithSpaces>14050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W.w</cp:lastModifiedBy>
  <dcterms:modified xsi:type="dcterms:W3CDTF">2025-09-19T09:14:00Z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499A60FFF2B746C98BEACCA68D59CAEB_13</vt:lpwstr>
  </property>
  <property fmtid="{D5CDD505-2E9C-101B-9397-08002B2CF9AE}" pid="4" name="KSOTemplateDocerSaveRecord">
    <vt:lpwstr>eyJoZGlkIjoiY2UxYTY5Njg0NWU1NDU5MmE3NzhjZDNiMDAyZDZjNWUiLCJ1c2VySWQiOiIxMTEwNzY4OCJ9</vt:lpwstr>
  </property>
</Properties>
</file>