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2C887">
      <w:pPr>
        <w:spacing w:line="540" w:lineRule="exact"/>
        <w:jc w:val="center"/>
        <w:rPr>
          <w:rFonts w:hint="default" w:ascii="Times New Roman" w:hAnsi="Times New Roman" w:eastAsia="华文中宋" w:cs="Times New Roman"/>
          <w:b/>
          <w:kern w:val="0"/>
          <w:sz w:val="52"/>
          <w:szCs w:val="52"/>
        </w:rPr>
      </w:pPr>
    </w:p>
    <w:p w14:paraId="28A92FCE">
      <w:pPr>
        <w:spacing w:line="540" w:lineRule="exact"/>
        <w:rPr>
          <w:rFonts w:hint="default" w:ascii="Times New Roman" w:hAnsi="Times New Roman" w:eastAsia="华文中宋" w:cs="Times New Roman"/>
          <w:b/>
          <w:kern w:val="0"/>
          <w:sz w:val="52"/>
          <w:szCs w:val="52"/>
        </w:rPr>
      </w:pPr>
    </w:p>
    <w:p w14:paraId="5DBC9A31">
      <w:pPr>
        <w:spacing w:line="540" w:lineRule="exact"/>
        <w:jc w:val="center"/>
        <w:rPr>
          <w:rFonts w:hint="default" w:ascii="Times New Roman" w:hAnsi="Times New Roman" w:eastAsia="华文中宋" w:cs="Times New Roman"/>
          <w:b/>
          <w:kern w:val="0"/>
          <w:sz w:val="52"/>
          <w:szCs w:val="52"/>
        </w:rPr>
      </w:pPr>
    </w:p>
    <w:p w14:paraId="38347568">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关于东湾镇文化活动经费，中央政法纪检监察经费，技术服务费，维修费运转类经费项目支出绩效评价</w:t>
      </w:r>
    </w:p>
    <w:p w14:paraId="45FE7C67">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14:paraId="6C246BB9">
      <w:pPr>
        <w:spacing w:line="540" w:lineRule="exact"/>
        <w:jc w:val="center"/>
        <w:rPr>
          <w:rFonts w:hint="default" w:ascii="Times New Roman" w:hAnsi="Times New Roman" w:eastAsia="华文中宋" w:cs="Times New Roman"/>
          <w:b/>
          <w:kern w:val="0"/>
          <w:sz w:val="52"/>
          <w:szCs w:val="52"/>
        </w:rPr>
      </w:pPr>
    </w:p>
    <w:p w14:paraId="32B536C1">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27B0C573">
      <w:pPr>
        <w:spacing w:line="540" w:lineRule="exact"/>
        <w:jc w:val="center"/>
        <w:rPr>
          <w:rFonts w:hint="default" w:ascii="Times New Roman" w:hAnsi="Times New Roman" w:eastAsia="仿宋_GB2312" w:cs="Times New Roman"/>
          <w:kern w:val="0"/>
          <w:sz w:val="30"/>
          <w:szCs w:val="30"/>
        </w:rPr>
      </w:pPr>
    </w:p>
    <w:p w14:paraId="47FED8D8">
      <w:pPr>
        <w:spacing w:line="540" w:lineRule="exact"/>
        <w:jc w:val="center"/>
        <w:rPr>
          <w:rFonts w:hint="default" w:ascii="Times New Roman" w:hAnsi="Times New Roman" w:eastAsia="仿宋_GB2312" w:cs="Times New Roman"/>
          <w:kern w:val="0"/>
          <w:sz w:val="30"/>
          <w:szCs w:val="30"/>
        </w:rPr>
      </w:pPr>
    </w:p>
    <w:p w14:paraId="71F0A534">
      <w:pPr>
        <w:spacing w:line="540" w:lineRule="exact"/>
        <w:jc w:val="center"/>
        <w:rPr>
          <w:rFonts w:hint="default" w:ascii="Times New Roman" w:hAnsi="Times New Roman" w:eastAsia="仿宋_GB2312" w:cs="Times New Roman"/>
          <w:kern w:val="0"/>
          <w:sz w:val="30"/>
          <w:szCs w:val="30"/>
        </w:rPr>
      </w:pPr>
    </w:p>
    <w:p w14:paraId="1770DE5D">
      <w:pPr>
        <w:pStyle w:val="10"/>
        <w:rPr>
          <w:rFonts w:hint="default" w:ascii="Times New Roman" w:hAnsi="Times New Roman" w:cs="Times New Roman"/>
        </w:rPr>
      </w:pPr>
    </w:p>
    <w:p w14:paraId="1C08103F">
      <w:pPr>
        <w:spacing w:line="540" w:lineRule="exact"/>
        <w:jc w:val="center"/>
        <w:rPr>
          <w:rFonts w:hint="default" w:ascii="Times New Roman" w:hAnsi="Times New Roman" w:eastAsia="仿宋_GB2312" w:cs="Times New Roman"/>
          <w:kern w:val="0"/>
          <w:sz w:val="30"/>
          <w:szCs w:val="30"/>
        </w:rPr>
      </w:pPr>
    </w:p>
    <w:p w14:paraId="216069BA">
      <w:pPr>
        <w:spacing w:line="540" w:lineRule="exact"/>
        <w:rPr>
          <w:rFonts w:hint="default" w:ascii="Times New Roman" w:hAnsi="Times New Roman" w:eastAsia="仿宋_GB2312" w:cs="Times New Roman"/>
          <w:kern w:val="0"/>
          <w:sz w:val="30"/>
          <w:szCs w:val="30"/>
        </w:rPr>
      </w:pPr>
    </w:p>
    <w:p w14:paraId="3233853F">
      <w:pPr>
        <w:spacing w:line="700" w:lineRule="exact"/>
        <w:ind w:left="3236" w:leftChars="684" w:hanging="1800" w:hangingChars="5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项目名称：关于东湾镇文化活动经费，中央政法纪检监察经费，技术服务费，维修费运转类经费项目</w:t>
      </w:r>
    </w:p>
    <w:p w14:paraId="131E6639">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奇台县东湾镇人民政府</w:t>
      </w:r>
    </w:p>
    <w:p w14:paraId="7C3B8828">
      <w:pPr>
        <w:spacing w:line="700" w:lineRule="exact"/>
        <w:ind w:firstLine="1440" w:firstLineChars="400"/>
        <w:jc w:val="left"/>
        <w:rPr>
          <w:rFonts w:hint="default" w:ascii="Times New Roman" w:hAnsi="Times New Roman" w:eastAsia="仿宋_GB2312" w:cs="Times New Roman"/>
          <w:kern w:val="0"/>
          <w:sz w:val="44"/>
          <w:szCs w:val="44"/>
          <w:lang w:val="en-US"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奇台县人民政府</w:t>
      </w:r>
    </w:p>
    <w:p w14:paraId="6306FFEF">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王元</w:t>
      </w:r>
    </w:p>
    <w:p w14:paraId="6D5327A2">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5</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6</w:t>
      </w:r>
      <w:r>
        <w:rPr>
          <w:rFonts w:hint="default" w:ascii="Times New Roman" w:hAnsi="Times New Roman" w:eastAsia="仿宋_GB2312" w:cs="Times New Roman"/>
          <w:kern w:val="0"/>
          <w:sz w:val="36"/>
          <w:szCs w:val="36"/>
        </w:rPr>
        <w:t>日</w:t>
      </w:r>
    </w:p>
    <w:p w14:paraId="2F769684">
      <w:pPr>
        <w:spacing w:line="540" w:lineRule="exact"/>
        <w:jc w:val="center"/>
        <w:rPr>
          <w:rFonts w:hint="default" w:ascii="Times New Roman" w:hAnsi="Times New Roman" w:eastAsia="仿宋_GB2312" w:cs="Times New Roman"/>
          <w:kern w:val="0"/>
          <w:sz w:val="30"/>
          <w:szCs w:val="30"/>
        </w:rPr>
      </w:pPr>
    </w:p>
    <w:p w14:paraId="717C73E4">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0CBA0E77">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7B56533B">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136578D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奇乡财[2024]14号东湾镇办公楼地面塌陷及干部周转房防水加固维修费项目，总投资8万元。2、昌州财教[2024]2号2024年中央补助地方公共文化服务体系建设补助资金-社火、村晚、文化集市等其他文化活动补助经费，总投资1万元。3、昌州财办行[2024]6号2024年中央政法纪检监察转移支付资金，总投资2万元。4、奇乡财[2024]37号2023年奇台县东湾镇实施地下水位下降整治实现“三影重叠”实测工作技术服务费，总投资3.486万元</w:t>
      </w:r>
      <w:r>
        <w:rPr>
          <w:rFonts w:hint="eastAsia" w:eastAsia="仿宋_GB2312" w:cs="Times New Roman"/>
          <w:sz w:val="32"/>
          <w:szCs w:val="32"/>
          <w:highlight w:val="none"/>
          <w:lang w:val="en-US" w:eastAsia="zh-CN"/>
        </w:rPr>
        <w:t>。</w:t>
      </w:r>
    </w:p>
    <w:p w14:paraId="4B190626">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644FDC62">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通过对东湾镇办公楼地面塌陷及干部周转房防水加固维修，办公楼一楼地面维修1024平方米；干部周转房屋顶防水加固600平方米。2、为确保元宵节社火大赛顺利开展，特成立活动小组，组长张辉镇长，副组长梁春燕（宣传委员），成员乡镇干部及各村共计120人组织社火队。3、结合我县“三调”和14个乡镇“三影重叠”数据成果，对扣除农经确权地和退耕地还林地以外的国有农用地进行全面摸排，明确所在村组、地块编号、实际面积、发包信息、使用情况等，形成详细的国有农用地管理档案。4、根据昌州财办[2024]6号2024年内容为开展办案业务工作所需要办案经费和业务装备经费。</w:t>
      </w:r>
    </w:p>
    <w:p w14:paraId="0168E53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p>
    <w:p w14:paraId="69E3DF6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rPr>
        <w:t>项目实施情况：</w:t>
      </w:r>
      <w:r>
        <w:rPr>
          <w:rFonts w:hint="eastAsia" w:ascii="Times New Roman" w:hAnsi="Times New Roman" w:eastAsia="仿宋_GB2312" w:cs="Times New Roman"/>
          <w:sz w:val="32"/>
          <w:szCs w:val="32"/>
          <w:highlight w:val="none"/>
          <w:lang w:val="en-US" w:eastAsia="zh-CN"/>
        </w:rPr>
        <w:t>截止2024年12月31日，我单位参演社火大赛一次，花费资金1万元，保障了人民群众精神文化活动；加固干部周转房600平方米，花费资金8万元，改善了单位的办公环境；“三影重叠”上图入库设计我镇4个村，花费资金3.486万元，会对农村资产的管理更加规范；中央纪检监察资金2万元，购买了581件办公用品，极大的提升了纪委工作效率。</w:t>
      </w:r>
    </w:p>
    <w:p w14:paraId="5599968D">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5C3527D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2FBBCC9C">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14.48</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14.48</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14:paraId="47C2F84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4311FBF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14.48</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14.48</w:t>
      </w:r>
      <w:r>
        <w:rPr>
          <w:rFonts w:hint="default" w:ascii="Times New Roman" w:hAnsi="Times New Roman" w:eastAsia="仿宋_GB2312" w:cs="Times New Roman"/>
          <w:sz w:val="32"/>
          <w:szCs w:val="32"/>
          <w:highlight w:val="none"/>
          <w:lang w:val="en-US" w:eastAsia="zh-CN"/>
        </w:rPr>
        <w:t>万元，全年执行数</w:t>
      </w:r>
      <w:r>
        <w:rPr>
          <w:rFonts w:hint="eastAsia" w:ascii="Times New Roman" w:hAnsi="Times New Roman" w:eastAsia="仿宋_GB2312" w:cs="Times New Roman"/>
          <w:sz w:val="32"/>
          <w:szCs w:val="32"/>
          <w:highlight w:val="none"/>
          <w:lang w:val="en-US" w:eastAsia="zh-CN"/>
        </w:rPr>
        <w:t>14.48</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1、根据奇乡财[2024]14号东湾镇办公楼地面塌陷及干部周转房防水加固维修费项目内容，计划申请资金8万元，对东湾镇办公楼一楼地面维修1024平方米；干部周转房屋顶防水加固600平方米。预计会对整个办公环境带来较大的改善。2、为进一步传承和弘扬中华优秀传统文化，丰富人民群众精神文化生活，我单位参加2024年2月24日开展元宵节社火大赛1次，申请资金1万元，全力营造浓厚的中华传统节日氛围，将会为人民群众送去欢乐和文明，保障人民群众精神文化活动。3、通过我县“三调”和14个乡镇“三影重叠”数据成果，将会对扣除农经确权地和退耕地还林地以外的国有农用地进行全面摸排，明确所在村组、地块编号、实际面积、发包信息、使用情况等，将会形成详细的国有农用地管理档案，将会对农村资产的管理更加规范。4、开展办案业务工作所需要办案经费和业务装备经费2万元，将会对纪委开展工作有较大的提升</w:t>
      </w:r>
      <w:r>
        <w:rPr>
          <w:rFonts w:hint="eastAsia" w:eastAsia="仿宋_GB2312" w:cs="Times New Roman"/>
          <w:sz w:val="32"/>
          <w:szCs w:val="32"/>
          <w:highlight w:val="none"/>
          <w:lang w:val="en-US" w:eastAsia="zh-CN"/>
        </w:rPr>
        <w:t>。</w:t>
      </w:r>
    </w:p>
    <w:p w14:paraId="069C948B">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5D25DDA5">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1F8C3E4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根据奇乡财[2024]14号东湾镇办公楼地面塌陷及干部周转房防水加固维修费项目内容，计划申请资金8万元，对东湾镇办公楼一楼地面维修1024平方米；干部周转房屋顶防水加固600平方米。预计会对整个办公环境带来较大的改善。2、为进一步传承和弘扬中华优秀传统文化，丰富人民群众精神文化生活，我单位参加2024年2月24日开展元宵节社火大赛1次，申请资金1万元，全力营造浓厚的中华传统节日氛围，将会为人民群众送去欢乐和文明，保障人民群众精神文化活动。3、通过我县“三调”和14个乡镇“三影重叠”数据成果，将会对扣除农经确权地和退耕地还林地以外的国有农用地进行全面摸排，明确所在村组、地块编号、实际面积、发包信息、使用情况等，将会形成详细的国有农用地管理档案，将会对农村资产的管理更加规范。4、开展办案业务工作所需要办案经费和业务装备经费2万元，将会对纪委开展工作有较大的提升。</w:t>
      </w:r>
    </w:p>
    <w:p w14:paraId="1B8DFCD5">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阶段性目标</w:t>
      </w:r>
    </w:p>
    <w:p w14:paraId="1AE887AE">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通过对东湾镇办公楼地面塌陷及干部周转房防水加固维修，办公楼一楼地面维修1024平方米；干部周转房屋顶防水加固600平方米。2、为确保元宵节社火大赛顺利开展，特成立活动小组，组长张辉镇长，副组长梁春燕（宣传委员），成员乡镇干部及各村共计120人组织社火队。3、结合我县“三调”和14个乡镇“三影重叠”数据成果，对扣除农经确权地和退耕地还林地以外的国有农用地进行全面摸排，明确所在村组、地块编号、实际面积、发包信息、使用情况等，形成详细的国有农用地管理档案。4、根据昌州财办[2024]6号2024年内容为开展办案业务工作所需要办案经费和业务装备经费。</w:t>
      </w:r>
    </w:p>
    <w:p w14:paraId="490208E0">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7BCD8503">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69D46EE6">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3A243B2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全面涵盖多方面指标：包括</w:t>
      </w:r>
      <w:r>
        <w:rPr>
          <w:rFonts w:hint="eastAsia" w:ascii="Times New Roman" w:hAnsi="Times New Roman" w:eastAsia="仿宋_GB2312" w:cs="Times New Roman"/>
          <w:sz w:val="32"/>
          <w:szCs w:val="32"/>
          <w:lang w:val="en-US" w:eastAsia="zh-CN"/>
        </w:rPr>
        <w:t>数量指标</w:t>
      </w:r>
      <w:r>
        <w:rPr>
          <w:rFonts w:hint="default" w:ascii="Times New Roman" w:hAnsi="Times New Roman" w:eastAsia="仿宋_GB2312" w:cs="Times New Roman"/>
          <w:sz w:val="32"/>
          <w:szCs w:val="32"/>
          <w:lang w:val="en-US" w:eastAsia="zh-CN"/>
        </w:rPr>
        <w:t>，如文体活动开展次数、屋顶防水加固面积、“三影重叠”上图入库涉及乡村数等；经济指标，如防水加固维修费用等；社会指标，如农办公环境得到较大改善</w:t>
      </w:r>
      <w:r>
        <w:rPr>
          <w:rFonts w:hint="eastAsia" w:ascii="Times New Roman" w:hAnsi="Times New Roman" w:eastAsia="仿宋_GB2312" w:cs="Times New Roman"/>
          <w:sz w:val="32"/>
          <w:szCs w:val="32"/>
          <w:lang w:val="en-US" w:eastAsia="zh-CN"/>
        </w:rPr>
        <w:t>、保障人民群众精神文化活动</w:t>
      </w:r>
      <w:r>
        <w:rPr>
          <w:rFonts w:hint="default" w:ascii="Times New Roman" w:hAnsi="Times New Roman" w:eastAsia="仿宋_GB2312" w:cs="Times New Roman"/>
          <w:sz w:val="32"/>
          <w:szCs w:val="32"/>
          <w:lang w:val="en-US" w:eastAsia="zh-CN"/>
        </w:rPr>
        <w:t>等。通过多维度指标，全面反映</w:t>
      </w:r>
      <w:r>
        <w:rPr>
          <w:rFonts w:hint="eastAsia" w:ascii="Times New Roman" w:hAnsi="Times New Roman" w:eastAsia="仿宋_GB2312" w:cs="Times New Roman"/>
          <w:sz w:val="32"/>
          <w:szCs w:val="32"/>
          <w:lang w:val="en-US" w:eastAsia="zh-CN"/>
        </w:rPr>
        <w:t>运转类经费</w:t>
      </w:r>
      <w:r>
        <w:rPr>
          <w:rFonts w:hint="default" w:ascii="Times New Roman" w:hAnsi="Times New Roman" w:eastAsia="仿宋_GB2312" w:cs="Times New Roman"/>
          <w:sz w:val="32"/>
          <w:szCs w:val="32"/>
          <w:lang w:val="en-US" w:eastAsia="zh-CN"/>
        </w:rPr>
        <w:t>的综合绩效。</w:t>
      </w:r>
    </w:p>
    <w:p w14:paraId="2337B2A3">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多个维度，力求全方位反映项目的绩效状况。同时，对于每个指标的评价标准和数据来源均进行了明确说明，确保评价结果的客观性和可追溯性。</w:t>
      </w:r>
    </w:p>
    <w:p w14:paraId="62186EEC">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一是</w:t>
      </w:r>
      <w:r>
        <w:rPr>
          <w:rFonts w:hint="default" w:ascii="Times New Roman" w:hAnsi="Times New Roman" w:eastAsia="仿宋_GB2312" w:cs="Times New Roman"/>
          <w:sz w:val="32"/>
          <w:szCs w:val="32"/>
          <w:lang w:val="en-US" w:eastAsia="zh-CN"/>
        </w:rPr>
        <w:t>评价过程的完整性:前期准备充分：明确评价目的、对象和范围，制定详细的评价方案，确定评价方法和指标体系，收集相关资料和数据，包括规划文件、历年统计数据资料等，为评价工作奠定坚实基础；按照既定的评价方案，运用科学的方法，对收集的数据进行整理、分析和计算，通过</w:t>
      </w:r>
      <w:r>
        <w:rPr>
          <w:rFonts w:hint="eastAsia" w:ascii="Times New Roman" w:hAnsi="Times New Roman" w:eastAsia="仿宋_GB2312" w:cs="Times New Roman"/>
          <w:sz w:val="32"/>
          <w:szCs w:val="32"/>
          <w:lang w:val="en-US" w:eastAsia="zh-CN"/>
        </w:rPr>
        <w:t>询价</w:t>
      </w:r>
      <w:r>
        <w:rPr>
          <w:rFonts w:hint="default" w:ascii="Times New Roman" w:hAnsi="Times New Roman" w:eastAsia="仿宋_GB2312" w:cs="Times New Roman"/>
          <w:sz w:val="32"/>
          <w:szCs w:val="32"/>
          <w:lang w:val="en-US" w:eastAsia="zh-CN"/>
        </w:rPr>
        <w:t>等多种方式获取全面准确的信息，确保评价过程的客观性和公正性；及时将评价结果反馈给相关部门和利益相关者，为政策调整、项目改进提供依据，同时跟踪反馈意见的落实情况，形成评价工作的闭环，以保证评价结果能够切实发挥作用</w:t>
      </w:r>
      <w:r>
        <w:rPr>
          <w:rFonts w:hint="eastAsia" w:ascii="Times New Roman" w:hAnsi="Times New Roman" w:eastAsia="仿宋_GB2312" w:cs="Times New Roman"/>
          <w:sz w:val="32"/>
          <w:szCs w:val="32"/>
          <w:lang w:val="en-US" w:eastAsia="zh-CN"/>
        </w:rPr>
        <w:t>。</w:t>
      </w:r>
    </w:p>
    <w:p w14:paraId="6D4A0AD3">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二是</w:t>
      </w:r>
      <w:r>
        <w:rPr>
          <w:rFonts w:hint="default" w:ascii="Times New Roman" w:hAnsi="Times New Roman" w:eastAsia="仿宋_GB2312" w:cs="Times New Roman"/>
          <w:sz w:val="32"/>
          <w:szCs w:val="32"/>
          <w:lang w:val="en-US" w:eastAsia="zh-CN"/>
        </w:rPr>
        <w:t>评价主体的完整性：包括政府部门、</w:t>
      </w:r>
      <w:r>
        <w:rPr>
          <w:rFonts w:hint="eastAsia" w:ascii="Times New Roman" w:hAnsi="Times New Roman" w:eastAsia="仿宋_GB2312" w:cs="Times New Roman"/>
          <w:sz w:val="32"/>
          <w:szCs w:val="32"/>
          <w:lang w:val="en-US" w:eastAsia="zh-CN"/>
        </w:rPr>
        <w:t>项目实施单位</w:t>
      </w:r>
      <w:r>
        <w:rPr>
          <w:rFonts w:hint="default" w:ascii="Times New Roman" w:hAnsi="Times New Roman" w:eastAsia="仿宋_GB2312" w:cs="Times New Roman"/>
          <w:sz w:val="32"/>
          <w:szCs w:val="32"/>
          <w:lang w:val="en-US" w:eastAsia="zh-CN"/>
        </w:rPr>
        <w:t>等。各评价主体在评价过程中明确分工、密切配合，共同参与评价指标制定、数据收集分析、结果讨论等环节，形成协同效应，使评价结果更具说服力和可信度。</w:t>
      </w:r>
    </w:p>
    <w:p w14:paraId="618D1A08">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三是</w:t>
      </w:r>
      <w:r>
        <w:rPr>
          <w:rFonts w:hint="default" w:ascii="Times New Roman" w:hAnsi="Times New Roman" w:eastAsia="仿宋_GB2312" w:cs="Times New Roman"/>
          <w:sz w:val="32"/>
          <w:szCs w:val="32"/>
          <w:lang w:val="en-US" w:eastAsia="zh-CN"/>
        </w:rPr>
        <w:t>评价数据的完整性:涵盖多个渠道，如政府部门的统计数据、项目实施单位的监测数据，确保从不同角度获取与</w:t>
      </w:r>
      <w:r>
        <w:rPr>
          <w:rFonts w:hint="eastAsia" w:ascii="Times New Roman" w:hAnsi="Times New Roman" w:eastAsia="仿宋_GB2312" w:cs="Times New Roman"/>
          <w:sz w:val="32"/>
          <w:szCs w:val="32"/>
          <w:lang w:val="en-US" w:eastAsia="zh-CN"/>
        </w:rPr>
        <w:t>经费</w:t>
      </w:r>
      <w:r>
        <w:rPr>
          <w:rFonts w:hint="default" w:ascii="Times New Roman" w:hAnsi="Times New Roman" w:eastAsia="仿宋_GB2312" w:cs="Times New Roman"/>
          <w:sz w:val="32"/>
          <w:szCs w:val="32"/>
          <w:lang w:val="en-US" w:eastAsia="zh-CN"/>
        </w:rPr>
        <w:t>绩效相关的信息。</w:t>
      </w:r>
    </w:p>
    <w:p w14:paraId="19734FB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对收集的数据进行严格的审核和验证，确保数据的真实性、准确性和一致性。同时，建立数据管理系统，对数据进行规范存储和管理，便于随时查询和使用，为评价工作提供可靠的数据支持。</w:t>
      </w:r>
    </w:p>
    <w:p w14:paraId="79D8BAC1">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187774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760774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221176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（2）</w:t>
      </w:r>
      <w:r>
        <w:rPr>
          <w:rFonts w:hint="eastAsia" w:eastAsia="仿宋_GB2312" w:cs="Times New Roman"/>
          <w:sz w:val="32"/>
          <w:szCs w:val="32"/>
          <w:highlight w:val="none"/>
          <w:lang w:val="en-US" w:eastAsia="zh-CN"/>
        </w:rPr>
        <w:t>优化资源配置</w:t>
      </w:r>
    </w:p>
    <w:p w14:paraId="51A41A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2F877E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rPr>
        <w:t>为政策调整提供依据</w:t>
      </w:r>
    </w:p>
    <w:p w14:paraId="658E850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根据绩效评价结果，为</w:t>
      </w:r>
      <w:r>
        <w:rPr>
          <w:rFonts w:hint="eastAsia" w:ascii="Times New Roman" w:hAnsi="Times New Roman" w:eastAsia="仿宋_GB2312" w:cs="Times New Roman"/>
          <w:sz w:val="32"/>
          <w:szCs w:val="32"/>
          <w:lang w:val="en-US" w:eastAsia="zh-CN"/>
        </w:rPr>
        <w:t>运转类经费</w:t>
      </w:r>
      <w:r>
        <w:rPr>
          <w:rFonts w:hint="default" w:ascii="Times New Roman" w:hAnsi="Times New Roman" w:eastAsia="仿宋_GB2312" w:cs="Times New Roman"/>
          <w:sz w:val="32"/>
          <w:szCs w:val="32"/>
        </w:rPr>
        <w:t>的调整、完善提供数据支持和决策参考，确保政策的科学性、有效性和可持续性。</w:t>
      </w:r>
    </w:p>
    <w:p w14:paraId="5B4270D1">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发现问题并改进</w:t>
      </w:r>
    </w:p>
    <w:p w14:paraId="2DCB11E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及时发现</w:t>
      </w:r>
      <w:r>
        <w:rPr>
          <w:rFonts w:hint="eastAsia" w:ascii="Times New Roman" w:hAnsi="Times New Roman" w:eastAsia="仿宋_GB2312" w:cs="Times New Roman"/>
          <w:sz w:val="32"/>
          <w:szCs w:val="32"/>
          <w:lang w:val="en-US" w:eastAsia="zh-CN"/>
        </w:rPr>
        <w:t>运转类经费支付</w:t>
      </w:r>
      <w:r>
        <w:rPr>
          <w:rFonts w:hint="default" w:ascii="Times New Roman" w:hAnsi="Times New Roman" w:eastAsia="仿宋_GB2312" w:cs="Times New Roman"/>
          <w:sz w:val="32"/>
          <w:szCs w:val="32"/>
        </w:rPr>
        <w:t>工作中存在的问题，如实施过程中的</w:t>
      </w:r>
      <w:r>
        <w:rPr>
          <w:rFonts w:hint="eastAsia" w:ascii="Times New Roman" w:hAnsi="Times New Roman" w:eastAsia="仿宋_GB2312" w:cs="Times New Roman"/>
          <w:sz w:val="32"/>
          <w:szCs w:val="32"/>
          <w:lang w:val="en-US" w:eastAsia="zh-CN"/>
        </w:rPr>
        <w:t>工作</w:t>
      </w:r>
      <w:r>
        <w:rPr>
          <w:rFonts w:hint="default" w:ascii="Times New Roman" w:hAnsi="Times New Roman" w:eastAsia="仿宋_GB2312" w:cs="Times New Roman"/>
          <w:sz w:val="32"/>
          <w:szCs w:val="32"/>
        </w:rPr>
        <w:t>难题、政策执行的偏差、后续管理的漏洞等，以便采取针对性措施加以改进，提高项目实施质量。</w:t>
      </w:r>
    </w:p>
    <w:p w14:paraId="33947F46">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046D6F27">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highlight w:val="none"/>
        </w:rPr>
        <w:t>本项目预算绩效评价报告的评价对象是关于东湾镇文化活动经费，中央政法纪检监察经费，技术服务费，维修费运转类经费项目及其预算执行情况。该项目由奇台县东湾镇人民政府负责实施，旨在1、根据奇乡财[2024]14号东湾镇办公楼地面塌陷及干部周转房防水加固维修费项目内容，计划申请资金8万元，对东湾镇办公楼一楼地面维修1024平方米；干部周转房屋顶防水加固600平方米。预计会对整个办公环境带来较大的改善。2、为进一步传承和弘扬中华优秀传统文化，丰富人民群众精神文化生活，我单位参加2024年2月24日开展元宵节社火大赛1次，申请资金1万元，全力营造浓厚的中华传统节日氛围，将会为人民群众送去欢乐和文明，保障人民群众精神文化活动。3、通过我镇“三调”和4个乡镇“三影重叠”数据成果，对扣除农经确权地和退耕地还林地以外的国有农用地进行全面摸排，明确所在村组、地块编号、实际面积、发包信息、使用情况等，将会形成详细的国有农用地管理档案，将会对农村资产的管理更加规范。4、开展办案业务工作所需要办案经费和业务装备经费2万元，将会对纪委开展工作有较大的提升。。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14.48</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2A6577F9">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764FB8F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本次绩效评价主要围绕项目决策、项目管理、项目产出、项目效益四个维度，对该专项资金的预算编制、项目实施、监督管理、资金支出使用、绩效目标的实现情况等开展综合评价。</w:t>
      </w:r>
    </w:p>
    <w:p w14:paraId="57A50D9D">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5593AC1D">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3644E530">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4423E584">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34E758F7">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5B866E52">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495C7012">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26F2A539">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1F0FFE4B">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7C744EFF">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5C6E1561">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1002B61">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577F0984">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4AB417EB">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76A20585">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28900786">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5E15318F">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15EA81F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161A382B">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31F4705A">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49DFF337">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14:paraId="62EDBFB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14:paraId="1DE578A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p>
    <w:p w14:paraId="70E1AD4B">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（四）最低成本法。是指在绩效目标确定的前提下，成本最小者为优的方法。</w:t>
      </w:r>
    </w:p>
    <w:p w14:paraId="6DECD2A7">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（五）公众评判法。是指通过专家评估、公众问卷及抽样调查等方式进行评判的方法。</w:t>
      </w:r>
    </w:p>
    <w:p w14:paraId="6401D566">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（六）标杆管理法。是指以国内外同行业中较高的绩效水平为标杆进行评判的方法。</w:t>
      </w:r>
    </w:p>
    <w:p w14:paraId="4D01420F">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（七）其他评价方法。</w:t>
      </w:r>
    </w:p>
    <w:p w14:paraId="2C2A53B6">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2A11486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w:t>
      </w:r>
      <w:r>
        <w:rPr>
          <w:rFonts w:hint="default" w:ascii="Times New Roman" w:hAnsi="Times New Roman" w:eastAsia="仿宋_GB2312" w:cs="Times New Roman"/>
          <w:b w:val="0"/>
          <w:bCs w:val="0"/>
          <w:highlight w:val="none"/>
        </w:rPr>
        <w:t>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14:paraId="669BEDC2">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6F297B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3CCA50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0C2055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173440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3DC8B9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7402DE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03BCB8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）报告撰写</w:t>
      </w:r>
      <w:r>
        <w:rPr>
          <w:rFonts w:hint="eastAsia" w:ascii="Times New Roman" w:hAnsi="Times New Roman" w:eastAsia="仿宋_GB2312" w:cs="Times New Roman"/>
          <w:sz w:val="32"/>
          <w:szCs w:val="32"/>
          <w:highlight w:val="none"/>
          <w:lang w:val="en-US" w:eastAsia="zh-CN"/>
        </w:rPr>
        <w:t>阶段</w:t>
      </w:r>
    </w:p>
    <w:p w14:paraId="4CF970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798ACE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b/>
          <w:bCs/>
          <w:sz w:val="32"/>
          <w:szCs w:val="32"/>
          <w:lang w:eastAsia="zh-CN"/>
        </w:rPr>
        <w:t>结果反馈与应用阶段</w:t>
      </w:r>
    </w:p>
    <w:p w14:paraId="3204EF5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汇报与反馈：向政府部门、项目实施单位和其他利益相关方汇报评价结果，通过会议、报告解读等形式，详细说明评价结论和建议，听取各方意见和反馈。</w:t>
      </w:r>
    </w:p>
    <w:p w14:paraId="1CF7C6F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结果应用：相关部门根据评价结果，调整</w:t>
      </w:r>
      <w:r>
        <w:rPr>
          <w:rFonts w:hint="eastAsia" w:ascii="Times New Roman" w:hAnsi="Times New Roman" w:eastAsia="仿宋_GB2312" w:cs="Times New Roman"/>
          <w:sz w:val="32"/>
          <w:szCs w:val="32"/>
          <w:lang w:val="en-US" w:eastAsia="zh-CN"/>
        </w:rPr>
        <w:t>经费类</w:t>
      </w:r>
      <w:r>
        <w:rPr>
          <w:rFonts w:hint="default" w:ascii="Times New Roman" w:hAnsi="Times New Roman" w:eastAsia="仿宋_GB2312" w:cs="Times New Roman"/>
          <w:sz w:val="32"/>
          <w:szCs w:val="32"/>
          <w:lang w:eastAsia="zh-CN"/>
        </w:rPr>
        <w:t>项目实施方案，优化资源配置，改进管理措施，推动</w:t>
      </w:r>
      <w:r>
        <w:rPr>
          <w:rFonts w:hint="eastAsia" w:ascii="Times New Roman" w:hAnsi="Times New Roman" w:eastAsia="仿宋_GB2312" w:cs="Times New Roman"/>
          <w:sz w:val="32"/>
          <w:szCs w:val="32"/>
          <w:lang w:val="en-US" w:eastAsia="zh-CN"/>
        </w:rPr>
        <w:t>经费类支付</w:t>
      </w:r>
      <w:r>
        <w:rPr>
          <w:rFonts w:hint="default" w:ascii="Times New Roman" w:hAnsi="Times New Roman" w:eastAsia="仿宋_GB2312" w:cs="Times New Roman"/>
          <w:sz w:val="32"/>
          <w:szCs w:val="32"/>
          <w:lang w:eastAsia="zh-CN"/>
        </w:rPr>
        <w:t>工作持续健康发展；同时，将评价结果作为后续项目立项、资金分配的重要参考依据。</w:t>
      </w:r>
    </w:p>
    <w:p w14:paraId="3EC9F4BB">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660F45BA">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463FE981">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关于东湾镇文化活动经费，中央政法纪检监察经费，技术服务费，维修费运转类经费项目</w:t>
      </w:r>
      <w:r>
        <w:rPr>
          <w:rFonts w:hint="default" w:ascii="Times New Roman" w:hAnsi="Times New Roman" w:eastAsia="仿宋_GB2312" w:cs="Times New Roman"/>
          <w:sz w:val="32"/>
          <w:szCs w:val="32"/>
          <w:highlight w:val="none"/>
        </w:rPr>
        <w:t>在文体活动开展次数、屋顶防水加固面积等方面表现出色，达到了预期的标准与要求。同时，项目也在</w:t>
      </w:r>
      <w:r>
        <w:rPr>
          <w:rFonts w:hint="eastAsia" w:ascii="Times New Roman" w:hAnsi="Times New Roman" w:eastAsia="仿宋_GB2312" w:cs="Times New Roman"/>
          <w:sz w:val="32"/>
          <w:szCs w:val="32"/>
          <w:highlight w:val="none"/>
          <w:lang w:val="en-US" w:eastAsia="zh-CN"/>
        </w:rPr>
        <w:t>开展办案业务工作和社火大赛</w:t>
      </w:r>
      <w:r>
        <w:rPr>
          <w:rFonts w:hint="default" w:ascii="Times New Roman" w:hAnsi="Times New Roman" w:eastAsia="仿宋_GB2312" w:cs="Times New Roman"/>
          <w:sz w:val="32"/>
          <w:szCs w:val="32"/>
          <w:highlight w:val="none"/>
        </w:rPr>
        <w:t>取得了显著的成效，如保障人民群众精神文化活动、</w:t>
      </w:r>
      <w:r>
        <w:rPr>
          <w:rFonts w:hint="eastAsia" w:eastAsia="仿宋_GB2312" w:cs="Times New Roman"/>
          <w:sz w:val="32"/>
          <w:szCs w:val="32"/>
          <w:highlight w:val="none"/>
          <w:lang w:val="en-US" w:eastAsia="zh-CN"/>
        </w:rPr>
        <w:t>提高了纪委办案工作效率</w:t>
      </w:r>
      <w:r>
        <w:rPr>
          <w:rFonts w:hint="default" w:ascii="Times New Roman" w:hAnsi="Times New Roman" w:eastAsia="仿宋_GB2312" w:cs="Times New Roman"/>
          <w:sz w:val="32"/>
          <w:szCs w:val="32"/>
          <w:highlight w:val="none"/>
        </w:rPr>
        <w:t>等。</w:t>
      </w:r>
    </w:p>
    <w:p w14:paraId="3A9665B6">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奇台县东湾镇人民政府</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35D528C8">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rPr>
        <w:t>效益</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等方面产生了积极的影响。具体而言，办公环境得到较大改善、保障人民群众精神文化活动等方面的提升，为项目的利益相关者带来了实实在在的利益。</w:t>
      </w:r>
    </w:p>
    <w:p w14:paraId="210FBDF0">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default" w:ascii="Times New Roman" w:hAnsi="Times New Roman" w:eastAsia="仿宋_GB2312" w:cs="Times New Roman"/>
          <w:color w:val="auto"/>
          <w:sz w:val="32"/>
          <w:szCs w:val="32"/>
          <w:highlight w:val="none"/>
        </w:rPr>
        <w:t>关于东湾镇文化活动经费，中央政法纪检监察经费，技术服务费，维修费运转类经费项目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7782D5EB">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20DE109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46AE5C6A">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77426B3D">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0317AD34">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2E148D5">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35B5F3E">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7D559E1">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5444D4B6">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C19EC91">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927" w:type="dxa"/>
            <w:tcBorders>
              <w:top w:val="nil"/>
              <w:left w:val="nil"/>
              <w:bottom w:val="single" w:color="auto" w:sz="4" w:space="0"/>
              <w:right w:val="single" w:color="auto" w:sz="4" w:space="0"/>
            </w:tcBorders>
            <w:shd w:val="clear" w:color="auto" w:fill="auto"/>
            <w:vAlign w:val="center"/>
          </w:tcPr>
          <w:p w14:paraId="1E45F823">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4EF5F28F">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98D3F81">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2B864665">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3D0CE65">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927" w:type="dxa"/>
            <w:tcBorders>
              <w:top w:val="nil"/>
              <w:left w:val="nil"/>
              <w:bottom w:val="single" w:color="auto" w:sz="4" w:space="0"/>
              <w:right w:val="single" w:color="auto" w:sz="4" w:space="0"/>
            </w:tcBorders>
            <w:shd w:val="clear" w:color="auto" w:fill="auto"/>
            <w:vAlign w:val="center"/>
          </w:tcPr>
          <w:p w14:paraId="68DFAC4E">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9D9E63E">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4EAF73FF">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0DF0698E">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714579A">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shd w:val="clear" w:color="auto" w:fill="auto"/>
            <w:vAlign w:val="center"/>
          </w:tcPr>
          <w:p w14:paraId="5F1629AC">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0440E292">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26E442BF">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6EA34839">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3A906BD3">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shd w:val="clear" w:color="auto" w:fill="auto"/>
            <w:vAlign w:val="center"/>
          </w:tcPr>
          <w:p w14:paraId="094A0A8E">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A660DAC">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11155FD">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4DBECC8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A286F89">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14:paraId="4E9BBFB0">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64AACE46">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5A32BC65">
            <w:pPr>
              <w:jc w:val="center"/>
              <w:rPr>
                <w:rFonts w:hint="default" w:ascii="Times New Roman" w:hAnsi="Times New Roman" w:eastAsia="仿宋_GB2312" w:cs="Times New Roman"/>
                <w:b/>
                <w:bCs/>
                <w:color w:val="000000"/>
                <w:sz w:val="21"/>
                <w:szCs w:val="21"/>
              </w:rPr>
            </w:pPr>
            <w:r>
              <w:rPr>
                <w:rFonts w:hint="eastAsia" w:eastAsia="仿宋_GB2312" w:cs="Times New Roman"/>
                <w:color w:val="000000"/>
                <w:sz w:val="21"/>
                <w:szCs w:val="21"/>
                <w:lang w:val="en-US" w:eastAsia="zh-CN"/>
              </w:rPr>
              <w:t>100%</w:t>
            </w:r>
          </w:p>
        </w:tc>
      </w:tr>
    </w:tbl>
    <w:p w14:paraId="363A79EF">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2290A40F">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742D3C33">
      <w:pPr>
        <w:shd w:val="clear"/>
        <w:spacing w:line="600" w:lineRule="exact"/>
        <w:ind w:firstLine="640" w:firstLineChars="200"/>
        <w:outlineLvl w:val="0"/>
        <w:rPr>
          <w:rFonts w:hint="default" w:ascii="Times New Roman" w:hAnsi="Times New Roman" w:eastAsia="仿宋_GB2312" w:cs="Times New Roman"/>
          <w:sz w:val="32"/>
          <w:szCs w:val="32"/>
          <w:highlight w:val="yellow"/>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329F0708">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4CDD300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61C2F4E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按照</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党政机关厉行节约反对浪费条例</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文件要求，</w:t>
      </w:r>
      <w:r>
        <w:rPr>
          <w:rFonts w:hint="default" w:ascii="Times New Roman" w:hAnsi="Times New Roman" w:eastAsia="仿宋_GB2312" w:cs="Times New Roman"/>
          <w:sz w:val="32"/>
          <w:szCs w:val="32"/>
          <w:lang w:val="en-US" w:eastAsia="zh-CN"/>
        </w:rPr>
        <w:t>符合国家相关法律法规及发展政策，符合行业规划要求，围绕本年度工作重点和工作计划制定经费预算，属于公共财政支持范围。本项目与部门内部其他相关项目不重复。部门发展规划及职能文件等归档完整。</w:t>
      </w:r>
    </w:p>
    <w:p w14:paraId="6A12F75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78D0745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关于东湾镇文化活动经费，中央政法纪检监察经费，技术服务费，维修费运转类经费项目</w:t>
      </w:r>
      <w:r>
        <w:rPr>
          <w:rFonts w:hint="eastAsia" w:eastAsia="仿宋_GB2312" w:cs="Times New Roman"/>
          <w:sz w:val="32"/>
          <w:szCs w:val="32"/>
          <w:lang w:val="en-US" w:eastAsia="zh-CN"/>
        </w:rPr>
        <w:t>的申请，</w:t>
      </w:r>
      <w:r>
        <w:rPr>
          <w:rFonts w:hint="default" w:ascii="Times New Roman" w:hAnsi="Times New Roman" w:eastAsia="仿宋_GB2312" w:cs="Times New Roman"/>
          <w:sz w:val="32"/>
          <w:szCs w:val="32"/>
          <w:highlight w:val="none"/>
        </w:rPr>
        <w:t>设立过程符合</w:t>
      </w:r>
      <w:r>
        <w:rPr>
          <w:rFonts w:hint="default" w:ascii="Times New Roman" w:hAnsi="Times New Roman" w:eastAsia="仿宋_GB2312" w:cs="Times New Roman"/>
          <w:sz w:val="32"/>
          <w:szCs w:val="32"/>
        </w:rPr>
        <w:t>设立过程符合财政部《项目支出绩效评价管理办法》（财预〔2020〕10号）文件要求</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w:t>
      </w:r>
      <w:r>
        <w:rPr>
          <w:rFonts w:hint="default" w:ascii="Times New Roman" w:hAnsi="Times New Roman" w:eastAsia="仿宋_GB2312" w:cs="Times New Roman"/>
          <w:sz w:val="32"/>
          <w:szCs w:val="32"/>
          <w:lang w:val="en-US" w:eastAsia="zh-CN"/>
        </w:rPr>
        <w:t>范性。</w:t>
      </w:r>
    </w:p>
    <w:p w14:paraId="6F3801CE">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2EA5463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549AA51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40B26A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0494FA5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08529270">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0CBDE53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1DD752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4B0CA393">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59A1FF5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605F17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60A8FC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07ECD7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4013389D">
      <w:pPr>
        <w:pStyle w:val="10"/>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29DD237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项目过程类指</w:t>
      </w:r>
      <w:r>
        <w:rPr>
          <w:rFonts w:hint="default" w:ascii="Times New Roman" w:hAnsi="Times New Roman" w:eastAsia="仿宋_GB2312" w:cs="Times New Roman"/>
          <w:sz w:val="32"/>
          <w:szCs w:val="32"/>
          <w:highlight w:val="none"/>
          <w:lang w:val="en-US" w:eastAsia="zh-CN"/>
        </w:rPr>
        <w:t>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7F01308C">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17257E8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6FE4D7E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w:t>
      </w:r>
      <w:r>
        <w:rPr>
          <w:rFonts w:hint="default" w:ascii="Times New Roman" w:hAnsi="Times New Roman" w:eastAsia="仿宋_GB2312" w:cs="Times New Roman"/>
          <w:sz w:val="32"/>
          <w:szCs w:val="32"/>
          <w:highlight w:val="none"/>
          <w:lang w:val="en-US" w:eastAsia="zh-CN"/>
        </w:rPr>
        <w:t>总投资</w:t>
      </w:r>
      <w:r>
        <w:rPr>
          <w:rFonts w:hint="eastAsia" w:eastAsia="仿宋_GB2312" w:cs="Times New Roman"/>
          <w:sz w:val="32"/>
          <w:szCs w:val="32"/>
          <w:highlight w:val="none"/>
          <w:lang w:val="en-US" w:eastAsia="zh-CN"/>
        </w:rPr>
        <w:t>14.48</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w:t>
      </w:r>
      <w:r>
        <w:rPr>
          <w:rFonts w:hint="default" w:ascii="Times New Roman" w:hAnsi="Times New Roman" w:eastAsia="仿宋_GB2312" w:cs="Times New Roman"/>
          <w:sz w:val="32"/>
          <w:szCs w:val="32"/>
          <w:lang w:val="en-US" w:eastAsia="zh-CN"/>
        </w:rPr>
        <w:t>金按计划进度执行。</w:t>
      </w:r>
    </w:p>
    <w:p w14:paraId="1386E67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3DD6DAA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14.48</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305BECA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6095AC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党政机关厉行节约反对浪费条例</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，确保了资金的合规性与安全性。在资金使用过程中，我们建立了完善的财务管理体系，对资金的流动进行了全程监控与记录。</w:t>
      </w:r>
    </w:p>
    <w:p w14:paraId="57A97C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70316D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67C730F7">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0E82485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0BEFE8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w:t>
      </w:r>
      <w:r>
        <w:rPr>
          <w:rFonts w:hint="default" w:ascii="Times New Roman" w:hAnsi="Times New Roman" w:eastAsia="仿宋_GB2312" w:cs="Times New Roman"/>
          <w:sz w:val="32"/>
          <w:szCs w:val="32"/>
          <w:lang w:val="en-US" w:eastAsia="zh-CN"/>
        </w:rPr>
        <w:t>根据</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奇台县东湾镇人民政府财务规范工作手册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highlight w:val="none"/>
          <w:lang w:eastAsia="zh-CN"/>
        </w:rPr>
        <w:t>为项目的成功实施提供了坚实的制度保障。项目管理制度的制定紧密结合了项目的特点与实际情况，涵盖了项目的策划、组织、实施、监控与收尾等各个环节。</w:t>
      </w:r>
    </w:p>
    <w:p w14:paraId="7E3B99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3D1C62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33F0157F">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005D171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324D66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5E3FA4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021598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1A51C625">
      <w:pPr>
        <w:pStyle w:val="12"/>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5D7F43A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w:t>
      </w:r>
      <w:r>
        <w:rPr>
          <w:rFonts w:hint="default" w:ascii="Times New Roman" w:hAnsi="Times New Roman" w:eastAsia="仿宋_GB2312" w:cs="Times New Roman"/>
          <w:sz w:val="32"/>
          <w:szCs w:val="32"/>
          <w:highlight w:val="none"/>
          <w:lang w:val="en-US" w:eastAsia="zh-CN"/>
        </w:rPr>
        <w:t>四方面的内容，由</w:t>
      </w:r>
      <w:r>
        <w:rPr>
          <w:rFonts w:hint="eastAsia" w:eastAsia="仿宋_GB2312" w:cs="Times New Roman"/>
          <w:sz w:val="32"/>
          <w:szCs w:val="32"/>
          <w:highlight w:val="none"/>
          <w:lang w:val="en-US" w:eastAsia="zh-CN"/>
        </w:rPr>
        <w:t>12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14:paraId="77AD9C23">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6372FE14">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指标1：文体活动开展次数，指标值：&gt;=1次，实际完成值：1次，指标完成率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2746FF01">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：屋顶防水加固面积，指标值：&gt;=600平方米，实际完成值：600平方米，指标完成率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175126E6">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：“三影重叠”上图入库涉及乡村数，指标值：&gt;=</w:t>
      </w:r>
      <w:r>
        <w:rPr>
          <w:rFonts w:hint="eastAsia" w:eastAsia="仿宋_GB2312" w:cs="Times New Roman"/>
          <w:sz w:val="32"/>
          <w:szCs w:val="32"/>
          <w:highlight w:val="none"/>
          <w:lang w:val="en-US" w:eastAsia="zh-CN"/>
        </w:rPr>
        <w:t>4个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4个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5F55ABA2">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：购买办公用品数量，指标值：&gt;=</w:t>
      </w:r>
      <w:r>
        <w:rPr>
          <w:rFonts w:hint="eastAsia" w:eastAsia="仿宋_GB2312" w:cs="Times New Roman"/>
          <w:sz w:val="32"/>
          <w:szCs w:val="32"/>
          <w:highlight w:val="none"/>
          <w:lang w:val="en-US" w:eastAsia="zh-CN"/>
        </w:rPr>
        <w:t>581个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581个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07CC481F">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011519A0">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：项目竣工验收合格率，指标值：=100%，实际完成值：100%，指标完成率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373FE26B">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：项目竣工验收合格率，指标值：=100%，实际完成值：100%，指标完成率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272A7CA9">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0EAD760D">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：工程完工及时率，指标值：=100%，实际完成值：100%，指标完成率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62FA240B">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：设备采购完成及时率（%），指标值：=100%，实际完成值：100%，指标完成率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65B7CFDD">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25C2F333">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：文体活动经费金额，指标值：&lt;=1万元，实际完成值：1万元，指标完成率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688785AE">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：办公用品采购成本，指标值：&lt;=</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万元，实际完成值：</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73864B92">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：防水加固维修费用，指标值：&lt;=</w:t>
      </w:r>
      <w:r>
        <w:rPr>
          <w:rFonts w:hint="eastAsia"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rPr>
        <w:t>万元，实际完成值：</w:t>
      </w:r>
      <w:r>
        <w:rPr>
          <w:rFonts w:hint="eastAsia"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rPr>
        <w:t>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0C1C3389">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：“三影重叠”报告费用，指标值：&lt;=</w:t>
      </w:r>
      <w:r>
        <w:rPr>
          <w:rFonts w:hint="eastAsia" w:eastAsia="仿宋_GB2312" w:cs="Times New Roman"/>
          <w:sz w:val="32"/>
          <w:szCs w:val="32"/>
          <w:highlight w:val="none"/>
          <w:lang w:val="en-US" w:eastAsia="zh-CN"/>
        </w:rPr>
        <w:t>3.49万元</w:t>
      </w:r>
      <w:r>
        <w:rPr>
          <w:rFonts w:hint="default" w:ascii="Times New Roman" w:hAnsi="Times New Roman" w:eastAsia="仿宋_GB2312" w:cs="Times New Roman"/>
          <w:sz w:val="32"/>
          <w:szCs w:val="32"/>
          <w:highlight w:val="none"/>
        </w:rPr>
        <w:t>，实际完成值：</w:t>
      </w:r>
      <w:bookmarkStart w:id="3" w:name="_GoBack"/>
      <w:bookmarkEnd w:id="3"/>
      <w:r>
        <w:rPr>
          <w:rFonts w:hint="eastAsia" w:eastAsia="仿宋_GB2312" w:cs="Times New Roman"/>
          <w:sz w:val="32"/>
          <w:szCs w:val="32"/>
          <w:highlight w:val="none"/>
          <w:lang w:val="en-US" w:eastAsia="zh-CN"/>
        </w:rPr>
        <w:t>3.49万元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39BB8BA3">
      <w:pPr>
        <w:pStyle w:val="12"/>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6D06DCF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w:t>
      </w:r>
      <w:r>
        <w:rPr>
          <w:rFonts w:hint="default" w:ascii="Times New Roman" w:hAnsi="Times New Roman" w:eastAsia="仿宋_GB2312" w:cs="Times New Roman"/>
          <w:sz w:val="32"/>
          <w:szCs w:val="32"/>
          <w:highlight w:val="none"/>
          <w:lang w:val="en-US" w:eastAsia="zh-CN"/>
        </w:rPr>
        <w:t>指标包括项目实施效益的内容，由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具体效益指标及满意度指标完成情况如下：</w:t>
      </w:r>
    </w:p>
    <w:p w14:paraId="5000685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4288D03E">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4EFC1700">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：办公环境得到较大改善，指标值：有效改善，实际完成值：有效改善，指标完成率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47BA21B6">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：保障人民群众精神文化活动，指标值：有效保障，实际完成值：有效保障，指标完成率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05440770">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14:paraId="2D749A22">
      <w:pPr>
        <w:pStyle w:val="19"/>
        <w:spacing w:line="560" w:lineRule="exact"/>
        <w:ind w:firstLine="64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关于东湾镇文化活动经费，中央政法纪检监察经费，技术服务费，维修费运转类经费项目</w:t>
      </w:r>
      <w:r>
        <w:rPr>
          <w:rFonts w:hint="eastAsia" w:ascii="仿宋_GB2312" w:hAnsi="仿宋_GB2312" w:eastAsia="仿宋_GB2312" w:cs="仿宋_GB2312"/>
          <w:sz w:val="32"/>
          <w:szCs w:val="32"/>
          <w:highlight w:val="none"/>
        </w:rPr>
        <w:t>年初预算</w:t>
      </w:r>
      <w:r>
        <w:rPr>
          <w:rFonts w:hint="eastAsia" w:ascii="仿宋_GB2312" w:hAnsi="仿宋_GB2312" w:eastAsia="仿宋_GB2312" w:cs="仿宋_GB2312"/>
          <w:sz w:val="32"/>
          <w:szCs w:val="32"/>
          <w:highlight w:val="none"/>
          <w:lang w:val="en-US" w:eastAsia="zh-CN"/>
        </w:rPr>
        <w:t>14.48</w:t>
      </w:r>
      <w:r>
        <w:rPr>
          <w:rFonts w:hint="eastAsia" w:ascii="仿宋_GB2312" w:hAnsi="仿宋_GB2312" w:eastAsia="仿宋_GB2312" w:cs="仿宋_GB2312"/>
          <w:sz w:val="32"/>
          <w:szCs w:val="32"/>
          <w:highlight w:val="none"/>
        </w:rPr>
        <w:t>万元，全年预算</w:t>
      </w:r>
      <w:r>
        <w:rPr>
          <w:rFonts w:hint="eastAsia" w:ascii="仿宋_GB2312" w:hAnsi="仿宋_GB2312" w:eastAsia="仿宋_GB2312" w:cs="仿宋_GB2312"/>
          <w:sz w:val="32"/>
          <w:szCs w:val="32"/>
          <w:highlight w:val="none"/>
          <w:lang w:val="en-US" w:eastAsia="zh-CN"/>
        </w:rPr>
        <w:t>14.48</w:t>
      </w:r>
      <w:r>
        <w:rPr>
          <w:rFonts w:hint="eastAsia" w:ascii="仿宋_GB2312" w:hAnsi="仿宋_GB2312" w:eastAsia="仿宋_GB2312" w:cs="仿宋_GB2312"/>
          <w:sz w:val="32"/>
          <w:szCs w:val="32"/>
          <w:highlight w:val="none"/>
        </w:rPr>
        <w:t>万元，实际支出</w:t>
      </w:r>
      <w:r>
        <w:rPr>
          <w:rFonts w:hint="eastAsia" w:ascii="仿宋_GB2312" w:hAnsi="仿宋_GB2312" w:eastAsia="仿宋_GB2312" w:cs="仿宋_GB2312"/>
          <w:sz w:val="32"/>
          <w:szCs w:val="32"/>
          <w:highlight w:val="none"/>
          <w:lang w:val="en-US" w:eastAsia="zh-CN"/>
        </w:rPr>
        <w:t>14.48</w:t>
      </w:r>
      <w:r>
        <w:rPr>
          <w:rFonts w:hint="eastAsia" w:ascii="仿宋_GB2312" w:hAnsi="仿宋_GB2312" w:eastAsia="仿宋_GB2312" w:cs="仿宋_GB2312"/>
          <w:sz w:val="32"/>
          <w:szCs w:val="32"/>
          <w:highlight w:val="none"/>
        </w:rPr>
        <w:t>万元，预算执行率为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%，项目绩效指标总体完成率为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偏差率为0。</w:t>
      </w:r>
    </w:p>
    <w:p w14:paraId="277B57F8">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14:paraId="2B7F8D84">
      <w:pPr>
        <w:spacing w:line="560" w:lineRule="exact"/>
        <w:ind w:firstLine="627" w:firstLineChars="200"/>
      </w:pPr>
      <w:r>
        <w:rPr>
          <w:rFonts w:hint="default" w:ascii="Times New Roman" w:hAnsi="Times New Roman" w:eastAsia="楷体" w:cs="Times New Roman"/>
          <w:b/>
          <w:spacing w:val="-4"/>
          <w:sz w:val="32"/>
          <w:szCs w:val="32"/>
        </w:rPr>
        <w:t>（一）主要经验及做法</w:t>
      </w:r>
    </w:p>
    <w:p w14:paraId="7030241F">
      <w:pPr>
        <w:spacing w:line="560" w:lineRule="exact"/>
        <w:ind w:firstLine="964" w:firstLineChars="300"/>
        <w:rPr>
          <w:rFonts w:hint="eastAsia" w:ascii="仿宋_GB2312" w:hAnsi="楷体_GB2312" w:eastAsia="仿宋_GB2312" w:cs="楷体_GB2312"/>
          <w:sz w:val="32"/>
          <w:szCs w:val="32"/>
        </w:rPr>
      </w:pPr>
      <w:r>
        <w:rPr>
          <w:rFonts w:hint="eastAsia" w:ascii="仿宋_GB2312" w:hAnsi="楷体_GB2312" w:eastAsia="仿宋_GB2312" w:cs="楷体_GB2312"/>
          <w:b/>
          <w:bCs/>
          <w:sz w:val="32"/>
          <w:szCs w:val="32"/>
          <w:lang w:val="en-US" w:eastAsia="zh-CN"/>
        </w:rPr>
        <w:t>1.建立健全成本核算和监控政策</w:t>
      </w:r>
      <w:r>
        <w:rPr>
          <w:rFonts w:hint="eastAsia" w:ascii="仿宋_GB2312" w:hAnsi="楷体_GB2312" w:eastAsia="仿宋_GB2312" w:cs="楷体_GB2312"/>
          <w:sz w:val="32"/>
          <w:szCs w:val="32"/>
        </w:rPr>
        <w:t>。</w:t>
      </w:r>
    </w:p>
    <w:p w14:paraId="1991457F">
      <w:pPr>
        <w:spacing w:line="560" w:lineRule="exact"/>
        <w:ind w:firstLine="960" w:firstLineChars="300"/>
        <w:rPr>
          <w:rFonts w:hint="default" w:ascii="仿宋_GB2312" w:hAnsi="楷体_GB2312" w:eastAsia="仿宋_GB2312" w:cs="楷体_GB2312"/>
          <w:sz w:val="32"/>
          <w:szCs w:val="32"/>
          <w:lang w:val="en-US" w:eastAsia="zh-CN"/>
        </w:rPr>
      </w:pPr>
      <w:r>
        <w:rPr>
          <w:rFonts w:hint="eastAsia" w:ascii="仿宋_GB2312" w:hAnsi="楷体_GB2312" w:eastAsia="仿宋_GB2312" w:cs="楷体_GB2312"/>
          <w:sz w:val="32"/>
          <w:szCs w:val="32"/>
          <w:lang w:val="en-US" w:eastAsia="zh-CN"/>
        </w:rPr>
        <w:t>建立健全成本核算和监控机制。对各项行政运行成本进行准确核算和实时监控，及时发现成本异常情况并采取有效措施加以纠正。</w:t>
      </w:r>
    </w:p>
    <w:p w14:paraId="7F6BAE2F">
      <w:pPr>
        <w:spacing w:line="560" w:lineRule="exact"/>
        <w:ind w:firstLine="964" w:firstLineChars="300"/>
        <w:rPr>
          <w:rFonts w:hint="default" w:ascii="仿宋_GB2312" w:hAnsi="楷体_GB2312" w:eastAsia="仿宋_GB2312" w:cs="楷体_GB2312"/>
          <w:sz w:val="32"/>
          <w:szCs w:val="32"/>
          <w:lang w:val="en-US" w:eastAsia="zh-CN"/>
        </w:rPr>
      </w:pPr>
      <w:r>
        <w:rPr>
          <w:rFonts w:hint="eastAsia" w:ascii="仿宋_GB2312" w:eastAsia="仿宋_GB2312"/>
          <w:b/>
          <w:bCs/>
          <w:sz w:val="32"/>
          <w:szCs w:val="32"/>
          <w:lang w:val="en-US" w:eastAsia="zh-CN"/>
        </w:rPr>
        <w:t>2.</w:t>
      </w:r>
      <w:r>
        <w:rPr>
          <w:rFonts w:hint="eastAsia" w:ascii="仿宋_GB2312" w:eastAsia="仿宋_GB2312"/>
          <w:b/>
          <w:bCs/>
          <w:sz w:val="32"/>
          <w:szCs w:val="32"/>
        </w:rPr>
        <w:t>严格</w:t>
      </w:r>
      <w:r>
        <w:rPr>
          <w:rFonts w:hint="eastAsia" w:ascii="仿宋_GB2312" w:eastAsia="仿宋_GB2312"/>
          <w:b/>
          <w:bCs/>
          <w:sz w:val="32"/>
          <w:szCs w:val="32"/>
          <w:lang w:val="en-US" w:eastAsia="zh-CN"/>
        </w:rPr>
        <w:t>厉行节约</w:t>
      </w:r>
      <w:r>
        <w:rPr>
          <w:rFonts w:hint="eastAsia" w:ascii="仿宋_GB2312" w:eastAsia="仿宋_GB2312"/>
          <w:b/>
          <w:bCs/>
          <w:sz w:val="32"/>
          <w:szCs w:val="32"/>
        </w:rPr>
        <w:t>政策。</w:t>
      </w:r>
      <w:r>
        <w:rPr>
          <w:rFonts w:hint="eastAsia" w:ascii="仿宋_GB2312" w:hAnsi="楷体_GB2312" w:eastAsia="仿宋_GB2312" w:cs="楷体_GB2312"/>
          <w:sz w:val="32"/>
          <w:szCs w:val="32"/>
          <w:lang w:val="en-US" w:eastAsia="zh-CN"/>
        </w:rPr>
        <w:t>加强与其他单位的合作与交流，共享资源，共同降低成本，通过多种措施，行政单位能够切实降低行政运行成本，更好的实现厉行节约过紧日子，提高公共资源的利用率，为社会提供优质服务。</w:t>
      </w:r>
    </w:p>
    <w:p w14:paraId="4639F9FA">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739C2765">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1.</w:t>
      </w:r>
      <w:r>
        <w:rPr>
          <w:rFonts w:hint="eastAsia" w:ascii="Times New Roman" w:hAnsi="Times New Roman" w:eastAsia="仿宋_GB2312" w:cs="Times New Roman"/>
          <w:b w:val="0"/>
          <w:bCs w:val="0"/>
          <w:kern w:val="2"/>
          <w:sz w:val="32"/>
          <w:szCs w:val="32"/>
          <w:lang w:val="en-US" w:eastAsia="zh-CN" w:bidi="ar-SA"/>
        </w:rPr>
        <w:t>项目绩效考核依据需要更加充分，量化指标需要更加明细，要充分反映本项目开展的过程及成效。</w:t>
      </w:r>
    </w:p>
    <w:p w14:paraId="0B0860A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w:t>
      </w:r>
      <w:r>
        <w:rPr>
          <w:rFonts w:hint="eastAsia" w:ascii="Times New Roman" w:hAnsi="Times New Roman" w:eastAsia="仿宋_GB2312" w:cs="Times New Roman"/>
          <w:b w:val="0"/>
          <w:bCs w:val="0"/>
          <w:kern w:val="2"/>
          <w:sz w:val="32"/>
          <w:szCs w:val="32"/>
          <w:lang w:val="en-US" w:eastAsia="zh-CN" w:bidi="ar-SA"/>
        </w:rPr>
        <w:t>开展培训相对较少，希望多开展绩效评价培训，建立一套与预算管理相结合、多渠道应用评价结果的有机机制，使以后的项目评价更能充分反映项目成果，提高资金使用效益。</w:t>
      </w:r>
    </w:p>
    <w:p w14:paraId="58CE56F5">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14:paraId="6D091A6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22F89AC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46F7D66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2557927C">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4F6D06F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4ADC360F">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2D41BE94">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444C54B9">
      <w:pPr>
        <w:pStyle w:val="13"/>
        <w:spacing w:after="0" w:line="560" w:lineRule="exact"/>
        <w:ind w:left="0" w:leftChars="0" w:firstLine="0" w:firstLineChars="0"/>
        <w:rPr>
          <w:rFonts w:hint="eastAsia" w:ascii="Times New Roman" w:hAnsi="Times New Roman" w:eastAsia="仿宋_GB2312" w:cs="Times New Roman"/>
          <w:sz w:val="32"/>
          <w:szCs w:val="32"/>
          <w:lang w:eastAsia="zh-CN"/>
        </w:rPr>
      </w:pPr>
    </w:p>
    <w:p w14:paraId="2D86D31C">
      <w:pPr>
        <w:pStyle w:val="13"/>
        <w:spacing w:after="0" w:line="560" w:lineRule="exact"/>
        <w:ind w:left="0" w:leftChars="0" w:firstLine="640"/>
        <w:rPr>
          <w:rFonts w:hint="default" w:ascii="Times New Roman" w:hAnsi="Times New Roman" w:eastAsia="仿宋_GB2312" w:cs="Times New Roman"/>
          <w:sz w:val="32"/>
          <w:szCs w:val="32"/>
        </w:rPr>
      </w:pPr>
    </w:p>
    <w:p w14:paraId="3B404BFD">
      <w:pPr>
        <w:pStyle w:val="13"/>
        <w:spacing w:after="0" w:line="560" w:lineRule="exact"/>
        <w:ind w:left="0" w:leftChars="0" w:firstLine="0" w:firstLineChars="0"/>
        <w:rPr>
          <w:rFonts w:hint="default" w:ascii="Times New Roman" w:hAnsi="Times New Roman" w:eastAsia="仿宋_GB2312" w:cs="Times New Roman"/>
          <w:sz w:val="32"/>
          <w:szCs w:val="32"/>
        </w:rPr>
      </w:pPr>
    </w:p>
    <w:p w14:paraId="040734D7">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209CD944">
      <w:pPr>
        <w:pStyle w:val="19"/>
        <w:ind w:firstLine="562"/>
        <w:jc w:val="lef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bookmarkStart w:id="1" w:name="_Toc26499_WPSOffice_Level2"/>
      <w:bookmarkStart w:id="2" w:name="_Toc30064_WPSOffice_Level1"/>
    </w:p>
    <w:p w14:paraId="1B78CFD6">
      <w:pPr>
        <w:pStyle w:val="19"/>
        <w:ind w:firstLine="562"/>
        <w:jc w:val="center"/>
        <w:rPr>
          <w:rFonts w:hint="eastAsia" w:ascii="仿宋_GB2312" w:hAnsi="仿宋_GB2312" w:eastAsia="仿宋_GB2312" w:cs="仿宋_GB2312"/>
          <w:sz w:val="28"/>
          <w:szCs w:val="40"/>
        </w:rPr>
      </w:pPr>
      <w:r>
        <w:rPr>
          <w:rFonts w:hint="eastAsia" w:eastAsia="黑体" w:cs="Times New Roman"/>
          <w:sz w:val="28"/>
          <w:szCs w:val="28"/>
          <w:lang w:val="en-US" w:eastAsia="zh-CN"/>
        </w:rPr>
        <w:t>关</w:t>
      </w:r>
      <w:r>
        <w:rPr>
          <w:rFonts w:hint="eastAsia" w:ascii="仿宋_GB2312" w:hAnsi="仿宋_GB2312" w:eastAsia="仿宋_GB2312" w:cs="仿宋_GB2312"/>
          <w:b/>
          <w:bCs/>
          <w:sz w:val="28"/>
          <w:szCs w:val="28"/>
          <w:lang w:val="en-US" w:eastAsia="zh-CN"/>
        </w:rPr>
        <w:t>于</w:t>
      </w:r>
      <w:r>
        <w:rPr>
          <w:rFonts w:hint="eastAsia" w:ascii="仿宋_GB2312" w:hAnsi="仿宋_GB2312" w:eastAsia="仿宋_GB2312" w:cs="仿宋_GB2312"/>
          <w:b/>
          <w:bCs/>
          <w:sz w:val="28"/>
          <w:szCs w:val="40"/>
          <w:lang w:val="en-US" w:eastAsia="zh-CN"/>
        </w:rPr>
        <w:t>东湾镇文化活动经费，中央政法纪检监察经费，技术服务费，维修费运转类经费项目</w:t>
      </w:r>
      <w:r>
        <w:rPr>
          <w:rFonts w:hint="eastAsia" w:ascii="仿宋_GB2312" w:hAnsi="仿宋_GB2312" w:eastAsia="仿宋_GB2312" w:cs="仿宋_GB2312"/>
          <w:b/>
          <w:bCs/>
          <w:sz w:val="28"/>
          <w:szCs w:val="40"/>
        </w:rPr>
        <w:t>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4A4AA0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blHeader/>
          <w:jc w:val="center"/>
        </w:trPr>
        <w:tc>
          <w:tcPr>
            <w:tcW w:w="1002" w:type="dxa"/>
            <w:shd w:val="clear" w:color="auto" w:fill="FFFFFF"/>
            <w:vAlign w:val="center"/>
          </w:tcPr>
          <w:p w14:paraId="7D186BB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14:paraId="6E0F4DB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7BAD7EF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14:paraId="6EBCA9D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14:paraId="227D9F0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14:paraId="0AC764A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5" w:type="dxa"/>
            <w:shd w:val="clear" w:color="auto" w:fill="FFFFFF"/>
            <w:vAlign w:val="center"/>
          </w:tcPr>
          <w:p w14:paraId="7DD41C6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2B2DE8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45637396">
            <w:pPr>
              <w:widowControl/>
              <w:spacing w:line="0" w:lineRule="atLeast"/>
              <w:jc w:val="center"/>
              <w:rPr>
                <w:rFonts w:hint="default" w:ascii="Times New Roman" w:hAnsi="Times New Roman" w:eastAsia="仿宋_GB2312" w:cs="Times New Roman"/>
                <w:color w:val="000000"/>
                <w:kern w:val="0"/>
                <w:sz w:val="18"/>
                <w:szCs w:val="18"/>
              </w:rPr>
            </w:pPr>
          </w:p>
          <w:p w14:paraId="462FA5D5">
            <w:pPr>
              <w:widowControl/>
              <w:spacing w:line="0" w:lineRule="atLeast"/>
              <w:jc w:val="center"/>
              <w:rPr>
                <w:rFonts w:hint="default" w:ascii="Times New Roman" w:hAnsi="Times New Roman" w:eastAsia="仿宋_GB2312" w:cs="Times New Roman"/>
                <w:color w:val="000000"/>
                <w:kern w:val="0"/>
                <w:sz w:val="18"/>
                <w:szCs w:val="18"/>
              </w:rPr>
            </w:pPr>
          </w:p>
          <w:p w14:paraId="7BC8A7FA">
            <w:pPr>
              <w:widowControl/>
              <w:spacing w:line="0" w:lineRule="atLeast"/>
              <w:jc w:val="center"/>
              <w:rPr>
                <w:rFonts w:hint="default" w:ascii="Times New Roman" w:hAnsi="Times New Roman" w:eastAsia="仿宋_GB2312" w:cs="Times New Roman"/>
                <w:color w:val="000000"/>
                <w:kern w:val="0"/>
                <w:sz w:val="18"/>
                <w:szCs w:val="18"/>
              </w:rPr>
            </w:pPr>
          </w:p>
          <w:p w14:paraId="17E633AE">
            <w:pPr>
              <w:widowControl/>
              <w:spacing w:line="0" w:lineRule="atLeast"/>
              <w:jc w:val="center"/>
              <w:rPr>
                <w:rFonts w:hint="default" w:ascii="Times New Roman" w:hAnsi="Times New Roman" w:eastAsia="仿宋_GB2312" w:cs="Times New Roman"/>
                <w:color w:val="000000"/>
                <w:kern w:val="0"/>
                <w:sz w:val="18"/>
                <w:szCs w:val="18"/>
              </w:rPr>
            </w:pPr>
          </w:p>
          <w:p w14:paraId="06D2C59C">
            <w:pPr>
              <w:widowControl/>
              <w:spacing w:line="0" w:lineRule="atLeast"/>
              <w:jc w:val="center"/>
              <w:rPr>
                <w:rFonts w:hint="default" w:ascii="Times New Roman" w:hAnsi="Times New Roman" w:eastAsia="仿宋_GB2312" w:cs="Times New Roman"/>
                <w:color w:val="000000"/>
                <w:kern w:val="0"/>
                <w:sz w:val="18"/>
                <w:szCs w:val="18"/>
              </w:rPr>
            </w:pPr>
          </w:p>
          <w:p w14:paraId="2D133773">
            <w:pPr>
              <w:widowControl/>
              <w:spacing w:line="0" w:lineRule="atLeast"/>
              <w:jc w:val="center"/>
              <w:rPr>
                <w:rFonts w:hint="default" w:ascii="Times New Roman" w:hAnsi="Times New Roman" w:eastAsia="仿宋_GB2312" w:cs="Times New Roman"/>
                <w:color w:val="000000"/>
                <w:kern w:val="0"/>
                <w:sz w:val="18"/>
                <w:szCs w:val="18"/>
              </w:rPr>
            </w:pPr>
          </w:p>
          <w:p w14:paraId="5600034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14:paraId="151D571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14:paraId="68F5458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4C93272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5" w:type="dxa"/>
            <w:shd w:val="clear" w:color="auto" w:fill="FFFFFF"/>
            <w:vAlign w:val="center"/>
          </w:tcPr>
          <w:p w14:paraId="52B46AA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19CEF5BE">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4" w:type="dxa"/>
            <w:gridSpan w:val="2"/>
            <w:shd w:val="clear" w:color="auto" w:fill="FFFFFF"/>
            <w:vAlign w:val="center"/>
          </w:tcPr>
          <w:p w14:paraId="2DA3154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3B74306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2EB362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37717CDE">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07760B3D">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11065E8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62AF6BD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5" w:type="dxa"/>
            <w:shd w:val="clear" w:color="auto" w:fill="FFFFFF"/>
            <w:vAlign w:val="center"/>
          </w:tcPr>
          <w:p w14:paraId="190372B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14:paraId="7F1782F6">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4" w:type="dxa"/>
            <w:gridSpan w:val="2"/>
            <w:shd w:val="clear" w:color="auto" w:fill="FFFFFF"/>
            <w:vAlign w:val="center"/>
          </w:tcPr>
          <w:p w14:paraId="35B3A71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676BEBD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70D532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45BD9865">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6B5857A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14:paraId="10D90AD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4164941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000000" w:fill="FFFFFF"/>
            <w:vAlign w:val="center"/>
          </w:tcPr>
          <w:p w14:paraId="223B0BB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0E784CCC">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3FDD6A37">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4" w:type="dxa"/>
            <w:gridSpan w:val="2"/>
            <w:shd w:val="clear" w:color="000000" w:fill="FFFFFF"/>
            <w:vAlign w:val="center"/>
          </w:tcPr>
          <w:p w14:paraId="73B733C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377C384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C2ED3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1F50F2F6">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52356A78">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7F1BE92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19A5BAD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5" w:type="dxa"/>
            <w:shd w:val="clear" w:color="000000" w:fill="FFFFFF"/>
            <w:vAlign w:val="center"/>
          </w:tcPr>
          <w:p w14:paraId="2653F89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789C78C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4" w:type="dxa"/>
            <w:gridSpan w:val="2"/>
            <w:shd w:val="clear" w:color="000000" w:fill="FFFFFF"/>
            <w:vAlign w:val="center"/>
          </w:tcPr>
          <w:p w14:paraId="1D8959A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0C749D7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4344BF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5A97AE1D">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441703E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2F096F8D">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3C6AB06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5011CDD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5" w:type="dxa"/>
            <w:shd w:val="clear" w:color="auto" w:fill="FFFFFF"/>
            <w:vAlign w:val="center"/>
          </w:tcPr>
          <w:p w14:paraId="20E8AD6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1A62B11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4" w:type="dxa"/>
            <w:gridSpan w:val="2"/>
            <w:shd w:val="clear" w:color="auto" w:fill="FFFFFF"/>
            <w:vAlign w:val="center"/>
          </w:tcPr>
          <w:p w14:paraId="4E1B67F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762F753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347CC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3288BF71">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7AF35572">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27E39E6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0D779A7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auto" w:fill="FFFFFF"/>
            <w:vAlign w:val="center"/>
          </w:tcPr>
          <w:p w14:paraId="7066891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5E8B2E3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4" w:type="dxa"/>
            <w:gridSpan w:val="2"/>
            <w:shd w:val="clear" w:color="auto" w:fill="FFFFFF"/>
            <w:vAlign w:val="center"/>
          </w:tcPr>
          <w:p w14:paraId="431DE7D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439F1B8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0CCA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211E3BCE">
            <w:pPr>
              <w:spacing w:line="0" w:lineRule="atLeast"/>
              <w:jc w:val="center"/>
              <w:rPr>
                <w:rFonts w:hint="default" w:ascii="Times New Roman" w:hAnsi="Times New Roman" w:eastAsia="仿宋_GB2312" w:cs="Times New Roman"/>
                <w:color w:val="000000"/>
                <w:kern w:val="0"/>
                <w:sz w:val="18"/>
                <w:szCs w:val="18"/>
              </w:rPr>
            </w:pPr>
          </w:p>
          <w:p w14:paraId="50BA6AE6">
            <w:pPr>
              <w:spacing w:line="0" w:lineRule="atLeast"/>
              <w:jc w:val="center"/>
              <w:rPr>
                <w:rFonts w:hint="default" w:ascii="Times New Roman" w:hAnsi="Times New Roman" w:eastAsia="仿宋_GB2312" w:cs="Times New Roman"/>
                <w:color w:val="000000"/>
                <w:kern w:val="0"/>
                <w:sz w:val="18"/>
                <w:szCs w:val="18"/>
              </w:rPr>
            </w:pPr>
          </w:p>
          <w:p w14:paraId="6A353A1E">
            <w:pPr>
              <w:spacing w:line="0" w:lineRule="atLeast"/>
              <w:jc w:val="center"/>
              <w:rPr>
                <w:rFonts w:hint="default" w:ascii="Times New Roman" w:hAnsi="Times New Roman" w:eastAsia="仿宋_GB2312" w:cs="Times New Roman"/>
                <w:color w:val="000000"/>
                <w:kern w:val="0"/>
                <w:sz w:val="18"/>
                <w:szCs w:val="18"/>
              </w:rPr>
            </w:pPr>
          </w:p>
          <w:p w14:paraId="7607E69A">
            <w:pPr>
              <w:spacing w:line="0" w:lineRule="atLeast"/>
              <w:jc w:val="center"/>
              <w:rPr>
                <w:rFonts w:hint="default" w:ascii="Times New Roman" w:hAnsi="Times New Roman" w:eastAsia="仿宋_GB2312" w:cs="Times New Roman"/>
                <w:color w:val="000000"/>
                <w:kern w:val="0"/>
                <w:sz w:val="18"/>
                <w:szCs w:val="18"/>
              </w:rPr>
            </w:pPr>
          </w:p>
          <w:p w14:paraId="0D718ECE">
            <w:pPr>
              <w:spacing w:line="0" w:lineRule="atLeast"/>
              <w:jc w:val="center"/>
              <w:rPr>
                <w:rFonts w:hint="default" w:ascii="Times New Roman" w:hAnsi="Times New Roman" w:eastAsia="仿宋_GB2312" w:cs="Times New Roman"/>
                <w:color w:val="000000"/>
                <w:kern w:val="0"/>
                <w:sz w:val="18"/>
                <w:szCs w:val="18"/>
              </w:rPr>
            </w:pPr>
          </w:p>
          <w:p w14:paraId="60B19A1A">
            <w:pPr>
              <w:spacing w:line="0" w:lineRule="atLeast"/>
              <w:jc w:val="center"/>
              <w:rPr>
                <w:rFonts w:hint="default" w:ascii="Times New Roman" w:hAnsi="Times New Roman" w:eastAsia="仿宋_GB2312" w:cs="Times New Roman"/>
                <w:color w:val="000000"/>
                <w:kern w:val="0"/>
                <w:sz w:val="18"/>
                <w:szCs w:val="18"/>
              </w:rPr>
            </w:pPr>
          </w:p>
          <w:p w14:paraId="50DF4C4C">
            <w:pPr>
              <w:spacing w:line="0" w:lineRule="atLeast"/>
              <w:jc w:val="center"/>
              <w:rPr>
                <w:rFonts w:hint="default" w:ascii="Times New Roman" w:hAnsi="Times New Roman" w:eastAsia="仿宋_GB2312" w:cs="Times New Roman"/>
                <w:color w:val="000000"/>
                <w:kern w:val="0"/>
                <w:sz w:val="18"/>
                <w:szCs w:val="18"/>
              </w:rPr>
            </w:pPr>
          </w:p>
          <w:p w14:paraId="7479F3FC">
            <w:pPr>
              <w:spacing w:line="0" w:lineRule="atLeast"/>
              <w:jc w:val="center"/>
              <w:rPr>
                <w:rFonts w:hint="default" w:ascii="Times New Roman" w:hAnsi="Times New Roman" w:eastAsia="仿宋_GB2312" w:cs="Times New Roman"/>
                <w:color w:val="000000"/>
                <w:kern w:val="0"/>
                <w:sz w:val="18"/>
                <w:szCs w:val="18"/>
              </w:rPr>
            </w:pPr>
          </w:p>
          <w:p w14:paraId="5040E611">
            <w:pPr>
              <w:spacing w:line="0" w:lineRule="atLeast"/>
              <w:jc w:val="center"/>
              <w:rPr>
                <w:rFonts w:hint="default" w:ascii="Times New Roman" w:hAnsi="Times New Roman" w:eastAsia="仿宋_GB2312" w:cs="Times New Roman"/>
                <w:color w:val="000000"/>
                <w:kern w:val="0"/>
                <w:sz w:val="18"/>
                <w:szCs w:val="18"/>
              </w:rPr>
            </w:pPr>
          </w:p>
          <w:p w14:paraId="73E99ECE">
            <w:pPr>
              <w:spacing w:line="0" w:lineRule="atLeast"/>
              <w:jc w:val="center"/>
              <w:rPr>
                <w:rFonts w:hint="default" w:ascii="Times New Roman" w:hAnsi="Times New Roman" w:eastAsia="仿宋_GB2312" w:cs="Times New Roman"/>
                <w:color w:val="000000"/>
                <w:kern w:val="0"/>
                <w:sz w:val="18"/>
                <w:szCs w:val="18"/>
              </w:rPr>
            </w:pPr>
          </w:p>
          <w:p w14:paraId="6EBEC6A5">
            <w:pPr>
              <w:spacing w:line="0" w:lineRule="atLeast"/>
              <w:jc w:val="center"/>
              <w:rPr>
                <w:rFonts w:hint="default" w:ascii="Times New Roman" w:hAnsi="Times New Roman" w:eastAsia="仿宋_GB2312" w:cs="Times New Roman"/>
                <w:color w:val="000000"/>
                <w:kern w:val="0"/>
                <w:sz w:val="18"/>
                <w:szCs w:val="18"/>
              </w:rPr>
            </w:pPr>
          </w:p>
          <w:p w14:paraId="34AA9B91">
            <w:pPr>
              <w:spacing w:line="0" w:lineRule="atLeast"/>
              <w:jc w:val="center"/>
              <w:rPr>
                <w:rFonts w:hint="default" w:ascii="Times New Roman" w:hAnsi="Times New Roman" w:eastAsia="仿宋_GB2312" w:cs="Times New Roman"/>
                <w:color w:val="000000"/>
                <w:kern w:val="0"/>
                <w:sz w:val="18"/>
                <w:szCs w:val="18"/>
              </w:rPr>
            </w:pPr>
          </w:p>
          <w:p w14:paraId="7DABCA6F">
            <w:pPr>
              <w:spacing w:line="0" w:lineRule="atLeast"/>
              <w:jc w:val="center"/>
              <w:rPr>
                <w:rFonts w:hint="default" w:ascii="Times New Roman" w:hAnsi="Times New Roman" w:eastAsia="仿宋_GB2312" w:cs="Times New Roman"/>
                <w:color w:val="000000"/>
                <w:kern w:val="0"/>
                <w:sz w:val="18"/>
                <w:szCs w:val="18"/>
              </w:rPr>
            </w:pPr>
          </w:p>
          <w:p w14:paraId="2AD996EA">
            <w:pPr>
              <w:spacing w:line="0" w:lineRule="atLeast"/>
              <w:jc w:val="center"/>
              <w:rPr>
                <w:rFonts w:hint="default" w:ascii="Times New Roman" w:hAnsi="Times New Roman" w:eastAsia="仿宋_GB2312" w:cs="Times New Roman"/>
                <w:color w:val="000000"/>
                <w:kern w:val="0"/>
                <w:sz w:val="18"/>
                <w:szCs w:val="18"/>
              </w:rPr>
            </w:pPr>
          </w:p>
          <w:p w14:paraId="398CDDA3">
            <w:pPr>
              <w:spacing w:line="0" w:lineRule="atLeast"/>
              <w:jc w:val="center"/>
              <w:rPr>
                <w:rFonts w:hint="default" w:ascii="Times New Roman" w:hAnsi="Times New Roman" w:eastAsia="仿宋_GB2312" w:cs="Times New Roman"/>
                <w:color w:val="000000"/>
                <w:kern w:val="0"/>
                <w:sz w:val="18"/>
                <w:szCs w:val="18"/>
              </w:rPr>
            </w:pPr>
          </w:p>
          <w:p w14:paraId="263BA06B">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4C3BB17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14:paraId="7BE58CD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3DAA00E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5" w:type="dxa"/>
            <w:shd w:val="clear" w:color="000000" w:fill="FFFFFF"/>
            <w:vAlign w:val="center"/>
          </w:tcPr>
          <w:p w14:paraId="12A078A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2A2CCAA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5C48EC7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7BB6A3D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4" w:type="dxa"/>
            <w:gridSpan w:val="2"/>
            <w:shd w:val="clear" w:color="000000" w:fill="FFFFFF"/>
            <w:vAlign w:val="center"/>
          </w:tcPr>
          <w:p w14:paraId="6763722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4680BAC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D1967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0D0108E7">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191B194F">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4458DA1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5" w:type="dxa"/>
            <w:shd w:val="clear" w:color="auto" w:fill="FFFFFF"/>
            <w:vAlign w:val="center"/>
          </w:tcPr>
          <w:p w14:paraId="0358E11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14:paraId="7359DE9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4" w:type="dxa"/>
            <w:gridSpan w:val="2"/>
            <w:shd w:val="clear" w:color="auto" w:fill="FFFFFF"/>
            <w:vAlign w:val="center"/>
          </w:tcPr>
          <w:p w14:paraId="5F08A51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21F0102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D5448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6CEF2998">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2FF872D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62D8405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67E4DB3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5" w:type="dxa"/>
            <w:shd w:val="clear" w:color="000000" w:fill="FFFFFF"/>
            <w:vAlign w:val="center"/>
          </w:tcPr>
          <w:p w14:paraId="32D7B2D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3A7126D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4" w:type="dxa"/>
            <w:gridSpan w:val="2"/>
            <w:shd w:val="clear" w:color="000000" w:fill="FFFFFF"/>
            <w:vAlign w:val="center"/>
          </w:tcPr>
          <w:p w14:paraId="7B415A3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1819D03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81469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28D77068">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2B7EFE0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73CD0C60">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26391E2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3C45D67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5" w:type="dxa"/>
            <w:shd w:val="clear" w:color="000000" w:fill="FFFFFF"/>
            <w:vAlign w:val="center"/>
          </w:tcPr>
          <w:p w14:paraId="11CBD10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650F71D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4" w:type="dxa"/>
            <w:gridSpan w:val="2"/>
            <w:shd w:val="clear" w:color="000000" w:fill="FFFFFF"/>
            <w:vAlign w:val="center"/>
          </w:tcPr>
          <w:p w14:paraId="3CBB11E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7DF3F44B">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4295BA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253B7D8F">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72840045">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00F81FE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7774D29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5" w:type="dxa"/>
            <w:shd w:val="clear" w:color="000000" w:fill="FFFFFF"/>
            <w:vAlign w:val="center"/>
          </w:tcPr>
          <w:p w14:paraId="4EACC6E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6D48734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4" w:type="dxa"/>
            <w:gridSpan w:val="2"/>
            <w:shd w:val="clear" w:color="000000" w:fill="FFFFFF"/>
            <w:vAlign w:val="center"/>
          </w:tcPr>
          <w:p w14:paraId="0066424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1B19B68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D657D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6A98A4E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14:paraId="6FF665B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14:paraId="407FC5B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5" w:type="dxa"/>
            <w:shd w:val="clear" w:color="000000" w:fill="FFFFFF"/>
            <w:vAlign w:val="center"/>
          </w:tcPr>
          <w:p w14:paraId="76473AE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0145B3F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4" w:type="dxa"/>
            <w:gridSpan w:val="2"/>
            <w:shd w:val="clear" w:color="000000" w:fill="FFFFFF"/>
            <w:vAlign w:val="center"/>
          </w:tcPr>
          <w:p w14:paraId="1A29481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4B1A00CC">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783ABF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7513653F">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48DCF3C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14:paraId="17F1A55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5" w:type="dxa"/>
            <w:shd w:val="clear" w:color="000000" w:fill="FFFFFF"/>
            <w:vAlign w:val="center"/>
          </w:tcPr>
          <w:p w14:paraId="5869C12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27DEEF6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39F9843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1DAF83A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123273AB">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92FB1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1B1C8C88">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756B0226">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14:paraId="61934A3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5" w:type="dxa"/>
            <w:shd w:val="clear" w:color="000000" w:fill="FFFFFF"/>
            <w:vAlign w:val="center"/>
          </w:tcPr>
          <w:p w14:paraId="16DBCD0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519DBEF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4" w:type="dxa"/>
            <w:gridSpan w:val="2"/>
            <w:shd w:val="clear" w:color="000000" w:fill="FFFFFF"/>
            <w:vAlign w:val="center"/>
          </w:tcPr>
          <w:p w14:paraId="399FCFC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1DEF2CF0">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73010C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15914E6C">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2DBBC88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0578D6A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14:paraId="6D6FEDD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4FE5990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4" w:type="dxa"/>
            <w:gridSpan w:val="2"/>
            <w:shd w:val="clear" w:color="000000" w:fill="FFFFFF"/>
            <w:vAlign w:val="center"/>
          </w:tcPr>
          <w:p w14:paraId="7B79CD9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57BED9DD">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347D5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534697E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14:paraId="6E7E309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14:paraId="583B9FA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5" w:type="dxa"/>
            <w:shd w:val="clear" w:color="auto" w:fill="FFFFFF"/>
            <w:vAlign w:val="center"/>
          </w:tcPr>
          <w:p w14:paraId="3FD6F78A">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FFFFFF"/>
            <w:vAlign w:val="center"/>
          </w:tcPr>
          <w:p w14:paraId="1B9D771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4" w:type="dxa"/>
            <w:gridSpan w:val="2"/>
            <w:shd w:val="clear" w:color="auto" w:fill="FFFFFF"/>
            <w:vAlign w:val="center"/>
          </w:tcPr>
          <w:p w14:paraId="3758FB2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auto" w:fill="FFFFFF"/>
            <w:vAlign w:val="center"/>
          </w:tcPr>
          <w:p w14:paraId="47233814">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D9EE3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073051D3">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4344909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63A3429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4ED054C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5216" w:type="dxa"/>
            <w:shd w:val="clear" w:color="000000" w:fill="FFFFFF"/>
            <w:vAlign w:val="center"/>
          </w:tcPr>
          <w:p w14:paraId="1E68ACD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304" w:type="dxa"/>
            <w:gridSpan w:val="2"/>
            <w:shd w:val="clear" w:color="000000" w:fill="FFFFFF"/>
            <w:vAlign w:val="center"/>
          </w:tcPr>
          <w:p w14:paraId="34632FE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2F506E0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xx</w:t>
            </w:r>
          </w:p>
        </w:tc>
      </w:tr>
      <w:tr w14:paraId="08E733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36BF30AF">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合计</w:t>
            </w:r>
          </w:p>
        </w:tc>
        <w:tc>
          <w:tcPr>
            <w:tcW w:w="1299" w:type="dxa"/>
            <w:shd w:val="clear" w:color="000000" w:fill="FFFFFF"/>
            <w:vAlign w:val="center"/>
          </w:tcPr>
          <w:p w14:paraId="52C320B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fldChar w:fldCharType="begin"/>
            </w:r>
            <w:r>
              <w:rPr>
                <w:rFonts w:hint="default" w:ascii="Times New Roman" w:hAnsi="Times New Roman" w:eastAsia="仿宋_GB2312" w:cs="Times New Roman"/>
                <w:b/>
                <w:bCs/>
                <w:color w:val="000000"/>
                <w:kern w:val="0"/>
                <w:sz w:val="18"/>
                <w:szCs w:val="18"/>
              </w:rPr>
              <w:instrText xml:space="preserve"> = sum(F2:F18) \* MERGEFORMAT </w:instrText>
            </w:r>
            <w:r>
              <w:rPr>
                <w:rFonts w:hint="default" w:ascii="Times New Roman" w:hAnsi="Times New Roman" w:eastAsia="仿宋_GB2312" w:cs="Times New Roman"/>
                <w:b/>
                <w:bCs/>
                <w:color w:val="000000"/>
                <w:kern w:val="0"/>
                <w:sz w:val="18"/>
                <w:szCs w:val="18"/>
              </w:rPr>
              <w:fldChar w:fldCharType="separate"/>
            </w:r>
            <w:r>
              <w:rPr>
                <w:rFonts w:hint="default" w:ascii="Times New Roman" w:hAnsi="Times New Roman" w:eastAsia="仿宋_GB2312" w:cs="Times New Roman"/>
                <w:b/>
                <w:bCs/>
                <w:color w:val="000000"/>
                <w:kern w:val="0"/>
                <w:sz w:val="18"/>
                <w:szCs w:val="18"/>
              </w:rPr>
              <w:t>100</w:t>
            </w:r>
            <w:r>
              <w:rPr>
                <w:rFonts w:hint="default" w:ascii="Times New Roman" w:hAnsi="Times New Roman" w:eastAsia="仿宋_GB2312" w:cs="Times New Roman"/>
                <w:b/>
                <w:bCs/>
                <w:color w:val="000000"/>
                <w:kern w:val="0"/>
                <w:sz w:val="18"/>
                <w:szCs w:val="18"/>
              </w:rPr>
              <w:fldChar w:fldCharType="end"/>
            </w:r>
          </w:p>
        </w:tc>
        <w:tc>
          <w:tcPr>
            <w:tcW w:w="1365" w:type="dxa"/>
            <w:shd w:val="clear" w:color="000000" w:fill="FFFFFF"/>
            <w:vAlign w:val="center"/>
          </w:tcPr>
          <w:p w14:paraId="691652E2">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90</w:t>
            </w:r>
          </w:p>
        </w:tc>
      </w:tr>
    </w:tbl>
    <w:p w14:paraId="1C835879">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119EE53E">
      <w:pPr>
        <w:rPr>
          <w:rFonts w:hint="default" w:ascii="Times New Roman" w:hAnsi="Times New Roman" w:cs="Times New Roman"/>
        </w:rPr>
      </w:pPr>
    </w:p>
    <w:p w14:paraId="0C231060">
      <w:pPr>
        <w:keepNext w:val="0"/>
        <w:keepLines w:val="0"/>
        <w:pageBreakBefore w:val="0"/>
        <w:kinsoku/>
        <w:wordWrap/>
        <w:overflowPunct/>
        <w:topLinePunct w:val="0"/>
        <w:autoSpaceDE/>
        <w:autoSpaceDN/>
        <w:bidi w:val="0"/>
        <w:adjustRightInd/>
        <w:snapToGrid/>
        <w:spacing w:line="5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2</w:t>
      </w:r>
    </w:p>
    <w:p w14:paraId="2F19002A">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b/>
          <w:bCs/>
          <w:i w:val="0"/>
          <w:iCs w:val="0"/>
          <w:color w:val="000000"/>
          <w:kern w:val="0"/>
          <w:sz w:val="22"/>
          <w:szCs w:val="22"/>
          <w:highlight w:val="none"/>
          <w:u w:val="none"/>
          <w:lang w:val="en-US" w:eastAsia="zh-CN" w:bidi="ar"/>
        </w:rPr>
      </w:pPr>
      <w:r>
        <w:rPr>
          <w:rFonts w:hint="default" w:ascii="Times New Roman" w:hAnsi="Times New Roman" w:eastAsia="仿宋_GB2312" w:cs="Times New Roman"/>
          <w:b/>
          <w:bCs/>
          <w:i w:val="0"/>
          <w:iCs w:val="0"/>
          <w:color w:val="000000"/>
          <w:kern w:val="0"/>
          <w:sz w:val="22"/>
          <w:szCs w:val="22"/>
          <w:highlight w:val="none"/>
          <w:u w:val="none"/>
          <w:lang w:val="en-US" w:eastAsia="zh-CN" w:bidi="ar"/>
        </w:rPr>
        <w:t>（ 2024年度）</w:t>
      </w:r>
    </w:p>
    <w:p w14:paraId="6510FDF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i w:val="0"/>
          <w:iCs w:val="0"/>
          <w:color w:val="000000"/>
          <w:kern w:val="0"/>
          <w:sz w:val="28"/>
          <w:szCs w:val="28"/>
          <w:highlight w:val="none"/>
          <w:u w:val="none"/>
          <w:lang w:val="en-US" w:eastAsia="zh-CN" w:bidi="ar"/>
        </w:rPr>
      </w:pPr>
      <w:r>
        <w:rPr>
          <w:rFonts w:hint="eastAsia" w:ascii="仿宋_GB2312" w:hAnsi="仿宋_GB2312" w:eastAsia="仿宋_GB2312" w:cs="仿宋_GB2312"/>
          <w:b/>
          <w:bCs/>
          <w:i w:val="0"/>
          <w:iCs w:val="0"/>
          <w:color w:val="000000"/>
          <w:kern w:val="0"/>
          <w:sz w:val="28"/>
          <w:szCs w:val="28"/>
          <w:highlight w:val="none"/>
          <w:u w:val="none"/>
          <w:lang w:val="en-US" w:eastAsia="zh-CN" w:bidi="ar"/>
        </w:rPr>
        <w:t>项目支出绩效自评表</w:t>
      </w:r>
    </w:p>
    <w:tbl>
      <w:tblPr>
        <w:tblStyle w:val="14"/>
        <w:tblpPr w:leftFromText="180" w:rightFromText="180" w:vertAnchor="text" w:horzAnchor="page" w:tblpX="1373" w:tblpY="306"/>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748"/>
        <w:gridCol w:w="1287"/>
      </w:tblGrid>
      <w:tr w14:paraId="296A0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1"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663D56">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E14D8C6">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u w:val="none"/>
                <w:lang w:val="en-US" w:eastAsia="zh-CN" w:bidi="ar"/>
              </w:rPr>
              <w:t>关于东湾镇文化活动经费，中央政法纪检监察经费，技术服务费，维修费运转类经费项目</w:t>
            </w:r>
          </w:p>
        </w:tc>
      </w:tr>
      <w:tr w14:paraId="62D1E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7B1805">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主管部门</w:t>
            </w:r>
          </w:p>
        </w:tc>
        <w:tc>
          <w:tcPr>
            <w:tcW w:w="55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FD96E88">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u w:val="none"/>
                <w:lang w:val="en-US" w:eastAsia="zh-CN" w:bidi="ar"/>
              </w:rPr>
              <w:t>奇台县东湾镇人民政府</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7E4221">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实施单位</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7B51CB4">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u w:val="none"/>
                <w:lang w:val="en-US" w:eastAsia="zh-CN" w:bidi="ar"/>
              </w:rPr>
              <w:t>奇台县东湾镇人民政府</w:t>
            </w:r>
          </w:p>
        </w:tc>
      </w:tr>
      <w:tr w14:paraId="2AF8B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7C8A54">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项目资金</w:t>
            </w:r>
            <w:r>
              <w:rPr>
                <w:rFonts w:hint="eastAsia" w:ascii="仿宋_GB2312" w:hAnsi="仿宋_GB2312" w:eastAsia="仿宋_GB2312" w:cs="仿宋_GB2312"/>
                <w:i w:val="0"/>
                <w:iCs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iCs w:val="0"/>
                <w:color w:val="000000"/>
                <w:kern w:val="0"/>
                <w:sz w:val="18"/>
                <w:szCs w:val="18"/>
                <w:highlight w:val="none"/>
                <w:u w:val="none"/>
                <w:lang w:val="en-US" w:eastAsia="zh-CN" w:bidi="ar"/>
              </w:rPr>
              <w:t>（万元）</w:t>
            </w: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2EF6BA">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资金来源</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9EA92">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年初预算数</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AC6A10">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全年预算数</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07D7F6">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全年执行数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07C271">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分值权重</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2A9CE7">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执行率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57D0B">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得分</w:t>
            </w:r>
          </w:p>
        </w:tc>
      </w:tr>
      <w:tr w14:paraId="29009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8DDE5">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66A5B1">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年度资金总额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88A19">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14.48</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827F7D">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14.48</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E716AD">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14.48</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79F43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10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9E141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r>
              <w:rPr>
                <w:rFonts w:hint="eastAsia" w:ascii="仿宋_GB2312" w:hAnsi="仿宋_GB2312" w:eastAsia="仿宋_GB2312" w:cs="仿宋_GB2312"/>
                <w:i w:val="0"/>
                <w:iCs w:val="0"/>
                <w:color w:val="000000"/>
                <w:sz w:val="18"/>
                <w:szCs w:val="18"/>
                <w:highlight w:val="none"/>
                <w:u w:val="none"/>
              </w:rPr>
              <w:t>%</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4DD1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w:t>
            </w:r>
            <w:r>
              <w:rPr>
                <w:rFonts w:hint="eastAsia" w:ascii="仿宋_GB2312" w:hAnsi="仿宋_GB2312" w:eastAsia="仿宋_GB2312" w:cs="仿宋_GB2312"/>
                <w:i w:val="0"/>
                <w:iCs w:val="0"/>
                <w:color w:val="000000"/>
                <w:sz w:val="18"/>
                <w:szCs w:val="18"/>
                <w:highlight w:val="none"/>
                <w:u w:val="none"/>
              </w:rPr>
              <w:t>分</w:t>
            </w:r>
          </w:p>
        </w:tc>
      </w:tr>
      <w:tr w14:paraId="763D5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86731">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CA5F9A">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其中：当年财政拨款</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A4FA7">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14.48</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66B38F">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14.48</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BC4326">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14.48</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43D50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0A4BF5">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C3FCF">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r>
      <w:tr w14:paraId="1902E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084FE">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2344" w:type="dxa"/>
            <w:gridSpan w:val="2"/>
            <w:tcBorders>
              <w:top w:val="single" w:color="000000" w:sz="4" w:space="0"/>
              <w:left w:val="single" w:color="000000" w:sz="4" w:space="0"/>
              <w:bottom w:val="nil"/>
              <w:right w:val="single" w:color="000000" w:sz="4" w:space="0"/>
            </w:tcBorders>
            <w:shd w:val="clear" w:color="auto" w:fill="auto"/>
            <w:vAlign w:val="center"/>
          </w:tcPr>
          <w:p w14:paraId="1F6F8488">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其他资金</w:t>
            </w:r>
          </w:p>
        </w:tc>
        <w:tc>
          <w:tcPr>
            <w:tcW w:w="1140" w:type="dxa"/>
            <w:tcBorders>
              <w:top w:val="single" w:color="000000" w:sz="4" w:space="0"/>
              <w:left w:val="single" w:color="000000" w:sz="4" w:space="0"/>
              <w:bottom w:val="nil"/>
              <w:right w:val="single" w:color="000000" w:sz="4" w:space="0"/>
            </w:tcBorders>
            <w:shd w:val="clear" w:color="auto" w:fill="auto"/>
            <w:vAlign w:val="center"/>
          </w:tcPr>
          <w:p w14:paraId="176A7D7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2088" w:type="dxa"/>
            <w:gridSpan w:val="2"/>
            <w:tcBorders>
              <w:top w:val="single" w:color="000000" w:sz="4" w:space="0"/>
              <w:left w:val="single" w:color="000000" w:sz="4" w:space="0"/>
              <w:bottom w:val="nil"/>
              <w:right w:val="single" w:color="000000" w:sz="4" w:space="0"/>
            </w:tcBorders>
            <w:shd w:val="clear" w:color="auto" w:fill="auto"/>
            <w:vAlign w:val="center"/>
          </w:tcPr>
          <w:p w14:paraId="1378F1A5">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1719" w:type="dxa"/>
            <w:gridSpan w:val="2"/>
            <w:tcBorders>
              <w:top w:val="single" w:color="000000" w:sz="4" w:space="0"/>
              <w:left w:val="single" w:color="000000" w:sz="4" w:space="0"/>
              <w:bottom w:val="nil"/>
              <w:right w:val="single" w:color="000000" w:sz="4" w:space="0"/>
            </w:tcBorders>
            <w:shd w:val="clear" w:color="auto" w:fill="auto"/>
            <w:vAlign w:val="center"/>
          </w:tcPr>
          <w:p w14:paraId="467FD46B">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504B1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D5AF6E">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8651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r>
      <w:tr w14:paraId="0B740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8F586A">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年度总体目标</w:t>
            </w: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8AD8A16">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总体目标</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7FCDCE6">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总体目标完成情况</w:t>
            </w:r>
          </w:p>
        </w:tc>
      </w:tr>
      <w:tr w14:paraId="7C935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E036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14:paraId="08BEAEBA">
            <w:pPr>
              <w:keepNext w:val="0"/>
              <w:keepLines w:val="0"/>
              <w:pageBreakBefore w:val="0"/>
              <w:kinsoku/>
              <w:wordWrap/>
              <w:overflowPunct/>
              <w:topLinePunct w:val="0"/>
              <w:autoSpaceDE/>
              <w:autoSpaceDN/>
              <w:bidi w:val="0"/>
              <w:adjustRightInd/>
              <w:snapToGrid/>
              <w:spacing w:line="380" w:lineRule="exact"/>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根据奇乡财[2024]14号东湾镇办公楼地面塌陷及干部周转房防水加固维修费项目内容，计划申请资金8万元，对东湾镇办公楼一楼地面维修1024平方米；干部周转房屋顶防水加固600平方米。预计会对整个办公环境带来较大的改善。2、为进一步传承和弘扬中华优秀传统文化，丰富人民群众精神文化生活，我单位参加2024年2月24日开展元宵节社火大赛1次，申请资金1万元，全力营造浓厚的中华传统节日氛围，将会为人民群众送去欢乐和文明，保障人民群众精神文化活动。3、通过我县“三调”和14个乡镇“三影重叠”数据成果，将会对扣除农经确权地和退耕地还林地以外的国有农用地进行全面摸排，明确所在村组、地块编号、实际面积、发包信息、使用情况等，将会形成详细的国有农用地管理档案，将会对农村资产的管理更加规范。4、开展办案业务工作所需要办案经费和业务装备经费2万元，将会对纪委开展工作有较大的提升。</w:t>
            </w:r>
          </w:p>
          <w:p w14:paraId="23EC0205">
            <w:pPr>
              <w:keepNext w:val="0"/>
              <w:keepLines w:val="0"/>
              <w:pageBreakBefore w:val="0"/>
              <w:kinsoku/>
              <w:wordWrap/>
              <w:overflowPunct/>
              <w:topLinePunct w:val="0"/>
              <w:autoSpaceDE/>
              <w:autoSpaceDN/>
              <w:bidi w:val="0"/>
              <w:adjustRightInd/>
              <w:snapToGrid/>
              <w:spacing w:line="380" w:lineRule="exact"/>
              <w:jc w:val="left"/>
              <w:rPr>
                <w:rFonts w:hint="eastAsia" w:ascii="仿宋_GB2312" w:hAnsi="仿宋_GB2312" w:eastAsia="仿宋_GB2312" w:cs="仿宋_GB2312"/>
                <w:i w:val="0"/>
                <w:iCs w:val="0"/>
                <w:color w:val="000000"/>
                <w:sz w:val="18"/>
                <w:szCs w:val="18"/>
                <w:highlight w:val="none"/>
                <w:u w:val="none"/>
              </w:rPr>
            </w:pP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E64289D">
            <w:pPr>
              <w:keepNext w:val="0"/>
              <w:keepLines w:val="0"/>
              <w:pageBreakBefore w:val="0"/>
              <w:kinsoku/>
              <w:wordWrap/>
              <w:overflowPunct/>
              <w:topLinePunct w:val="0"/>
              <w:autoSpaceDE/>
              <w:autoSpaceDN/>
              <w:bidi w:val="0"/>
              <w:adjustRightInd/>
              <w:snapToGrid/>
              <w:spacing w:line="380" w:lineRule="exact"/>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截止2024年12月31日，我单位参演社火大赛一次，花费资金1万元，保障了人民群众精神文化活动；加固干部周转房600平方米，花费资金8万元，改善了单位的办公环境；“三影重叠”上图入库设计我镇4个村，花费资金3.486万元，会对农村资产的管理更加规范；中央纪检监察资金2万元，购买了581件办公用品，极大的提升了纪委工作效率。</w:t>
            </w:r>
          </w:p>
        </w:tc>
      </w:tr>
      <w:tr w14:paraId="36DC0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81476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绩效指标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AB6B9">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一级指标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D028F">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二级指标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0EC31">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D7BA2">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指标值</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3DE34">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指标值设置依据</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DEB8F">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上年完成值</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C8810">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指标分值权重</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70021">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指标赋分规则</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1245A">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佐证资料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3749C">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指标实际完成值</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53693">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完成率</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05BA3">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指标得分</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42D87">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偏差原因分析及改进措施</w:t>
            </w:r>
          </w:p>
        </w:tc>
      </w:tr>
      <w:tr w14:paraId="111F9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26136">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92" w:type="dxa"/>
            <w:vMerge w:val="restart"/>
            <w:tcBorders>
              <w:top w:val="single" w:color="000000" w:sz="4" w:space="0"/>
              <w:left w:val="single" w:color="000000" w:sz="4" w:space="0"/>
              <w:right w:val="single" w:color="000000" w:sz="4" w:space="0"/>
            </w:tcBorders>
            <w:shd w:val="clear" w:color="auto" w:fill="auto"/>
            <w:noWrap/>
            <w:vAlign w:val="center"/>
          </w:tcPr>
          <w:p w14:paraId="0D7D2D8B">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产出指标</w:t>
            </w:r>
          </w:p>
        </w:tc>
        <w:tc>
          <w:tcPr>
            <w:tcW w:w="1312" w:type="dxa"/>
            <w:vMerge w:val="restart"/>
            <w:tcBorders>
              <w:top w:val="single" w:color="000000" w:sz="4" w:space="0"/>
              <w:left w:val="single" w:color="000000" w:sz="4" w:space="0"/>
              <w:right w:val="single" w:color="000000" w:sz="4" w:space="0"/>
            </w:tcBorders>
            <w:shd w:val="clear" w:color="auto" w:fill="auto"/>
            <w:noWrap/>
            <w:vAlign w:val="center"/>
          </w:tcPr>
          <w:p w14:paraId="16708A21">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14:paraId="4CAFFAF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文体活动开展次数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36845">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&gt;=1次</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65488">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360F8">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99C88">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87C3D">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按照完成比</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B76C6">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8BF42">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=1次</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1CC65">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A6AAF">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8E9FF">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r>
      <w:tr w14:paraId="20B39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29C4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92" w:type="dxa"/>
            <w:vMerge w:val="continue"/>
            <w:tcBorders>
              <w:left w:val="single" w:color="000000" w:sz="4" w:space="0"/>
              <w:right w:val="single" w:color="000000" w:sz="4" w:space="0"/>
            </w:tcBorders>
            <w:shd w:val="clear" w:color="auto" w:fill="auto"/>
            <w:noWrap/>
            <w:vAlign w:val="center"/>
          </w:tcPr>
          <w:p w14:paraId="76CEF23A">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1312" w:type="dxa"/>
            <w:vMerge w:val="continue"/>
            <w:tcBorders>
              <w:left w:val="single" w:color="000000" w:sz="4" w:space="0"/>
              <w:right w:val="single" w:color="000000" w:sz="4" w:space="0"/>
            </w:tcBorders>
            <w:shd w:val="clear" w:color="auto" w:fill="auto"/>
            <w:noWrap/>
            <w:vAlign w:val="center"/>
          </w:tcPr>
          <w:p w14:paraId="43730557">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1032" w:type="dxa"/>
            <w:tcBorders>
              <w:top w:val="single" w:color="000000" w:sz="4" w:space="0"/>
              <w:left w:val="nil"/>
              <w:bottom w:val="single" w:color="000000" w:sz="4" w:space="0"/>
              <w:right w:val="single" w:color="000000" w:sz="4" w:space="0"/>
            </w:tcBorders>
            <w:shd w:val="clear" w:color="auto" w:fill="auto"/>
            <w:vAlign w:val="center"/>
          </w:tcPr>
          <w:p w14:paraId="0BC61017">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屋顶防水加固面积</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CB81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&gt;=600平方米</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4AA51">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517FB">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4A3E7">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0F658">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b w:val="0"/>
                <w:bCs w:val="0"/>
                <w:i w:val="0"/>
                <w:iCs w:val="0"/>
                <w:color w:val="000000"/>
                <w:kern w:val="2"/>
                <w:sz w:val="18"/>
                <w:szCs w:val="18"/>
                <w:highlight w:val="none"/>
                <w:u w:val="none"/>
                <w:lang w:val="en-US" w:eastAsia="zh-CN" w:bidi="ar-SA"/>
              </w:rPr>
            </w:pPr>
            <w:r>
              <w:rPr>
                <w:rFonts w:hint="eastAsia" w:ascii="仿宋_GB2312" w:hAnsi="仿宋_GB2312" w:eastAsia="仿宋_GB2312" w:cs="仿宋_GB2312"/>
                <w:b w:val="0"/>
                <w:bCs w:val="0"/>
                <w:i w:val="0"/>
                <w:iCs w:val="0"/>
                <w:color w:val="000000"/>
                <w:sz w:val="18"/>
                <w:szCs w:val="18"/>
                <w:highlight w:val="none"/>
                <w:u w:val="none"/>
                <w:lang w:val="en-US" w:eastAsia="zh-CN"/>
              </w:rPr>
              <w:t>按照完成比</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D5974">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b w:val="0"/>
                <w:bCs w:val="0"/>
                <w:i w:val="0"/>
                <w:iCs w:val="0"/>
                <w:color w:val="000000"/>
                <w:kern w:val="2"/>
                <w:sz w:val="18"/>
                <w:szCs w:val="18"/>
                <w:highlight w:val="none"/>
                <w:u w:val="none"/>
                <w:lang w:val="en-US" w:eastAsia="zh-CN" w:bidi="ar-SA"/>
              </w:rPr>
            </w:pPr>
            <w:r>
              <w:rPr>
                <w:rFonts w:hint="eastAsia" w:ascii="仿宋_GB2312" w:hAnsi="仿宋_GB2312" w:eastAsia="仿宋_GB2312" w:cs="仿宋_GB2312"/>
                <w:b w:val="0"/>
                <w:bCs w:val="0"/>
                <w:i w:val="0"/>
                <w:iCs w:val="0"/>
                <w:color w:val="000000"/>
                <w:sz w:val="18"/>
                <w:szCs w:val="18"/>
                <w:highlight w:val="none"/>
                <w:u w:val="none"/>
                <w:lang w:val="en-US"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AB919">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=600平方米</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9E4C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74682">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07895">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r>
      <w:tr w14:paraId="2157F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6FEA0">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92" w:type="dxa"/>
            <w:vMerge w:val="continue"/>
            <w:tcBorders>
              <w:left w:val="single" w:color="000000" w:sz="4" w:space="0"/>
              <w:right w:val="single" w:color="000000" w:sz="4" w:space="0"/>
            </w:tcBorders>
            <w:shd w:val="clear" w:color="auto" w:fill="auto"/>
            <w:noWrap/>
            <w:vAlign w:val="center"/>
          </w:tcPr>
          <w:p w14:paraId="3AB3A76E">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1312" w:type="dxa"/>
            <w:vMerge w:val="continue"/>
            <w:tcBorders>
              <w:left w:val="single" w:color="000000" w:sz="4" w:space="0"/>
              <w:right w:val="single" w:color="000000" w:sz="4" w:space="0"/>
            </w:tcBorders>
            <w:shd w:val="clear" w:color="auto" w:fill="auto"/>
            <w:noWrap/>
            <w:vAlign w:val="center"/>
          </w:tcPr>
          <w:p w14:paraId="29A55015">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1032" w:type="dxa"/>
            <w:tcBorders>
              <w:top w:val="single" w:color="000000" w:sz="4" w:space="0"/>
              <w:left w:val="nil"/>
              <w:bottom w:val="single" w:color="000000" w:sz="4" w:space="0"/>
              <w:right w:val="single" w:color="000000" w:sz="4" w:space="0"/>
            </w:tcBorders>
            <w:shd w:val="clear" w:color="auto" w:fill="auto"/>
            <w:vAlign w:val="center"/>
          </w:tcPr>
          <w:p w14:paraId="15690C01">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3"/>
                <w:szCs w:val="13"/>
                <w:highlight w:val="none"/>
                <w:u w:val="none"/>
                <w:lang w:val="en-US" w:eastAsia="zh-CN"/>
              </w:rPr>
              <w:t>“三影重叠”上图入库涉及乡村数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B674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&gt;=4个</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D41A9">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E254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ED455">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1EC97">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按照完成比</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355F9">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55F60">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=4个</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FA6D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6DA89">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B750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r>
      <w:tr w14:paraId="48D4D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F1311C">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92" w:type="dxa"/>
            <w:vMerge w:val="continue"/>
            <w:tcBorders>
              <w:left w:val="single" w:color="000000" w:sz="4" w:space="0"/>
              <w:right w:val="single" w:color="000000" w:sz="4" w:space="0"/>
            </w:tcBorders>
            <w:shd w:val="clear" w:color="auto" w:fill="auto"/>
            <w:noWrap/>
            <w:vAlign w:val="center"/>
          </w:tcPr>
          <w:p w14:paraId="3FACC2C3">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1312" w:type="dxa"/>
            <w:vMerge w:val="continue"/>
            <w:tcBorders>
              <w:left w:val="single" w:color="000000" w:sz="4" w:space="0"/>
              <w:bottom w:val="nil"/>
              <w:right w:val="single" w:color="000000" w:sz="4" w:space="0"/>
            </w:tcBorders>
            <w:shd w:val="clear" w:color="auto" w:fill="auto"/>
            <w:noWrap/>
            <w:vAlign w:val="center"/>
          </w:tcPr>
          <w:p w14:paraId="534912CC">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1032" w:type="dxa"/>
            <w:tcBorders>
              <w:top w:val="single" w:color="000000" w:sz="4" w:space="0"/>
              <w:left w:val="nil"/>
              <w:bottom w:val="single" w:color="000000" w:sz="4" w:space="0"/>
              <w:right w:val="single" w:color="000000" w:sz="4" w:space="0"/>
            </w:tcBorders>
            <w:shd w:val="clear" w:color="auto" w:fill="auto"/>
            <w:vAlign w:val="center"/>
          </w:tcPr>
          <w:p w14:paraId="7DA391C0">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购买办公用品数量</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9FC31">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&gt;=581个</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FF24F">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CCEA7">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E7390">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409AE">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按照完成比</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4A0E2">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59671">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=581个</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E8A3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33105">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146DE">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r>
      <w:tr w14:paraId="7C1BE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6092A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92" w:type="dxa"/>
            <w:vMerge w:val="continue"/>
            <w:tcBorders>
              <w:left w:val="single" w:color="000000" w:sz="4" w:space="0"/>
              <w:right w:val="single" w:color="000000" w:sz="4" w:space="0"/>
            </w:tcBorders>
            <w:shd w:val="clear" w:color="auto" w:fill="auto"/>
            <w:noWrap/>
            <w:vAlign w:val="center"/>
          </w:tcPr>
          <w:p w14:paraId="686C80CC">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312" w:type="dxa"/>
            <w:vMerge w:val="restart"/>
            <w:tcBorders>
              <w:top w:val="single" w:color="000000" w:sz="4" w:space="0"/>
              <w:left w:val="single" w:color="000000" w:sz="4" w:space="0"/>
              <w:right w:val="single" w:color="000000" w:sz="4" w:space="0"/>
            </w:tcBorders>
            <w:shd w:val="clear" w:color="auto" w:fill="auto"/>
            <w:vAlign w:val="center"/>
          </w:tcPr>
          <w:p w14:paraId="4C87C48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质量指标</w:t>
            </w:r>
          </w:p>
          <w:p w14:paraId="2F958406">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13CF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项目竣工验收合格率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6640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CD2E8">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9C426">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E731B">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D9105">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按照完成比</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864E6">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A6EF0">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BF83C">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DF081">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379DC">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r>
      <w:tr w14:paraId="3BF27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7"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5431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92" w:type="dxa"/>
            <w:vMerge w:val="continue"/>
            <w:tcBorders>
              <w:left w:val="single" w:color="000000" w:sz="4" w:space="0"/>
              <w:right w:val="single" w:color="000000" w:sz="4" w:space="0"/>
            </w:tcBorders>
            <w:shd w:val="clear" w:color="auto" w:fill="auto"/>
            <w:noWrap/>
            <w:vAlign w:val="center"/>
          </w:tcPr>
          <w:p w14:paraId="71063045">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312" w:type="dxa"/>
            <w:vMerge w:val="continue"/>
            <w:tcBorders>
              <w:left w:val="single" w:color="000000" w:sz="4" w:space="0"/>
              <w:bottom w:val="single" w:color="000000" w:sz="4" w:space="0"/>
              <w:right w:val="single" w:color="000000" w:sz="4" w:space="0"/>
            </w:tcBorders>
            <w:shd w:val="clear" w:color="auto" w:fill="auto"/>
            <w:vAlign w:val="center"/>
          </w:tcPr>
          <w:p w14:paraId="63ED9C34">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04E9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设备验收合格率（%）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A524B">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5449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AFFCC">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8B066">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2F270">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按照完成比</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087C0">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F3738">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064E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88283">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0DF3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r>
      <w:tr w14:paraId="487F1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3E717">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92" w:type="dxa"/>
            <w:vMerge w:val="continue"/>
            <w:tcBorders>
              <w:left w:val="single" w:color="000000" w:sz="4" w:space="0"/>
              <w:right w:val="single" w:color="000000" w:sz="4" w:space="0"/>
            </w:tcBorders>
            <w:shd w:val="clear" w:color="auto" w:fill="auto"/>
            <w:noWrap/>
            <w:vAlign w:val="center"/>
          </w:tcPr>
          <w:p w14:paraId="3032B094">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312" w:type="dxa"/>
            <w:vMerge w:val="restart"/>
            <w:tcBorders>
              <w:top w:val="single" w:color="000000" w:sz="4" w:space="0"/>
              <w:left w:val="single" w:color="000000" w:sz="4" w:space="0"/>
              <w:right w:val="single" w:color="000000" w:sz="4" w:space="0"/>
            </w:tcBorders>
            <w:shd w:val="clear" w:color="auto" w:fill="auto"/>
            <w:noWrap/>
            <w:vAlign w:val="center"/>
          </w:tcPr>
          <w:p w14:paraId="39D2E970">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时效指标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38F30">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工程完工及时率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2933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F4F6E">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B0A29">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8195D">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5C102">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按照完成比</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DF85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3098C">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6EB9D">
            <w:pPr>
              <w:keepNext w:val="0"/>
              <w:keepLines w:val="0"/>
              <w:pageBreakBefore w:val="0"/>
              <w:kinsoku/>
              <w:wordWrap/>
              <w:overflowPunct/>
              <w:topLinePunct w:val="0"/>
              <w:autoSpaceDE/>
              <w:autoSpaceDN/>
              <w:bidi w:val="0"/>
              <w:adjustRightInd/>
              <w:snapToGrid/>
              <w:spacing w:line="380" w:lineRule="exact"/>
              <w:jc w:val="both"/>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894EA">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7EAF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b/>
                <w:bCs/>
                <w:i w:val="0"/>
                <w:iCs w:val="0"/>
                <w:color w:val="000000"/>
                <w:sz w:val="18"/>
                <w:szCs w:val="18"/>
                <w:highlight w:val="none"/>
                <w:u w:val="none"/>
              </w:rPr>
            </w:pPr>
          </w:p>
        </w:tc>
      </w:tr>
      <w:tr w14:paraId="5723C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0C1A4">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92" w:type="dxa"/>
            <w:vMerge w:val="continue"/>
            <w:tcBorders>
              <w:left w:val="single" w:color="000000" w:sz="4" w:space="0"/>
              <w:bottom w:val="single" w:color="000000" w:sz="4" w:space="0"/>
              <w:right w:val="single" w:color="000000" w:sz="4" w:space="0"/>
            </w:tcBorders>
            <w:shd w:val="clear" w:color="auto" w:fill="auto"/>
            <w:noWrap/>
            <w:vAlign w:val="center"/>
          </w:tcPr>
          <w:p w14:paraId="367C0F4F">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312" w:type="dxa"/>
            <w:vMerge w:val="continue"/>
            <w:tcBorders>
              <w:left w:val="single" w:color="000000" w:sz="4" w:space="0"/>
              <w:bottom w:val="nil"/>
              <w:right w:val="single" w:color="000000" w:sz="4" w:space="0"/>
            </w:tcBorders>
            <w:shd w:val="clear" w:color="auto" w:fill="auto"/>
            <w:noWrap/>
            <w:vAlign w:val="center"/>
          </w:tcPr>
          <w:p w14:paraId="49A527E0">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D613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设备采购完成及时率（%）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D0E8C">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C73B2">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88752">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3B3D7">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3FDC7">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按照完成比</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CE551">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5D232">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D4361">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7B512">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40006">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b/>
                <w:bCs/>
                <w:i w:val="0"/>
                <w:iCs w:val="0"/>
                <w:color w:val="000000"/>
                <w:sz w:val="18"/>
                <w:szCs w:val="18"/>
                <w:highlight w:val="none"/>
                <w:u w:val="none"/>
              </w:rPr>
            </w:pPr>
          </w:p>
        </w:tc>
      </w:tr>
      <w:tr w14:paraId="2B9AE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7A2C7">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92" w:type="dxa"/>
            <w:vMerge w:val="restart"/>
            <w:tcBorders>
              <w:top w:val="single" w:color="000000" w:sz="4" w:space="0"/>
              <w:left w:val="single" w:color="000000" w:sz="4" w:space="0"/>
              <w:right w:val="single" w:color="000000" w:sz="4" w:space="0"/>
            </w:tcBorders>
            <w:shd w:val="clear" w:color="auto" w:fill="auto"/>
            <w:vAlign w:val="center"/>
          </w:tcPr>
          <w:p w14:paraId="5E191C6C">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成本指标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7AD06853">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6550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文体活动经费金额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B107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&lt;=1万元</w:t>
            </w:r>
          </w:p>
        </w:tc>
        <w:tc>
          <w:tcPr>
            <w:tcW w:w="1164" w:type="dxa"/>
            <w:tcBorders>
              <w:top w:val="single" w:color="000000" w:sz="4" w:space="0"/>
              <w:left w:val="single" w:color="000000" w:sz="4" w:space="0"/>
              <w:bottom w:val="nil"/>
              <w:right w:val="single" w:color="000000" w:sz="4" w:space="0"/>
            </w:tcBorders>
            <w:shd w:val="clear" w:color="auto" w:fill="auto"/>
            <w:vAlign w:val="center"/>
          </w:tcPr>
          <w:p w14:paraId="43371F58">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EBE36">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D2ED8">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882" w:type="dxa"/>
            <w:tcBorders>
              <w:top w:val="single" w:color="000000" w:sz="4" w:space="0"/>
              <w:left w:val="single" w:color="000000" w:sz="4" w:space="0"/>
              <w:bottom w:val="nil"/>
              <w:right w:val="single" w:color="000000" w:sz="4" w:space="0"/>
            </w:tcBorders>
            <w:shd w:val="clear" w:color="auto" w:fill="auto"/>
            <w:vAlign w:val="center"/>
          </w:tcPr>
          <w:p w14:paraId="650BC3DF">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按照完成比</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3D668">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FC535">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=1万元</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6F3C3">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F6F7F">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63A5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r>
      <w:tr w14:paraId="05C37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4111B">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92" w:type="dxa"/>
            <w:vMerge w:val="continue"/>
            <w:tcBorders>
              <w:left w:val="single" w:color="000000" w:sz="4" w:space="0"/>
              <w:right w:val="single" w:color="000000" w:sz="4" w:space="0"/>
            </w:tcBorders>
            <w:shd w:val="clear" w:color="auto" w:fill="auto"/>
            <w:vAlign w:val="center"/>
          </w:tcPr>
          <w:p w14:paraId="26A60AE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5C02D857">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E674E">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办公用品采购成本</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0B242">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&lt;=2万元</w:t>
            </w:r>
          </w:p>
        </w:tc>
        <w:tc>
          <w:tcPr>
            <w:tcW w:w="1164" w:type="dxa"/>
            <w:tcBorders>
              <w:top w:val="single" w:color="000000" w:sz="4" w:space="0"/>
              <w:left w:val="single" w:color="000000" w:sz="4" w:space="0"/>
              <w:bottom w:val="nil"/>
              <w:right w:val="single" w:color="000000" w:sz="4" w:space="0"/>
            </w:tcBorders>
            <w:shd w:val="clear" w:color="auto" w:fill="auto"/>
            <w:vAlign w:val="center"/>
          </w:tcPr>
          <w:p w14:paraId="5392E50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0553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17631">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882" w:type="dxa"/>
            <w:tcBorders>
              <w:top w:val="single" w:color="000000" w:sz="4" w:space="0"/>
              <w:left w:val="single" w:color="000000" w:sz="4" w:space="0"/>
              <w:bottom w:val="nil"/>
              <w:right w:val="single" w:color="000000" w:sz="4" w:space="0"/>
            </w:tcBorders>
            <w:shd w:val="clear" w:color="auto" w:fill="auto"/>
            <w:vAlign w:val="center"/>
          </w:tcPr>
          <w:p w14:paraId="0BCED9E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按照完成比</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31BA2">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136C3">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=2万元</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0C26B">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859E7">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91290">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r>
      <w:tr w14:paraId="0C2F3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72B3E">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92" w:type="dxa"/>
            <w:vMerge w:val="continue"/>
            <w:tcBorders>
              <w:left w:val="single" w:color="000000" w:sz="4" w:space="0"/>
              <w:right w:val="single" w:color="000000" w:sz="4" w:space="0"/>
            </w:tcBorders>
            <w:shd w:val="clear" w:color="auto" w:fill="auto"/>
            <w:vAlign w:val="center"/>
          </w:tcPr>
          <w:p w14:paraId="6630EB8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4A6BAB4D">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529A7">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防水加固维修费用</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CDFDF">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&lt;=8万元</w:t>
            </w:r>
          </w:p>
        </w:tc>
        <w:tc>
          <w:tcPr>
            <w:tcW w:w="1164" w:type="dxa"/>
            <w:tcBorders>
              <w:top w:val="single" w:color="000000" w:sz="4" w:space="0"/>
              <w:left w:val="single" w:color="000000" w:sz="4" w:space="0"/>
              <w:bottom w:val="nil"/>
              <w:right w:val="single" w:color="000000" w:sz="4" w:space="0"/>
            </w:tcBorders>
            <w:shd w:val="clear" w:color="auto" w:fill="auto"/>
            <w:vAlign w:val="center"/>
          </w:tcPr>
          <w:p w14:paraId="2E26B4B1">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D4AC4">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540D8">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882" w:type="dxa"/>
            <w:tcBorders>
              <w:top w:val="single" w:color="000000" w:sz="4" w:space="0"/>
              <w:left w:val="single" w:color="000000" w:sz="4" w:space="0"/>
              <w:bottom w:val="nil"/>
              <w:right w:val="single" w:color="000000" w:sz="4" w:space="0"/>
            </w:tcBorders>
            <w:shd w:val="clear" w:color="auto" w:fill="auto"/>
            <w:vAlign w:val="center"/>
          </w:tcPr>
          <w:p w14:paraId="7F4E44D7">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按照完成比</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7037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9DA4D">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=8万元</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617BC">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FF9CC">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50C4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r>
      <w:tr w14:paraId="4427E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40F12">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92" w:type="dxa"/>
            <w:vMerge w:val="continue"/>
            <w:tcBorders>
              <w:left w:val="single" w:color="000000" w:sz="4" w:space="0"/>
              <w:bottom w:val="single" w:color="000000" w:sz="4" w:space="0"/>
              <w:right w:val="single" w:color="000000" w:sz="4" w:space="0"/>
            </w:tcBorders>
            <w:shd w:val="clear" w:color="auto" w:fill="auto"/>
            <w:vAlign w:val="center"/>
          </w:tcPr>
          <w:p w14:paraId="24202655">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3967BB67">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1DA5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“三影重叠”报告费用</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E75A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&lt;=3.49万元</w:t>
            </w:r>
          </w:p>
        </w:tc>
        <w:tc>
          <w:tcPr>
            <w:tcW w:w="1164" w:type="dxa"/>
            <w:tcBorders>
              <w:top w:val="single" w:color="000000" w:sz="4" w:space="0"/>
              <w:left w:val="single" w:color="000000" w:sz="4" w:space="0"/>
              <w:bottom w:val="nil"/>
              <w:right w:val="single" w:color="000000" w:sz="4" w:space="0"/>
            </w:tcBorders>
            <w:shd w:val="clear" w:color="auto" w:fill="auto"/>
            <w:vAlign w:val="center"/>
          </w:tcPr>
          <w:p w14:paraId="32E2E8D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79CF4">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0E347">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882" w:type="dxa"/>
            <w:tcBorders>
              <w:top w:val="single" w:color="000000" w:sz="4" w:space="0"/>
              <w:left w:val="single" w:color="000000" w:sz="4" w:space="0"/>
              <w:bottom w:val="nil"/>
              <w:right w:val="single" w:color="000000" w:sz="4" w:space="0"/>
            </w:tcBorders>
            <w:shd w:val="clear" w:color="auto" w:fill="auto"/>
            <w:vAlign w:val="center"/>
          </w:tcPr>
          <w:p w14:paraId="65F45BBC">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按照完成比</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7DD97">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712B8">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=3.486万元</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32392">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CF2B2">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9EA2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r>
      <w:tr w14:paraId="1B2D5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E10FC">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663327">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效益指标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0D836">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17F3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保障人民群众精神文化活动</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F7436">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有效保障</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D3971">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AC60F">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768EB">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AB333">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按评判等级赋分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22E31">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说明材料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ACE84">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有效保障</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9617D">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25581">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67F8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r>
      <w:tr w14:paraId="64E4F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F0076">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F8C24">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7B343">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2AB4F">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办公环境得到较大改善</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D2AB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有效改善</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44E37">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53EB8">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97003">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46332">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按评判等级赋分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F2817">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说明材料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1DE58">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有效改善</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F0AA1">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79110">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123DF">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r>
      <w:tr w14:paraId="1DA80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53" w:type="dxa"/>
            <w:gridSpan w:val="4"/>
            <w:tcBorders>
              <w:top w:val="single" w:color="000000" w:sz="4" w:space="0"/>
              <w:left w:val="single" w:color="000000" w:sz="4" w:space="0"/>
              <w:bottom w:val="single" w:color="000000" w:sz="4" w:space="0"/>
              <w:right w:val="nil"/>
            </w:tcBorders>
            <w:shd w:val="clear" w:color="auto" w:fill="auto"/>
            <w:vAlign w:val="center"/>
          </w:tcPr>
          <w:p w14:paraId="14005D39">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总分</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4CB7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164" w:type="dxa"/>
            <w:tcBorders>
              <w:top w:val="single" w:color="000000" w:sz="4" w:space="0"/>
              <w:left w:val="nil"/>
              <w:bottom w:val="single" w:color="000000" w:sz="4" w:space="0"/>
              <w:right w:val="single" w:color="000000" w:sz="4" w:space="0"/>
            </w:tcBorders>
            <w:shd w:val="clear" w:color="auto" w:fill="auto"/>
            <w:vAlign w:val="center"/>
          </w:tcPr>
          <w:p w14:paraId="4256AE6B">
            <w:pPr>
              <w:keepNext w:val="0"/>
              <w:keepLines w:val="0"/>
              <w:pageBreakBefore w:val="0"/>
              <w:kinsoku/>
              <w:wordWrap/>
              <w:overflowPunct/>
              <w:topLinePunct w:val="0"/>
              <w:autoSpaceDE/>
              <w:autoSpaceDN/>
              <w:bidi w:val="0"/>
              <w:adjustRightInd/>
              <w:snapToGrid/>
              <w:spacing w:line="380" w:lineRule="exact"/>
              <w:rPr>
                <w:rFonts w:hint="eastAsia" w:ascii="仿宋_GB2312" w:hAnsi="仿宋_GB2312" w:eastAsia="仿宋_GB2312" w:cs="仿宋_GB2312"/>
                <w:b/>
                <w:bCs/>
                <w:i w:val="0"/>
                <w:iCs w:val="0"/>
                <w:color w:val="000000"/>
                <w:sz w:val="18"/>
                <w:szCs w:val="18"/>
                <w:highlight w:val="none"/>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E81FB">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5E602">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90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3122F">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4E806">
            <w:pPr>
              <w:keepNext w:val="0"/>
              <w:keepLines w:val="0"/>
              <w:pageBreakBefore w:val="0"/>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sz w:val="18"/>
                <w:szCs w:val="18"/>
                <w:highlight w:val="none"/>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A2E80">
            <w:pPr>
              <w:keepNext w:val="0"/>
              <w:keepLines w:val="0"/>
              <w:pageBreakBefore w:val="0"/>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sz w:val="18"/>
                <w:szCs w:val="18"/>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F2A65">
            <w:pPr>
              <w:keepNext w:val="0"/>
              <w:keepLines w:val="0"/>
              <w:pageBreakBefore w:val="0"/>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sz w:val="18"/>
                <w:szCs w:val="18"/>
                <w:highlight w:val="none"/>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31F6F">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EEB3D">
            <w:pPr>
              <w:keepNext w:val="0"/>
              <w:keepLines w:val="0"/>
              <w:pageBreakBefore w:val="0"/>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sz w:val="18"/>
                <w:szCs w:val="18"/>
                <w:highlight w:val="none"/>
                <w:u w:val="none"/>
              </w:rPr>
            </w:pPr>
          </w:p>
        </w:tc>
      </w:tr>
    </w:tbl>
    <w:p w14:paraId="6522B82E">
      <w:pPr>
        <w:keepNext w:val="0"/>
        <w:keepLines w:val="0"/>
        <w:pageBreakBefore w:val="0"/>
        <w:kinsoku/>
        <w:wordWrap/>
        <w:overflowPunct/>
        <w:topLinePunct w:val="0"/>
        <w:autoSpaceDE/>
        <w:autoSpaceDN/>
        <w:bidi w:val="0"/>
        <w:adjustRightInd/>
        <w:snapToGrid/>
        <w:spacing w:line="500" w:lineRule="exact"/>
        <w:rPr>
          <w:rFonts w:hint="default" w:ascii="Times New Roman" w:hAnsi="Times New Roman" w:cs="Times New Roman"/>
          <w:highlight w:val="none"/>
        </w:rPr>
      </w:pPr>
    </w:p>
    <w:p w14:paraId="3A53F9C2">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73E88ADB">
        <w:pPr>
          <w:pStyle w:val="7"/>
          <w:jc w:val="center"/>
        </w:pPr>
        <w:r>
          <w:fldChar w:fldCharType="begin"/>
        </w:r>
        <w:r>
          <w:instrText xml:space="preserve">PAGE   \* MERGEFORMAT</w:instrText>
        </w:r>
        <w:r>
          <w:fldChar w:fldCharType="separate"/>
        </w:r>
        <w:r>
          <w:rPr>
            <w:lang w:val="zh-CN"/>
          </w:rPr>
          <w:t>13</w:t>
        </w:r>
        <w:r>
          <w:fldChar w:fldCharType="end"/>
        </w:r>
      </w:p>
    </w:sdtContent>
  </w:sdt>
  <w:p w14:paraId="20D989AF">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9379A8"/>
    <w:multiLevelType w:val="singleLevel"/>
    <w:tmpl w:val="FF9379A8"/>
    <w:lvl w:ilvl="0" w:tentative="0">
      <w:start w:val="2"/>
      <w:numFmt w:val="chineseCounting"/>
      <w:suff w:val="nothing"/>
      <w:lvlText w:val="（%1）"/>
      <w:lvlJc w:val="left"/>
      <w:rPr>
        <w:rFonts w:hint="eastAsia"/>
      </w:rPr>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620C73A8"/>
    <w:multiLevelType w:val="singleLevel"/>
    <w:tmpl w:val="620C73A8"/>
    <w:lvl w:ilvl="0" w:tentative="0">
      <w:start w:val="5"/>
      <w:numFmt w:val="decimal"/>
      <w:suff w:val="nothing"/>
      <w:lvlText w:val="（%1）"/>
      <w:lvlJc w:val="left"/>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574D24"/>
    <w:rsid w:val="006F7242"/>
    <w:rsid w:val="007B168A"/>
    <w:rsid w:val="008B2CFE"/>
    <w:rsid w:val="00F26FF6"/>
    <w:rsid w:val="01610122"/>
    <w:rsid w:val="02510197"/>
    <w:rsid w:val="03EC461B"/>
    <w:rsid w:val="071A5591"/>
    <w:rsid w:val="07397B77"/>
    <w:rsid w:val="0AD007F3"/>
    <w:rsid w:val="0D082A6E"/>
    <w:rsid w:val="0E3C619F"/>
    <w:rsid w:val="0F6273CA"/>
    <w:rsid w:val="100F38EC"/>
    <w:rsid w:val="11170296"/>
    <w:rsid w:val="12C66037"/>
    <w:rsid w:val="12CD1ABC"/>
    <w:rsid w:val="13471461"/>
    <w:rsid w:val="13B90F01"/>
    <w:rsid w:val="155E4C4D"/>
    <w:rsid w:val="181066D2"/>
    <w:rsid w:val="1C671E73"/>
    <w:rsid w:val="1D322C47"/>
    <w:rsid w:val="22290DFD"/>
    <w:rsid w:val="23616034"/>
    <w:rsid w:val="23696C97"/>
    <w:rsid w:val="24480FA2"/>
    <w:rsid w:val="25227A45"/>
    <w:rsid w:val="26AC3A6A"/>
    <w:rsid w:val="2B9D7E25"/>
    <w:rsid w:val="2C7C7A3B"/>
    <w:rsid w:val="2F364819"/>
    <w:rsid w:val="2FD63906"/>
    <w:rsid w:val="358E0482"/>
    <w:rsid w:val="37215DAE"/>
    <w:rsid w:val="38CA40DD"/>
    <w:rsid w:val="395F2B56"/>
    <w:rsid w:val="3B482032"/>
    <w:rsid w:val="3BBA0580"/>
    <w:rsid w:val="3BECE841"/>
    <w:rsid w:val="3CDE204C"/>
    <w:rsid w:val="3D363C36"/>
    <w:rsid w:val="3E9C3F6D"/>
    <w:rsid w:val="3FF7797D"/>
    <w:rsid w:val="42F16CBA"/>
    <w:rsid w:val="46690BD8"/>
    <w:rsid w:val="49F70BF1"/>
    <w:rsid w:val="4B4340EE"/>
    <w:rsid w:val="503D507A"/>
    <w:rsid w:val="51FA74D0"/>
    <w:rsid w:val="52AA4A52"/>
    <w:rsid w:val="539D3AD1"/>
    <w:rsid w:val="59943D66"/>
    <w:rsid w:val="59E051FD"/>
    <w:rsid w:val="59E6355E"/>
    <w:rsid w:val="5B821531"/>
    <w:rsid w:val="5BFF6039"/>
    <w:rsid w:val="5D76A616"/>
    <w:rsid w:val="5D7F20B9"/>
    <w:rsid w:val="5DAC7D0E"/>
    <w:rsid w:val="5F98B5AF"/>
    <w:rsid w:val="5FFE8511"/>
    <w:rsid w:val="5FFEACE2"/>
    <w:rsid w:val="609D5BF6"/>
    <w:rsid w:val="61073070"/>
    <w:rsid w:val="61A23742"/>
    <w:rsid w:val="61B9080E"/>
    <w:rsid w:val="61DF3FED"/>
    <w:rsid w:val="62606CE8"/>
    <w:rsid w:val="642B176B"/>
    <w:rsid w:val="643EE26D"/>
    <w:rsid w:val="656019A0"/>
    <w:rsid w:val="65F242EE"/>
    <w:rsid w:val="666D7E19"/>
    <w:rsid w:val="68376930"/>
    <w:rsid w:val="68F91E38"/>
    <w:rsid w:val="6B3158B9"/>
    <w:rsid w:val="6BA02A3F"/>
    <w:rsid w:val="6C105349"/>
    <w:rsid w:val="6C1E5A53"/>
    <w:rsid w:val="6EA14BDA"/>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8036054"/>
    <w:rsid w:val="79A9BD3F"/>
    <w:rsid w:val="7AC5270E"/>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29</Pages>
  <Words>167</Words>
  <Characters>173</Characters>
  <Lines>58</Lines>
  <Paragraphs>16</Paragraphs>
  <TotalTime>12</TotalTime>
  <ScaleCrop>false</ScaleCrop>
  <LinksUpToDate>false</LinksUpToDate>
  <CharactersWithSpaces>173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cp:lastModifiedBy>
  <dcterms:modified xsi:type="dcterms:W3CDTF">2025-05-08T07:25:09Z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3FEE8C7D41C54AC09DF0AB49156DFCDA_13</vt:lpwstr>
  </property>
  <property fmtid="{D5CDD505-2E9C-101B-9397-08002B2CF9AE}" pid="4" name="KSOTemplateDocerSaveRecord">
    <vt:lpwstr>eyJoZGlkIjoiZGU2OWVkNjVhNTc2NTNjNjZhOGJlZWQ2NTc3Njc5NGQiLCJ1c2VySWQiOiIzODQzMzMyOTcifQ==</vt:lpwstr>
  </property>
</Properties>
</file>