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昌州财教[2023]91号关于提前下达2024年学生资助补助经费预算[中央直达资金]的通知-</w:t>
      </w:r>
      <w:bookmarkStart w:id="3" w:name="_GoBack"/>
      <w:r>
        <w:rPr>
          <w:rFonts w:hint="default" w:ascii="Times New Roman" w:hAnsi="Times New Roman" w:eastAsia="方正小标宋_GBK" w:cs="Times New Roman"/>
          <w:kern w:val="0"/>
          <w:sz w:val="48"/>
          <w:szCs w:val="48"/>
          <w:highlight w:val="none"/>
        </w:rPr>
        <w:t>中职免学费项目支出绩效评价报告</w:t>
      </w:r>
    </w:p>
    <w:bookmarkEnd w:id="3"/>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项目名称：昌州财教[2023]91号关于提前下达2024年学生资助补助经费预算[中央直达资金]的通知-中职免学费</w:t>
      </w:r>
    </w:p>
    <w:p>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奇台中等职业技术学校</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奇台县教育局</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严敏</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8</w:t>
      </w:r>
      <w:r>
        <w:rPr>
          <w:rFonts w:hint="default" w:ascii="Times New Roman" w:hAnsi="Times New Roman" w:eastAsia="仿宋_GB2312" w:cs="Times New Roman"/>
          <w:kern w:val="0"/>
          <w:sz w:val="36"/>
          <w:szCs w:val="36"/>
          <w:highlight w:val="none"/>
        </w:rPr>
        <w:t>日</w:t>
      </w: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Style w:val="10"/>
        <w:numPr>
          <w:ilvl w:val="0"/>
          <w:numId w:val="0"/>
        </w:numPr>
        <w:wordWrap w:val="0"/>
        <w:topLinePunct/>
        <w:spacing w:before="0" w:after="0" w:line="56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昌州财教[2023]91号关于提前下达2024年学生资助补助经费预算[中央直达资金]的通知-中职免学费222万元； 昌州财教[2023]101号关于提前下达2024年学生资助补助经费预算[自治区直达资金]的通知-中职免学费60万元； 昌州财教[2024]20号关于提前下达2024年学生资助补助经费预算[第二批]中央直达资金的通知-中职免学费118万元；昌州财教[2023]91号关于提前下达2024年学生资助补助经费预算[中央直达资金]的通知-技工免学费62.45万元； 昌州财教[2023]101号关于提前下达2024年学生资助补助经费预算[自治区直达资金]的通知-技工免学费17.68万元；昌州财教[2024]20号关于提前下达2024年学生资助补助经费预算[第二批]中央直达资金的通知-技工免学费8.27万元，资金共计下达488.4万元。</w:t>
      </w:r>
      <w:r>
        <w:rPr>
          <w:rFonts w:hint="default" w:ascii="Times New Roman" w:hAnsi="Times New Roman" w:eastAsia="仿宋_GB2312" w:cs="Times New Roman"/>
          <w:b w:val="0"/>
          <w:bCs w:val="0"/>
          <w:kern w:val="2"/>
          <w:sz w:val="32"/>
          <w:szCs w:val="32"/>
          <w:highlight w:val="none"/>
          <w:lang w:val="en-US" w:eastAsia="zh-CN" w:bidi="ar-SA"/>
        </w:rPr>
        <w:t>奇台</w:t>
      </w:r>
      <w:r>
        <w:rPr>
          <w:rFonts w:hint="eastAsia" w:ascii="Times New Roman" w:hAnsi="Times New Roman" w:eastAsia="仿宋_GB2312" w:cs="Times New Roman"/>
          <w:b w:val="0"/>
          <w:bCs w:val="0"/>
          <w:kern w:val="2"/>
          <w:sz w:val="32"/>
          <w:szCs w:val="32"/>
          <w:highlight w:val="none"/>
          <w:lang w:val="en-US" w:eastAsia="zh-CN" w:bidi="ar-SA"/>
        </w:rPr>
        <w:t>中等职业技术学校全力</w:t>
      </w:r>
      <w:r>
        <w:rPr>
          <w:rFonts w:hint="default" w:ascii="Times New Roman" w:hAnsi="Times New Roman" w:eastAsia="仿宋_GB2312" w:cs="Times New Roman"/>
          <w:b w:val="0"/>
          <w:bCs w:val="0"/>
          <w:kern w:val="2"/>
          <w:sz w:val="32"/>
          <w:szCs w:val="32"/>
          <w:highlight w:val="none"/>
          <w:lang w:val="en-US" w:eastAsia="zh-CN" w:bidi="ar-SA"/>
        </w:rPr>
        <w:t>做好家庭经济困难学生认定和资助工作，确保脱贫家庭等家庭经济困难学生优先获得资助，</w:t>
      </w:r>
      <w:r>
        <w:rPr>
          <w:rFonts w:hint="eastAsia" w:ascii="Times New Roman" w:hAnsi="Times New Roman" w:eastAsia="仿宋_GB2312" w:cs="Times New Roman"/>
          <w:b w:val="0"/>
          <w:bCs w:val="0"/>
          <w:kern w:val="2"/>
          <w:sz w:val="32"/>
          <w:szCs w:val="32"/>
          <w:highlight w:val="none"/>
          <w:lang w:val="en-US" w:eastAsia="zh-CN" w:bidi="ar-SA"/>
        </w:rPr>
        <w:t>符合资助政策的学生全部纳入资助范围，应助尽助，教育公平显著提升，满足家庭经济困难学生基本学习生活需要，通过本项目的实施，有效减轻了困难学生的家庭经济负担，提升中职教育的吸引力。</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本项目拟投入488.4万元用于学生免学费，主要实施内容为：中职大约</w:t>
      </w:r>
      <w:r>
        <w:rPr>
          <w:rFonts w:hint="eastAsia" w:eastAsia="仿宋_GB2312" w:cs="Times New Roman"/>
          <w:sz w:val="32"/>
          <w:szCs w:val="32"/>
          <w:highlight w:val="none"/>
          <w:lang w:val="en-US" w:eastAsia="zh-CN"/>
        </w:rPr>
        <w:t>2442</w:t>
      </w:r>
      <w:r>
        <w:rPr>
          <w:rFonts w:hint="eastAsia" w:ascii="Times New Roman" w:hAnsi="Times New Roman" w:eastAsia="仿宋_GB2312" w:cs="Times New Roman"/>
          <w:sz w:val="32"/>
          <w:szCs w:val="32"/>
          <w:highlight w:val="none"/>
          <w:lang w:val="en-US" w:eastAsia="zh-CN"/>
        </w:rPr>
        <w:t>名学生享受免学费政策，受助对象政策符合率、按规定发放及时率均达到100%，符合资助政策的学生全部纳入资助范围，应助尽助，教育公平显著提升，满足家庭经济困难学生基本学习生活需要，通过本项目的实施，有效减轻了困难学生的家庭经济负担，提升中职教育的吸引力,使受助学生满意度达到100%。</w:t>
      </w:r>
    </w:p>
    <w:p>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项目实施情况：</w:t>
      </w:r>
      <w:r>
        <w:rPr>
          <w:rFonts w:hint="eastAsia" w:ascii="Times New Roman" w:hAnsi="Times New Roman" w:eastAsia="仿宋_GB2312" w:cs="Times New Roman"/>
          <w:sz w:val="32"/>
          <w:szCs w:val="32"/>
          <w:highlight w:val="none"/>
        </w:rPr>
        <w:t>本项目</w:t>
      </w:r>
      <w:r>
        <w:rPr>
          <w:rFonts w:hint="eastAsia" w:ascii="Times New Roman" w:hAnsi="Times New Roman" w:eastAsia="仿宋_GB2312" w:cs="Times New Roman"/>
          <w:sz w:val="32"/>
          <w:szCs w:val="32"/>
          <w:highlight w:val="none"/>
          <w:lang w:eastAsia="zh-CN"/>
        </w:rPr>
        <w:t>实际执行</w:t>
      </w:r>
      <w:r>
        <w:rPr>
          <w:rFonts w:hint="eastAsia" w:ascii="Times New Roman" w:hAnsi="Times New Roman" w:eastAsia="仿宋_GB2312" w:cs="Times New Roman"/>
          <w:sz w:val="32"/>
          <w:szCs w:val="32"/>
          <w:highlight w:val="none"/>
          <w:lang w:val="en-US" w:eastAsia="zh-CN"/>
        </w:rPr>
        <w:t>488.4</w:t>
      </w:r>
      <w:r>
        <w:rPr>
          <w:rFonts w:hint="eastAsia" w:ascii="Times New Roman" w:hAnsi="Times New Roman" w:eastAsia="仿宋_GB2312" w:cs="Times New Roman"/>
          <w:sz w:val="32"/>
          <w:szCs w:val="32"/>
          <w:highlight w:val="none"/>
        </w:rPr>
        <w:t>万元用于学生免学费，</w:t>
      </w:r>
      <w:r>
        <w:rPr>
          <w:rFonts w:hint="eastAsia" w:ascii="Times New Roman" w:hAnsi="Times New Roman" w:eastAsia="仿宋_GB2312" w:cs="Times New Roman"/>
          <w:sz w:val="32"/>
          <w:szCs w:val="32"/>
          <w:highlight w:val="none"/>
          <w:lang w:eastAsia="zh-CN"/>
        </w:rPr>
        <w:t>实施情况为</w:t>
      </w:r>
      <w:r>
        <w:rPr>
          <w:rFonts w:hint="eastAsia" w:ascii="Times New Roman" w:hAnsi="Times New Roman" w:eastAsia="仿宋_GB2312" w:cs="Times New Roman"/>
          <w:sz w:val="32"/>
          <w:szCs w:val="32"/>
          <w:highlight w:val="none"/>
        </w:rPr>
        <w:t>中职</w:t>
      </w:r>
      <w:r>
        <w:rPr>
          <w:rFonts w:hint="eastAsia" w:eastAsia="仿宋_GB2312" w:cs="Times New Roman"/>
          <w:sz w:val="32"/>
          <w:szCs w:val="32"/>
          <w:highlight w:val="none"/>
          <w:lang w:val="en-US" w:eastAsia="zh-CN"/>
        </w:rPr>
        <w:t>2442</w:t>
      </w:r>
      <w:r>
        <w:rPr>
          <w:rFonts w:hint="eastAsia" w:ascii="Times New Roman" w:hAnsi="Times New Roman" w:eastAsia="仿宋_GB2312" w:cs="Times New Roman"/>
          <w:sz w:val="32"/>
          <w:szCs w:val="32"/>
          <w:highlight w:val="none"/>
        </w:rPr>
        <w:t>名学生享受免学费政策，受助对象</w:t>
      </w:r>
      <w:r>
        <w:rPr>
          <w:rFonts w:hint="eastAsia" w:ascii="Times New Roman" w:hAnsi="Times New Roman" w:eastAsia="仿宋_GB2312" w:cs="Times New Roman"/>
          <w:sz w:val="32"/>
          <w:szCs w:val="32"/>
          <w:highlight w:val="none"/>
          <w:lang w:eastAsia="zh-CN"/>
        </w:rPr>
        <w:t>均</w:t>
      </w:r>
      <w:r>
        <w:rPr>
          <w:rFonts w:hint="eastAsia" w:ascii="Times New Roman" w:hAnsi="Times New Roman" w:eastAsia="仿宋_GB2312" w:cs="Times New Roman"/>
          <w:sz w:val="32"/>
          <w:szCs w:val="32"/>
          <w:highlight w:val="none"/>
        </w:rPr>
        <w:t>符合政策</w:t>
      </w:r>
      <w:r>
        <w:rPr>
          <w:rFonts w:hint="eastAsia" w:ascii="Times New Roman" w:hAnsi="Times New Roman" w:eastAsia="仿宋_GB2312" w:cs="Times New Roman"/>
          <w:sz w:val="32"/>
          <w:szCs w:val="32"/>
          <w:highlight w:val="none"/>
          <w:lang w:eastAsia="zh-CN"/>
        </w:rPr>
        <w:t>，款项</w:t>
      </w:r>
      <w:r>
        <w:rPr>
          <w:rFonts w:hint="eastAsia" w:ascii="Times New Roman" w:hAnsi="Times New Roman" w:eastAsia="仿宋_GB2312" w:cs="Times New Roman"/>
          <w:sz w:val="32"/>
          <w:szCs w:val="32"/>
          <w:highlight w:val="none"/>
        </w:rPr>
        <w:t>按规定</w:t>
      </w:r>
      <w:r>
        <w:rPr>
          <w:rFonts w:hint="eastAsia" w:ascii="Times New Roman" w:hAnsi="Times New Roman" w:eastAsia="仿宋_GB2312" w:cs="Times New Roman"/>
          <w:sz w:val="32"/>
          <w:szCs w:val="32"/>
          <w:highlight w:val="none"/>
          <w:lang w:eastAsia="zh-CN"/>
        </w:rPr>
        <w:t>及时发放</w:t>
      </w:r>
      <w:r>
        <w:rPr>
          <w:rFonts w:hint="eastAsia" w:ascii="Times New Roman" w:hAnsi="Times New Roman" w:eastAsia="仿宋_GB2312" w:cs="Times New Roman"/>
          <w:sz w:val="32"/>
          <w:szCs w:val="32"/>
          <w:highlight w:val="none"/>
        </w:rPr>
        <w:t>，符合资助政策的学生全部纳入资助范围，应助尽助</w:t>
      </w:r>
      <w:r>
        <w:rPr>
          <w:rFonts w:hint="eastAsia" w:ascii="Times New Roman" w:hAnsi="Times New Roman" w:eastAsia="仿宋_GB2312" w:cs="Times New Roman"/>
          <w:sz w:val="32"/>
          <w:szCs w:val="32"/>
          <w:highlight w:val="none"/>
          <w:lang w:eastAsia="zh-CN"/>
        </w:rPr>
        <w:t>。</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最终</w:t>
      </w:r>
      <w:r>
        <w:rPr>
          <w:rFonts w:hint="eastAsia" w:ascii="Times New Roman" w:hAnsi="Times New Roman" w:eastAsia="仿宋_GB2312" w:cs="Times New Roman"/>
          <w:sz w:val="32"/>
          <w:szCs w:val="32"/>
          <w:highlight w:val="none"/>
        </w:rPr>
        <w:t>教育公平显著提升，满足家庭经济困难学生基本学习生活需要，通过本项目的实施，有效减轻了困难学生的家庭经济负担，提升中职教育的吸引力,使受助学生满意度达到100%。</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符合政策的学生享受免学费政策，学校的提倡运转经费来源于免学费经费财政拨款</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rPr>
        <w:t>项目拟投入488.4万免学费资金用于支付学校办公费、维修费、劳务费、水电暖及教师和学生的外出学习交流和培训，学生享受免学费教育，使学校各项业务活动正常开展，最终提升学校教育教学水平，提高教师教育水平和学生专业技术水平，有效减轻家庭经济困难学生的生活负担，使家长满意、学生满意。</w:t>
      </w:r>
    </w:p>
    <w:p>
      <w:pPr>
        <w:numPr>
          <w:ilvl w:val="0"/>
          <w:numId w:val="1"/>
        </w:num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阶段性目标</w:t>
      </w:r>
    </w:p>
    <w:p>
      <w:pPr>
        <w:numPr>
          <w:ilvl w:val="0"/>
          <w:numId w:val="0"/>
        </w:num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eastAsia" w:ascii="Times New Roman" w:hAnsi="Times New Roman" w:eastAsia="仿宋_GB2312" w:cs="Times New Roman"/>
          <w:sz w:val="32"/>
          <w:szCs w:val="32"/>
          <w:highlight w:val="none"/>
        </w:rPr>
        <w:t>项目拟投入</w:t>
      </w:r>
      <w:r>
        <w:rPr>
          <w:rFonts w:hint="eastAsia" w:ascii="Times New Roman" w:hAnsi="Times New Roman" w:eastAsia="仿宋_GB2312" w:cs="Times New Roman"/>
          <w:sz w:val="32"/>
          <w:szCs w:val="32"/>
          <w:highlight w:val="none"/>
          <w:lang w:val="en-US" w:eastAsia="zh-CN"/>
        </w:rPr>
        <w:t>488.4</w:t>
      </w:r>
      <w:r>
        <w:rPr>
          <w:rFonts w:hint="eastAsia" w:ascii="Times New Roman" w:hAnsi="Times New Roman" w:eastAsia="仿宋_GB2312" w:cs="Times New Roman"/>
          <w:sz w:val="32"/>
          <w:szCs w:val="32"/>
          <w:highlight w:val="none"/>
        </w:rPr>
        <w:t>万元用于学生免学费，用于学校办公费、维修费、劳务费、水电暖及教师和学生的外出学习交流和培训，使学校各项业务活动正常开展</w:t>
      </w:r>
      <w:r>
        <w:rPr>
          <w:rFonts w:hint="eastAsia" w:eastAsia="仿宋_GB2312" w:cs="Times New Roman"/>
          <w:sz w:val="32"/>
          <w:szCs w:val="32"/>
          <w:highlight w:val="none"/>
          <w:lang w:eastAsia="zh-CN"/>
        </w:rPr>
        <w:t>。经费阶段性目标按照季度使用，平均每季度执行</w:t>
      </w:r>
      <w:r>
        <w:rPr>
          <w:rFonts w:hint="eastAsia" w:eastAsia="仿宋_GB2312" w:cs="Times New Roman"/>
          <w:sz w:val="32"/>
          <w:szCs w:val="32"/>
          <w:highlight w:val="none"/>
          <w:lang w:val="en-US" w:eastAsia="zh-CN"/>
        </w:rPr>
        <w:t>122.1万元，实际执行与计划略有偏差，原因为我单位存在学生寒暑假，假期间学校运行支出较少，但最终年底时将488.4万元资金全部执行完毕，执行率100%。</w:t>
      </w:r>
      <w:r>
        <w:rPr>
          <w:rFonts w:hint="eastAsia" w:ascii="Times New Roman" w:hAnsi="Times New Roman" w:eastAsia="仿宋_GB2312" w:cs="Times New Roman"/>
          <w:sz w:val="32"/>
          <w:szCs w:val="32"/>
          <w:highlight w:val="none"/>
        </w:rPr>
        <w:t>最终</w:t>
      </w:r>
      <w:r>
        <w:rPr>
          <w:rFonts w:hint="eastAsia" w:eastAsia="仿宋_GB2312" w:cs="Times New Roman"/>
          <w:sz w:val="32"/>
          <w:szCs w:val="32"/>
          <w:highlight w:val="none"/>
          <w:lang w:eastAsia="zh-CN"/>
        </w:rPr>
        <w:t>保障学校正常运转、</w:t>
      </w:r>
      <w:r>
        <w:rPr>
          <w:rFonts w:hint="eastAsia" w:ascii="Times New Roman" w:hAnsi="Times New Roman" w:eastAsia="仿宋_GB2312" w:cs="Times New Roman"/>
          <w:sz w:val="32"/>
          <w:szCs w:val="32"/>
          <w:highlight w:val="none"/>
        </w:rPr>
        <w:t>提升学校教育教学水平，提高教师教育水平和学生专业技术水平。</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结合免学费</w:t>
      </w:r>
      <w:r>
        <w:rPr>
          <w:rFonts w:hint="default" w:ascii="Times New Roman" w:hAnsi="Times New Roman" w:eastAsia="仿宋_GB2312" w:cs="Times New Roman"/>
          <w:sz w:val="32"/>
          <w:szCs w:val="32"/>
          <w:highlight w:val="none"/>
          <w:lang w:val="en-US" w:eastAsia="zh-CN"/>
        </w:rPr>
        <w:t>项目的性质、</w:t>
      </w:r>
      <w:r>
        <w:rPr>
          <w:rFonts w:hint="eastAsia" w:eastAsia="仿宋_GB2312" w:cs="Times New Roman"/>
          <w:sz w:val="32"/>
          <w:szCs w:val="32"/>
          <w:highlight w:val="none"/>
          <w:lang w:val="en-US" w:eastAsia="zh-CN"/>
        </w:rPr>
        <w:t>完成预期设定的目标</w:t>
      </w:r>
      <w:r>
        <w:rPr>
          <w:rFonts w:hint="default" w:ascii="Times New Roman" w:hAnsi="Times New Roman" w:eastAsia="仿宋_GB2312" w:cs="Times New Roman"/>
          <w:sz w:val="32"/>
          <w:szCs w:val="32"/>
          <w:highlight w:val="none"/>
          <w:lang w:val="en-US" w:eastAsia="zh-CN"/>
        </w:rPr>
        <w:t>以及预期</w:t>
      </w:r>
      <w:r>
        <w:rPr>
          <w:rFonts w:hint="eastAsia" w:eastAsia="仿宋_GB2312" w:cs="Times New Roman"/>
          <w:sz w:val="32"/>
          <w:szCs w:val="32"/>
          <w:highlight w:val="none"/>
          <w:lang w:val="en-US" w:eastAsia="zh-CN"/>
        </w:rPr>
        <w:t>需实现的</w:t>
      </w:r>
      <w:r>
        <w:rPr>
          <w:rFonts w:hint="default" w:ascii="Times New Roman" w:hAnsi="Times New Roman" w:eastAsia="仿宋_GB2312" w:cs="Times New Roman"/>
          <w:sz w:val="32"/>
          <w:szCs w:val="32"/>
          <w:highlight w:val="none"/>
          <w:lang w:val="en-US" w:eastAsia="zh-CN"/>
        </w:rPr>
        <w:t>成果，在评价指标体系的构建上，</w:t>
      </w:r>
      <w:r>
        <w:rPr>
          <w:rFonts w:hint="eastAsia" w:eastAsia="仿宋_GB2312" w:cs="Times New Roman"/>
          <w:sz w:val="32"/>
          <w:szCs w:val="32"/>
          <w:highlight w:val="none"/>
          <w:lang w:val="en-US" w:eastAsia="zh-CN"/>
        </w:rPr>
        <w:t>结合实际情况从数量指标、成本指标、时效指标、效益指标等方面进行分析</w:t>
      </w:r>
      <w:r>
        <w:rPr>
          <w:rFonts w:hint="default" w:ascii="Times New Roman" w:hAnsi="Times New Roman" w:eastAsia="仿宋_GB2312" w:cs="Times New Roman"/>
          <w:sz w:val="32"/>
          <w:szCs w:val="32"/>
          <w:highlight w:val="none"/>
          <w:lang w:val="en-US" w:eastAsia="zh-CN"/>
        </w:rPr>
        <w:t>。同时，对于每个指标的评价标准和数据来源均进行了明确说明，</w:t>
      </w:r>
      <w:r>
        <w:rPr>
          <w:rFonts w:hint="eastAsia" w:eastAsia="仿宋_GB2312" w:cs="Times New Roman"/>
          <w:sz w:val="32"/>
          <w:szCs w:val="32"/>
          <w:highlight w:val="none"/>
          <w:lang w:val="en-US" w:eastAsia="zh-CN"/>
        </w:rPr>
        <w:t>并且上传相应的印证材料作为佐证</w:t>
      </w:r>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w:t>
      </w:r>
      <w:r>
        <w:rPr>
          <w:rFonts w:hint="eastAsia" w:eastAsia="仿宋_GB2312" w:cs="Times New Roman"/>
          <w:sz w:val="32"/>
          <w:szCs w:val="32"/>
          <w:highlight w:val="none"/>
          <w:lang w:val="en-US" w:eastAsia="zh-CN"/>
        </w:rPr>
        <w:t>满意度评价</w:t>
      </w:r>
      <w:r>
        <w:rPr>
          <w:rFonts w:hint="default" w:ascii="Times New Roman" w:hAnsi="Times New Roman" w:eastAsia="仿宋_GB2312" w:cs="Times New Roman"/>
          <w:sz w:val="32"/>
          <w:szCs w:val="32"/>
          <w:highlight w:val="none"/>
          <w:lang w:val="en-US" w:eastAsia="zh-CN"/>
        </w:rPr>
        <w:t>分析环节，采用了问卷调查、数据分析等，广泛收集了</w:t>
      </w:r>
      <w:r>
        <w:rPr>
          <w:rFonts w:hint="eastAsia" w:eastAsia="仿宋_GB2312" w:cs="Times New Roman"/>
          <w:sz w:val="32"/>
          <w:szCs w:val="32"/>
          <w:highlight w:val="none"/>
          <w:lang w:val="en-US" w:eastAsia="zh-CN"/>
        </w:rPr>
        <w:t>学校在校学生及家长针对该项目实施的具体意见建议，并对该项目的实施进行满意度评价</w:t>
      </w:r>
      <w:r>
        <w:rPr>
          <w:rFonts w:hint="default" w:ascii="Times New Roman" w:hAnsi="Times New Roman" w:eastAsia="仿宋_GB2312" w:cs="Times New Roman"/>
          <w:sz w:val="32"/>
          <w:szCs w:val="32"/>
          <w:highlight w:val="none"/>
          <w:lang w:val="en-US" w:eastAsia="zh-CN"/>
        </w:rPr>
        <w:t>，以确保评价结论的</w:t>
      </w:r>
      <w:r>
        <w:rPr>
          <w:rFonts w:hint="eastAsia" w:eastAsia="仿宋_GB2312" w:cs="Times New Roman"/>
          <w:sz w:val="32"/>
          <w:szCs w:val="32"/>
          <w:highlight w:val="none"/>
          <w:lang w:val="en-US" w:eastAsia="zh-CN"/>
        </w:rPr>
        <w:t>正是行</w:t>
      </w:r>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w:t>
      </w:r>
      <w:r>
        <w:rPr>
          <w:rFonts w:hint="eastAsia" w:eastAsia="仿宋_GB2312" w:cs="Times New Roman"/>
          <w:sz w:val="32"/>
          <w:szCs w:val="32"/>
          <w:highlight w:val="none"/>
          <w:lang w:val="en-US" w:eastAsia="zh-CN"/>
        </w:rPr>
        <w:t>完整、数据真实准确，佐证材料齐全</w:t>
      </w:r>
      <w:r>
        <w:rPr>
          <w:rFonts w:hint="default" w:ascii="Times New Roman" w:hAnsi="Times New Roman" w:eastAsia="仿宋_GB2312" w:cs="Times New Roman"/>
          <w:sz w:val="32"/>
          <w:szCs w:val="32"/>
          <w:highlight w:val="none"/>
          <w:lang w:val="en-US" w:eastAsia="zh-CN"/>
        </w:rPr>
        <w:t>。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项目实际完成投入488.4万元，享受免学费学生人数2442人。免学费是国家推进教育公平、提升中等职业教育吸引力而实施的重要举措，通过该项目的实施，对于农村及城市经济困难家庭来说，免学费政策直接减轻了家庭的经济困难，接受经济条件差的学生有机会受到中等职业教育，缩小了不同家庭背景学生直接的教育机会差距，使得教育资源分配更加公平，有助于降低中职学生的辍学率，提高学生的学业完成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明确项目各参与主体在预算绩效管理中的职责与任务，</w:t>
      </w:r>
      <w:r>
        <w:rPr>
          <w:rFonts w:hint="eastAsia" w:eastAsia="仿宋_GB2312" w:cs="Times New Roman"/>
          <w:sz w:val="32"/>
          <w:szCs w:val="32"/>
          <w:highlight w:val="none"/>
          <w:lang w:eastAsia="zh-CN"/>
        </w:rPr>
        <w:t>严格管理资金使用范围，</w:t>
      </w:r>
      <w:r>
        <w:rPr>
          <w:rFonts w:hint="default" w:ascii="Times New Roman" w:hAnsi="Times New Roman" w:eastAsia="仿宋_GB2312" w:cs="Times New Roman"/>
          <w:sz w:val="32"/>
          <w:szCs w:val="32"/>
          <w:highlight w:val="none"/>
        </w:rPr>
        <w:t>借助绩效评价结果对项目管理过程进行监督与问责，</w:t>
      </w:r>
      <w:r>
        <w:rPr>
          <w:rFonts w:hint="eastAsia" w:eastAsia="仿宋_GB2312" w:cs="Times New Roman"/>
          <w:sz w:val="32"/>
          <w:szCs w:val="32"/>
          <w:highlight w:val="none"/>
          <w:lang w:eastAsia="zh-CN"/>
        </w:rPr>
        <w:t>做到各部门间相互监督、相互制约，重大事项需校委会统一意见后实施。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基于</w:t>
      </w:r>
      <w:r>
        <w:rPr>
          <w:rFonts w:hint="eastAsia" w:eastAsia="仿宋_GB2312" w:cs="Times New Roman"/>
          <w:sz w:val="32"/>
          <w:szCs w:val="32"/>
          <w:highlight w:val="none"/>
          <w:lang w:eastAsia="zh-CN"/>
        </w:rPr>
        <w:t>项目实际实施过程中存在的问题及</w:t>
      </w:r>
      <w:r>
        <w:rPr>
          <w:rFonts w:hint="default" w:ascii="Times New Roman" w:hAnsi="Times New Roman" w:eastAsia="仿宋_GB2312" w:cs="Times New Roman"/>
          <w:sz w:val="32"/>
          <w:szCs w:val="32"/>
          <w:highlight w:val="none"/>
        </w:rPr>
        <w:t>绩效评价发现的问题与不足，提出针对性的改进建议与措施，持续优化项目实施方案，加强过程监控与质量把控，</w:t>
      </w:r>
      <w:r>
        <w:rPr>
          <w:rFonts w:hint="eastAsia" w:eastAsia="仿宋_GB2312" w:cs="Times New Roman"/>
          <w:sz w:val="32"/>
          <w:szCs w:val="32"/>
          <w:highlight w:val="none"/>
          <w:lang w:eastAsia="zh-CN"/>
        </w:rPr>
        <w:t>确保该长期项目每年能够顺利、合理、合规进行，达到项目预期效果，更好的完成绩效评价工作。</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本项目预算绩效评价报告的评价对象是昌州财教[2023]91号关于提前下达2024年学生资助补助经费预算[中央直达资金]的通知-中职免学费及其预算执行情况。该项目由</w:t>
      </w:r>
      <w:r>
        <w:rPr>
          <w:rFonts w:hint="eastAsia" w:ascii="Times New Roman" w:hAnsi="Times New Roman" w:eastAsia="仿宋_GB2312" w:cs="Times New Roman"/>
          <w:sz w:val="32"/>
          <w:szCs w:val="32"/>
          <w:highlight w:val="none"/>
          <w:lang w:eastAsia="zh-CN"/>
        </w:rPr>
        <w:t>奇台中等职业技术学校</w:t>
      </w:r>
      <w:r>
        <w:rPr>
          <w:rFonts w:hint="default" w:ascii="Times New Roman" w:hAnsi="Times New Roman" w:eastAsia="仿宋_GB2312" w:cs="Times New Roman"/>
          <w:sz w:val="32"/>
          <w:szCs w:val="32"/>
          <w:highlight w:val="none"/>
        </w:rPr>
        <w:t>负责实施，旨在</w:t>
      </w:r>
      <w:r>
        <w:rPr>
          <w:rFonts w:hint="eastAsia" w:ascii="Times New Roman" w:hAnsi="Times New Roman" w:eastAsia="仿宋_GB2312" w:cs="Times New Roman"/>
          <w:sz w:val="32"/>
          <w:szCs w:val="32"/>
          <w:highlight w:val="none"/>
        </w:rPr>
        <w:t>用于学校办公费、维修费、劳务费、水电暖及教师和学生的外出学习交流和培训，使学校各项业务活动正常开展，最终提升学校教育教学水平，提高教师教育水平和学生专业技术水平。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项目预算涵盖从</w:t>
      </w:r>
      <w:r>
        <w:rPr>
          <w:rFonts w:hint="eastAsia" w:ascii="Times New Roman" w:hAnsi="Times New Roman"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的全部资金投入与支出，涉及资金总额为</w:t>
      </w:r>
      <w:r>
        <w:rPr>
          <w:rFonts w:hint="eastAsia" w:ascii="Times New Roman" w:hAnsi="Times New Roman"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w:t>
      </w:r>
      <w:r>
        <w:rPr>
          <w:rFonts w:hint="eastAsia" w:ascii="Times New Roman" w:hAnsi="Times New Roman" w:eastAsia="仿宋_GB2312" w:cs="Times New Roman"/>
          <w:b w:val="0"/>
          <w:bCs w:val="0"/>
          <w:highlight w:val="none"/>
        </w:rPr>
        <w:t>提升学校教育教学水平，提高教师教育水平和学生专业技术水平</w:t>
      </w:r>
      <w:r>
        <w:rPr>
          <w:rFonts w:hint="eastAsia" w:ascii="Times New Roman" w:hAnsi="Times New Roman" w:eastAsia="仿宋_GB2312" w:cs="Times New Roman"/>
          <w:b w:val="0"/>
          <w:bCs w:val="0"/>
          <w:highlight w:val="none"/>
          <w:lang w:eastAsia="zh-CN"/>
        </w:rPr>
        <w:t>。</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（一）成本效益分析法。</w:t>
      </w:r>
      <w:r>
        <w:rPr>
          <w:rFonts w:hint="eastAsia" w:eastAsia="仿宋_GB2312" w:cs="Times New Roman"/>
          <w:color w:val="000000"/>
          <w:spacing w:val="17"/>
          <w:sz w:val="32"/>
          <w:szCs w:val="32"/>
          <w:highlight w:val="none"/>
          <w:lang w:eastAsia="zh-CN"/>
        </w:rPr>
        <w:t>该项目投入</w:t>
      </w:r>
      <w:r>
        <w:rPr>
          <w:rFonts w:hint="eastAsia" w:eastAsia="仿宋_GB2312" w:cs="Times New Roman"/>
          <w:color w:val="000000"/>
          <w:spacing w:val="17"/>
          <w:sz w:val="32"/>
          <w:szCs w:val="32"/>
          <w:highlight w:val="none"/>
          <w:lang w:val="en-US" w:eastAsia="zh-CN"/>
        </w:rPr>
        <w:t>488.4万元，主要用于</w:t>
      </w:r>
      <w:r>
        <w:rPr>
          <w:rFonts w:hint="eastAsia" w:ascii="Times New Roman" w:hAnsi="Times New Roman" w:eastAsia="仿宋_GB2312" w:cs="Times New Roman"/>
          <w:sz w:val="32"/>
          <w:szCs w:val="32"/>
          <w:highlight w:val="none"/>
        </w:rPr>
        <w:t>学校办公费、维修费、劳务费、水电暖及教师和学生的外出学习交流和培训，使学校各项业务活动正常开展，提升学校教育教学水平，提高教师教育水平和学生专业技术水平</w:t>
      </w:r>
      <w:r>
        <w:rPr>
          <w:rFonts w:hint="eastAsia" w:eastAsia="仿宋_GB2312" w:cs="Times New Roman"/>
          <w:sz w:val="32"/>
          <w:szCs w:val="32"/>
          <w:highlight w:val="none"/>
          <w:lang w:eastAsia="zh-CN"/>
        </w:rPr>
        <w:t>，用一定的投入去完成预期的目标。</w:t>
      </w:r>
    </w:p>
    <w:p>
      <w:pPr>
        <w:spacing w:line="560" w:lineRule="exact"/>
        <w:ind w:firstLine="708" w:firstLineChars="200"/>
        <w:rPr>
          <w:rFonts w:hint="eastAsia"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（二）比较法。</w:t>
      </w:r>
      <w:r>
        <w:rPr>
          <w:rFonts w:hint="eastAsia" w:eastAsia="仿宋_GB2312" w:cs="Times New Roman"/>
          <w:color w:val="000000"/>
          <w:spacing w:val="17"/>
          <w:sz w:val="32"/>
          <w:szCs w:val="32"/>
          <w:highlight w:val="none"/>
          <w:lang w:eastAsia="zh-CN"/>
        </w:rPr>
        <w:t>该项目为长期性项目，每年按照学生人数拨款，其使用效率、绩效等与往期当期均有可比性。</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）最低成本法。</w:t>
      </w:r>
      <w:r>
        <w:rPr>
          <w:rFonts w:hint="eastAsia" w:eastAsia="仿宋_GB2312" w:cs="Times New Roman"/>
          <w:color w:val="000000"/>
          <w:spacing w:val="17"/>
          <w:sz w:val="32"/>
          <w:szCs w:val="32"/>
          <w:highlight w:val="none"/>
          <w:lang w:eastAsia="zh-CN"/>
        </w:rPr>
        <w:t>该项目投入</w:t>
      </w:r>
      <w:r>
        <w:rPr>
          <w:rFonts w:hint="eastAsia" w:eastAsia="仿宋_GB2312" w:cs="Times New Roman"/>
          <w:color w:val="000000"/>
          <w:spacing w:val="17"/>
          <w:sz w:val="32"/>
          <w:szCs w:val="32"/>
          <w:highlight w:val="none"/>
          <w:lang w:val="en-US" w:eastAsia="zh-CN"/>
        </w:rPr>
        <w:t>4884.4万元，在成本一定的情况下我单位例行节约，在有限的资源下实现预期绩效目标</w:t>
      </w:r>
      <w:r>
        <w:rPr>
          <w:rFonts w:hint="default" w:ascii="Times New Roman" w:hAnsi="Times New Roman" w:eastAsia="仿宋_GB2312" w:cs="Times New Roman"/>
          <w:color w:val="000000"/>
          <w:spacing w:val="17"/>
          <w:sz w:val="32"/>
          <w:szCs w:val="32"/>
          <w:highlight w:val="none"/>
        </w:rPr>
        <w:t>。</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四</w:t>
      </w:r>
      <w:r>
        <w:rPr>
          <w:rFonts w:hint="default" w:ascii="Times New Roman" w:hAnsi="Times New Roman" w:eastAsia="仿宋_GB2312" w:cs="Times New Roman"/>
          <w:color w:val="000000"/>
          <w:spacing w:val="17"/>
          <w:sz w:val="32"/>
          <w:szCs w:val="32"/>
          <w:highlight w:val="none"/>
        </w:rPr>
        <w:t>）公众评判法。</w:t>
      </w:r>
      <w:r>
        <w:rPr>
          <w:rFonts w:hint="eastAsia" w:eastAsia="仿宋_GB2312" w:cs="Times New Roman"/>
          <w:color w:val="000000"/>
          <w:spacing w:val="17"/>
          <w:sz w:val="32"/>
          <w:szCs w:val="32"/>
          <w:highlight w:val="none"/>
          <w:lang w:eastAsia="zh-CN"/>
        </w:rPr>
        <w:t>该项目是针对符合政策的学生，主要用于</w:t>
      </w:r>
      <w:r>
        <w:rPr>
          <w:rFonts w:hint="eastAsia" w:ascii="Times New Roman" w:hAnsi="Times New Roman" w:eastAsia="仿宋_GB2312" w:cs="Times New Roman"/>
          <w:sz w:val="32"/>
          <w:szCs w:val="32"/>
          <w:highlight w:val="none"/>
        </w:rPr>
        <w:t>学校办公费、维修费、劳务费、水电暖及教师和学生的外出学习交流和培训，使学校各项业务活动正常开展，提升学校教育教学水平，提高教师教育水平和学生专业技术水平</w:t>
      </w:r>
      <w:r>
        <w:rPr>
          <w:rFonts w:hint="eastAsia" w:eastAsia="仿宋_GB2312" w:cs="Times New Roman"/>
          <w:sz w:val="32"/>
          <w:szCs w:val="32"/>
          <w:highlight w:val="none"/>
          <w:lang w:eastAsia="zh-CN"/>
        </w:rPr>
        <w:t>，可通过问卷调查形式及上级对我校成果验收情况做出评判</w:t>
      </w:r>
      <w:r>
        <w:rPr>
          <w:rFonts w:hint="default" w:ascii="Times New Roman" w:hAnsi="Times New Roman" w:eastAsia="仿宋_GB2312" w:cs="Times New Roman"/>
          <w:color w:val="000000"/>
          <w:spacing w:val="17"/>
          <w:sz w:val="32"/>
          <w:szCs w:val="32"/>
          <w:highlight w:val="none"/>
        </w:rPr>
        <w:t>。</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eastAsia="zh-CN"/>
        </w:rPr>
        <w:t>、行业标准</w:t>
      </w:r>
      <w:r>
        <w:rPr>
          <w:rFonts w:hint="default" w:ascii="Times New Roman" w:hAnsi="Times New Roman" w:eastAsia="仿宋_GB2312" w:cs="Times New Roman"/>
          <w:b w:val="0"/>
          <w:bCs w:val="0"/>
          <w:highlight w:val="none"/>
        </w:rPr>
        <w:t>。</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该项目下达资金</w:t>
      </w:r>
      <w:r>
        <w:rPr>
          <w:rFonts w:hint="eastAsia" w:ascii="Times New Roman" w:hAnsi="Times New Roman" w:eastAsia="仿宋_GB2312" w:cs="Times New Roman"/>
          <w:b w:val="0"/>
          <w:bCs w:val="0"/>
          <w:highlight w:val="none"/>
          <w:lang w:val="en-US" w:eastAsia="zh-CN"/>
        </w:rPr>
        <w:t>488.4万元，年初通过各项预算，制定了相应的绩效目标，来反映该项资金的使用情况</w:t>
      </w:r>
      <w:r>
        <w:rPr>
          <w:rFonts w:hint="default" w:ascii="Times New Roman" w:hAnsi="Times New Roman" w:eastAsia="仿宋_GB2312" w:cs="Times New Roman"/>
          <w:b w:val="0"/>
          <w:bCs w:val="0"/>
          <w:highlight w:val="none"/>
        </w:rPr>
        <w:t>指。</w:t>
      </w:r>
    </w:p>
    <w:p>
      <w:pPr>
        <w:pStyle w:val="10"/>
        <w:widowControl w:val="0"/>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w:t>
      </w:r>
      <w:r>
        <w:rPr>
          <w:rFonts w:hint="eastAsia" w:ascii="Times New Roman" w:hAnsi="Times New Roman" w:eastAsia="仿宋_GB2312" w:cs="Times New Roman"/>
          <w:b w:val="0"/>
          <w:bCs w:val="0"/>
          <w:highlight w:val="none"/>
          <w:lang w:eastAsia="zh-CN"/>
        </w:rPr>
        <w:t>按照国家公布的标准，依据学生人数及标准申请该项目资金。</w:t>
      </w:r>
    </w:p>
    <w:p>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部门</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资助中心、单位主要负责人等</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结合免学费</w:t>
      </w:r>
      <w:r>
        <w:rPr>
          <w:rFonts w:hint="default" w:ascii="Times New Roman" w:hAnsi="Times New Roman" w:eastAsia="仿宋_GB2312" w:cs="Times New Roman"/>
          <w:sz w:val="32"/>
          <w:szCs w:val="32"/>
          <w:highlight w:val="none"/>
          <w:lang w:val="en-US" w:eastAsia="zh-CN"/>
        </w:rPr>
        <w:t>项目的性质、</w:t>
      </w:r>
      <w:r>
        <w:rPr>
          <w:rFonts w:hint="eastAsia" w:eastAsia="仿宋_GB2312" w:cs="Times New Roman"/>
          <w:sz w:val="32"/>
          <w:szCs w:val="32"/>
          <w:highlight w:val="none"/>
          <w:lang w:val="en-US" w:eastAsia="zh-CN"/>
        </w:rPr>
        <w:t>完成预期设定的目标</w:t>
      </w:r>
      <w:r>
        <w:rPr>
          <w:rFonts w:hint="default" w:ascii="Times New Roman" w:hAnsi="Times New Roman" w:eastAsia="仿宋_GB2312" w:cs="Times New Roman"/>
          <w:sz w:val="32"/>
          <w:szCs w:val="32"/>
          <w:highlight w:val="none"/>
          <w:lang w:val="en-US" w:eastAsia="zh-CN"/>
        </w:rPr>
        <w:t>以及预期</w:t>
      </w:r>
      <w:r>
        <w:rPr>
          <w:rFonts w:hint="eastAsia" w:eastAsia="仿宋_GB2312" w:cs="Times New Roman"/>
          <w:sz w:val="32"/>
          <w:szCs w:val="32"/>
          <w:highlight w:val="none"/>
          <w:lang w:val="en-US" w:eastAsia="zh-CN"/>
        </w:rPr>
        <w:t>需实现的</w:t>
      </w:r>
      <w:r>
        <w:rPr>
          <w:rFonts w:hint="default" w:ascii="Times New Roman" w:hAnsi="Times New Roman" w:eastAsia="仿宋_GB2312" w:cs="Times New Roman"/>
          <w:sz w:val="32"/>
          <w:szCs w:val="32"/>
          <w:highlight w:val="none"/>
          <w:lang w:val="en-US" w:eastAsia="zh-CN"/>
        </w:rPr>
        <w:t>成果，在评价指标体系的构建上，</w:t>
      </w:r>
      <w:r>
        <w:rPr>
          <w:rFonts w:hint="eastAsia" w:eastAsia="仿宋_GB2312" w:cs="Times New Roman"/>
          <w:sz w:val="32"/>
          <w:szCs w:val="32"/>
          <w:highlight w:val="none"/>
          <w:lang w:val="en-US" w:eastAsia="zh-CN"/>
        </w:rPr>
        <w:t>结合实际情况从数量指标、成本指标、时效指标、效益指标等方面进行分析</w:t>
      </w:r>
      <w:r>
        <w:rPr>
          <w:rFonts w:hint="default" w:ascii="Times New Roman" w:hAnsi="Times New Roman" w:eastAsia="仿宋_GB2312" w:cs="Times New Roman"/>
          <w:sz w:val="32"/>
          <w:szCs w:val="32"/>
          <w:highlight w:val="none"/>
          <w:lang w:val="en-US" w:eastAsia="zh-CN"/>
        </w:rPr>
        <w:t>。同时，对于每个指标的评价标准和数据来源均进行了明确说明，</w:t>
      </w:r>
      <w:r>
        <w:rPr>
          <w:rFonts w:hint="eastAsia" w:eastAsia="仿宋_GB2312" w:cs="Times New Roman"/>
          <w:sz w:val="32"/>
          <w:szCs w:val="32"/>
          <w:highlight w:val="none"/>
          <w:lang w:val="en-US" w:eastAsia="zh-CN"/>
        </w:rPr>
        <w:t>并且上传相应的印证材料作为佐证</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w:t>
      </w:r>
      <w:r>
        <w:rPr>
          <w:rFonts w:hint="eastAsia" w:eastAsia="仿宋_GB2312" w:cs="Times New Roman"/>
          <w:sz w:val="32"/>
          <w:szCs w:val="32"/>
          <w:highlight w:val="none"/>
          <w:lang w:val="en-US" w:eastAsia="zh-CN"/>
        </w:rPr>
        <w:t>满意度评价</w:t>
      </w:r>
      <w:r>
        <w:rPr>
          <w:rFonts w:hint="default" w:ascii="Times New Roman" w:hAnsi="Times New Roman" w:eastAsia="仿宋_GB2312" w:cs="Times New Roman"/>
          <w:sz w:val="32"/>
          <w:szCs w:val="32"/>
          <w:highlight w:val="none"/>
          <w:lang w:val="en-US" w:eastAsia="zh-CN"/>
        </w:rPr>
        <w:t>分析环节，采用了问卷调查、数据分析等，广泛收集了</w:t>
      </w:r>
      <w:r>
        <w:rPr>
          <w:rFonts w:hint="eastAsia" w:eastAsia="仿宋_GB2312" w:cs="Times New Roman"/>
          <w:sz w:val="32"/>
          <w:szCs w:val="32"/>
          <w:highlight w:val="none"/>
          <w:lang w:val="en-US" w:eastAsia="zh-CN"/>
        </w:rPr>
        <w:t>学校在校学生及家长针对该项目实施的具体意见建议，并对该项目的实施进行满意度评价</w:t>
      </w:r>
      <w:r>
        <w:rPr>
          <w:rFonts w:hint="default" w:ascii="Times New Roman" w:hAnsi="Times New Roman" w:eastAsia="仿宋_GB2312" w:cs="Times New Roman"/>
          <w:sz w:val="32"/>
          <w:szCs w:val="32"/>
          <w:highlight w:val="none"/>
          <w:lang w:val="en-US" w:eastAsia="zh-CN"/>
        </w:rPr>
        <w:t>，以确保评价结论的</w:t>
      </w:r>
      <w:r>
        <w:rPr>
          <w:rFonts w:hint="eastAsia" w:eastAsia="仿宋_GB2312" w:cs="Times New Roman"/>
          <w:sz w:val="32"/>
          <w:szCs w:val="32"/>
          <w:highlight w:val="none"/>
          <w:lang w:val="en-US" w:eastAsia="zh-CN"/>
        </w:rPr>
        <w:t>正是行</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w:t>
      </w:r>
      <w:r>
        <w:rPr>
          <w:rFonts w:hint="eastAsia" w:eastAsia="仿宋_GB2312" w:cs="Times New Roman"/>
          <w:sz w:val="32"/>
          <w:szCs w:val="32"/>
          <w:highlight w:val="none"/>
          <w:lang w:eastAsia="zh-CN"/>
        </w:rPr>
        <w:t>设定的指标预期与实际执行情况进行</w:t>
      </w:r>
      <w:r>
        <w:rPr>
          <w:rFonts w:hint="default" w:ascii="Times New Roman" w:hAnsi="Times New Roman" w:eastAsia="仿宋_GB2312" w:cs="Times New Roman"/>
          <w:sz w:val="32"/>
          <w:szCs w:val="32"/>
          <w:highlight w:val="none"/>
          <w:lang w:eastAsia="zh-CN"/>
        </w:rPr>
        <w:t>分析，计算出指标的</w:t>
      </w:r>
      <w:r>
        <w:rPr>
          <w:rFonts w:hint="eastAsia" w:eastAsia="仿宋_GB2312" w:cs="Times New Roman"/>
          <w:sz w:val="32"/>
          <w:szCs w:val="32"/>
          <w:highlight w:val="none"/>
          <w:lang w:eastAsia="zh-CN"/>
        </w:rPr>
        <w:t>完成情况</w:t>
      </w:r>
      <w:r>
        <w:rPr>
          <w:rFonts w:hint="default" w:ascii="Times New Roman" w:hAnsi="Times New Roman" w:eastAsia="仿宋_GB2312" w:cs="Times New Roman"/>
          <w:sz w:val="32"/>
          <w:szCs w:val="32"/>
          <w:highlight w:val="none"/>
          <w:lang w:eastAsia="zh-CN"/>
        </w:rPr>
        <w:t>，并结合指标权重进行综合评分，从而得出项目的整体绩效评价结果。在分析过程中，</w:t>
      </w:r>
      <w:r>
        <w:rPr>
          <w:rFonts w:hint="eastAsia" w:eastAsia="仿宋_GB2312" w:cs="Times New Roman"/>
          <w:sz w:val="32"/>
          <w:szCs w:val="32"/>
          <w:highlight w:val="none"/>
          <w:lang w:eastAsia="zh-CN"/>
        </w:rPr>
        <w:t>首先确保所有数据来源的真实性、准确性，做到事事有依据，件件有根据，严格按照文件规定执行</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w:t>
      </w:r>
      <w:r>
        <w:rPr>
          <w:rFonts w:hint="eastAsia" w:eastAsia="仿宋_GB2312" w:cs="Times New Roman"/>
          <w:sz w:val="32"/>
          <w:szCs w:val="32"/>
          <w:highlight w:val="none"/>
          <w:lang w:val="en-US" w:eastAsia="zh-CN"/>
        </w:rPr>
        <w:t>完整、数据真实准确，佐证材料齐全</w:t>
      </w:r>
      <w:r>
        <w:rPr>
          <w:rFonts w:hint="default" w:ascii="Times New Roman" w:hAnsi="Times New Roman" w:eastAsia="仿宋_GB2312" w:cs="Times New Roman"/>
          <w:sz w:val="32"/>
          <w:szCs w:val="32"/>
          <w:highlight w:val="none"/>
          <w:lang w:val="en-US" w:eastAsia="zh-CN"/>
        </w:rPr>
        <w:t>。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spacing w:line="700" w:lineRule="exact"/>
        <w:ind w:firstLine="1280" w:firstLineChars="40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本项目的综合评价基于对项目各方面绩效的深入分析与评估。从项目目标的达成情况来看，昌州财教[2023]91号关于提前下达2024年学生资助补助经费预算[中央直达资金]的通知-中职免学费在</w:t>
      </w:r>
      <w:r>
        <w:rPr>
          <w:rFonts w:hint="eastAsia" w:ascii="Times New Roman" w:hAnsi="Times New Roman" w:eastAsia="仿宋_GB2312" w:cs="Times New Roman"/>
          <w:sz w:val="32"/>
          <w:szCs w:val="32"/>
          <w:highlight w:val="none"/>
        </w:rPr>
        <w:t>提升学校教育教学水平，提高教师教育水平和学生专业技术水平</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中职教育中</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学校教师学历提升、教师通过培训提升专业技术水平</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学生在年度全国职业院校技能大赛中取得优异成绩，教师取得最佳指导奖项</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奇台中等职业技术学校</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eastAsia="zh-CN"/>
        </w:rPr>
        <w:t>为困难家庭解决就学困难问题、教师的教育教学水平、学生的专业技术水平</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综上所述，昌州财教[2023]91号关于提前下达2024年学生资助补助经费预算[中央直达资金]的通知-中职免学费在绩效评价中表现出色，达到了项目的预期目标，并在多个方面取得了显著的成效。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w:t>
      </w:r>
      <w:r>
        <w:rPr>
          <w:rFonts w:hint="eastAsia" w:eastAsia="仿宋_GB2312" w:cs="Times New Roman"/>
          <w:sz w:val="32"/>
          <w:szCs w:val="32"/>
          <w:highlight w:val="none"/>
          <w:lang w:val="en-US" w:eastAsia="zh-CN"/>
        </w:rPr>
        <w:t>依据为</w:t>
      </w:r>
      <w:r>
        <w:rPr>
          <w:rFonts w:hint="eastAsia" w:ascii="Times New Roman" w:hAnsi="Times New Roman" w:eastAsia="仿宋_GB2312" w:cs="Times New Roman"/>
          <w:sz w:val="32"/>
          <w:szCs w:val="32"/>
          <w:highlight w:val="none"/>
          <w:lang w:val="en-US" w:eastAsia="zh-CN"/>
        </w:rPr>
        <w:t>昌州财教[2023]91号关于提前下达2024年学生资助补助经费预算[中央直达资金]的通知-中职免学费222万元； 昌州财教[2023]101号关于提前下达2024年学生资助补助经费预算[自治区直达资金]的通知-中职免学费60万元； 昌州财教[2024]20号关于提前下达2024年学生资助补助经费预算[第二批]中央直达资金的通知-中职免学费118万元；昌州财教[2023]91号关于提前下达2024年学生资助补助经费预算[中央直达资金]的通知-技工免学费62.45万元； 昌州财教[2023]101号关于提前下达2024年学生资助补助经费预算[自治区直达资金]的通知-技工免学费17.68万元；昌州财教[2024]20号关于提前下达2024年学生资助补助经费预算[第二批]中央直达资金的通知-技工免学费8.27万元。</w:t>
      </w:r>
      <w:r>
        <w:rPr>
          <w:rFonts w:hint="eastAsia" w:eastAsia="仿宋_GB2312" w:cs="Times New Roman"/>
          <w:sz w:val="32"/>
          <w:szCs w:val="32"/>
          <w:highlight w:val="none"/>
          <w:lang w:val="en-US" w:eastAsia="zh-CN"/>
        </w:rPr>
        <w:t>下达资金共计488.4万元。</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eastAsia="仿宋_GB2312" w:cs="Times New Roman"/>
          <w:sz w:val="32"/>
          <w:szCs w:val="32"/>
          <w:highlight w:val="none"/>
          <w:lang w:val="en-US" w:eastAsia="zh-CN"/>
        </w:rPr>
        <w:t>项目申报审批、</w:t>
      </w:r>
      <w:r>
        <w:rPr>
          <w:rFonts w:hint="default" w:ascii="Times New Roman" w:hAnsi="Times New Roman" w:eastAsia="仿宋_GB2312" w:cs="Times New Roman"/>
          <w:sz w:val="32"/>
          <w:szCs w:val="32"/>
          <w:highlight w:val="none"/>
          <w:lang w:val="en-US" w:eastAsia="zh-CN"/>
        </w:rPr>
        <w:t>可行性研究、绩效评估、集体决策，保障了程序的规范性。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中职免学费资金管理使用办法</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享受免学费学生人数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2442人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2442人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1：受益对象政策符合率，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2：资金足额到位率率，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1：项目预算控制率，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1：减轻家庭经济困难学生生活负担，</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有效减轻</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有效提升</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1：家长满意度，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2：学生满意度，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昌州财教[2023]91号关于提前下达2024年学生资助补助经费预算[中央直达资金]的通知-中职免学费项目年初预算</w:t>
      </w:r>
      <w:r>
        <w:rPr>
          <w:rFonts w:hint="eastAsia" w:ascii="Times New Roman" w:hAnsi="Times New Roman"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rPr>
        <w:t>万元，全年预算</w:t>
      </w:r>
      <w:r>
        <w:rPr>
          <w:rFonts w:hint="eastAsia" w:ascii="Times New Roman" w:hAnsi="Times New Roman"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rPr>
        <w:t>万元，实际支出</w:t>
      </w:r>
      <w:r>
        <w:rPr>
          <w:rFonts w:hint="eastAsia" w:ascii="Times New Roman" w:hAnsi="Times New Roman" w:eastAsia="仿宋_GB2312" w:cs="Times New Roman"/>
          <w:sz w:val="32"/>
          <w:szCs w:val="32"/>
          <w:highlight w:val="none"/>
          <w:lang w:val="en-US" w:eastAsia="zh-CN"/>
        </w:rPr>
        <w:t>488.4</w:t>
      </w:r>
      <w:r>
        <w:rPr>
          <w:rFonts w:hint="default" w:ascii="Times New Roman" w:hAnsi="Times New Roman" w:eastAsia="仿宋_GB2312" w:cs="Times New Roman"/>
          <w:sz w:val="32"/>
          <w:szCs w:val="32"/>
          <w:highlight w:val="none"/>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%，项目绩效指标总体完成率为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keepNext/>
        <w:keepLines/>
        <w:numPr>
          <w:ilvl w:val="0"/>
          <w:numId w:val="0"/>
        </w:num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1.加强经费的管理，建立完善的财务管理制度和预算制度，加强预算审批和执行过程中的监督和管理，减少浪费和不必要的开支，确保经费的合理且有效地使用；</w:t>
      </w:r>
    </w:p>
    <w:p>
      <w:pPr>
        <w:keepNext/>
        <w:keepLines/>
        <w:numPr>
          <w:ilvl w:val="0"/>
          <w:numId w:val="0"/>
        </w:numPr>
        <w:spacing w:line="560" w:lineRule="exact"/>
        <w:ind w:firstLine="640" w:firstLineChars="200"/>
        <w:rPr>
          <w:rFonts w:hint="default" w:ascii="Times New Roman" w:hAnsi="Times New Roman" w:eastAsia="楷体_GB2312" w:cs="Times New Roman"/>
          <w:b/>
          <w:bCs/>
          <w:sz w:val="32"/>
          <w:szCs w:val="32"/>
          <w:highlight w:val="none"/>
        </w:rPr>
      </w:pPr>
      <w:r>
        <w:rPr>
          <w:rFonts w:hint="default" w:ascii="Times New Roman" w:hAnsi="Times New Roman" w:eastAsia="仿宋_GB2312" w:cs="Times New Roman"/>
          <w:sz w:val="32"/>
          <w:szCs w:val="32"/>
          <w:highlight w:val="none"/>
        </w:rPr>
        <w:t>2.提高单位员工的自觉性和责任感，以德行教育为基础，倡导“精打细算、戮力同心”的理念，同时，要加强工作考核和监督制度，鼓励员工勤俭节约，从而减少不必要浪费和消费；3.要加强与其他部门的协作，在遇到问题时无法得到及时帮助，我们需要加强与其它部门的沟通，建立紧密的合作关系，以便更好地解决问题。</w:t>
      </w:r>
    </w:p>
    <w:p>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numPr>
          <w:ilvl w:val="0"/>
          <w:numId w:val="8"/>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财务管理不规范，可能存在财务记录不准确、报销审批流程不严格等问题，导致经费使用和管理不透明；2.花费过度或者浪费，经费可能被滥用或者浪费，造成资源的浪费和效益的降低；3.没有明确的使用规范和限制，缺乏对经费使用的明确限制，可能导致滥用个不当使用；4.缺乏监督和检查制度，对经费的使用和管理缺乏有效的监督和检查制度，可能导致使用不当；5.不合理的分配和使用，经费分配不公平或者不合理，导致资源的不合理利用和分配不公正。</w:t>
      </w:r>
    </w:p>
    <w:p>
      <w:pPr>
        <w:numPr>
          <w:ilvl w:val="0"/>
          <w:numId w:val="8"/>
        </w:numPr>
        <w:spacing w:line="560" w:lineRule="exact"/>
        <w:ind w:firstLine="640" w:firstLineChars="200"/>
        <w:rPr>
          <w:rFonts w:hint="eastAsia" w:ascii="Times New Roman" w:hAnsi="Times New Roman" w:eastAsia="黑体" w:cs="Times New Roman"/>
          <w:sz w:val="32"/>
          <w:szCs w:val="32"/>
          <w:highlight w:val="none"/>
          <w:lang w:eastAsia="zh-CN"/>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项目决策建议：1、</w:t>
      </w:r>
      <w:r>
        <w:rPr>
          <w:rFonts w:hint="default" w:ascii="Times New Roman" w:hAnsi="Times New Roman" w:eastAsia="仿宋_GB2312" w:cs="Times New Roman"/>
          <w:sz w:val="32"/>
          <w:szCs w:val="32"/>
          <w:highlight w:val="none"/>
          <w:lang w:val="en-US" w:eastAsia="zh-CN"/>
        </w:rPr>
        <w:t>加强财政专项资金使用监督，促进专项资金规范管理，提高专项资金的的使用效益，2.认真执行财经法规及各项内部制度规定，制定符合实际情况的专项经费管理办法及内部控制制度；3.按照财经法规和单位内部控制相应制度对专项经费的使用进行专项的会计核算，专项现金单独核算，设置支出科目，对于专项资金使用显审批厚朴付款，完善的审批制度能保证资金支付手续的完备性，相关档案定期存档；4.严格按照申报时的预算和支出范围，没有出现超值、超范围、挪用、占用、自行分解和擅自转拨专项资金的情况。</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预算安排与执行建议：</w:t>
      </w:r>
      <w:r>
        <w:rPr>
          <w:rFonts w:hint="default" w:ascii="Times New Roman" w:hAnsi="Times New Roman" w:eastAsia="仿宋_GB2312" w:cs="Times New Roman"/>
          <w:sz w:val="32"/>
          <w:szCs w:val="32"/>
          <w:highlight w:val="none"/>
          <w:lang w:val="en-US" w:eastAsia="zh-CN"/>
        </w:rPr>
        <w:t>1.制定详细的预算计划和执行方案，以确保预算的合理性和可行性。预算计划应该考虑各种情况的可能性，包括经济环境、市场需求、政策变化等，以便灵活应对；2.在预算执行过程中，要及时监测和分析预算执行情况，加强内部管理和控制，确保预算资金的合理使用和节约以便调整预算方案。特别是对于偏差较大的项目，要及时调整，防止出现廉洁问题；3.在预算执行过程中，要加强绩效评估和自我评估，及时总结经验和教训，进一步提高预算执行的效率和质量。</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资金管理建议：</w:t>
      </w:r>
      <w:r>
        <w:rPr>
          <w:rFonts w:hint="default" w:ascii="Times New Roman" w:hAnsi="Times New Roman" w:eastAsia="仿宋_GB2312" w:cs="Times New Roman"/>
          <w:sz w:val="32"/>
          <w:szCs w:val="32"/>
          <w:highlight w:val="none"/>
          <w:lang w:val="en-US" w:eastAsia="zh-CN"/>
        </w:rPr>
        <w:t>1.建立明确的财务目标和预算，在资金管理中，首先要确定明确的财务目标，并制定相应的预算，以确保资金的合理分配和利用；2.建立紧急备用金，在日常生活中，突发事件或意外情况难以预料，建立一个紧急备用金账户，用于应对突发的紧急支出，以避免因意外情况导致财务困境；3.分散投资风险，避免将所有资金集中投资于某一项投资工具或行业，以降低风险；4.定期进行资产配置调整，资产配置是指根据市场环境和个人风险承受能力，调整不同资产类别的比例。</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项目管理建议：</w:t>
      </w:r>
      <w:r>
        <w:rPr>
          <w:rFonts w:hint="default" w:ascii="Times New Roman" w:hAnsi="Times New Roman" w:eastAsia="仿宋_GB2312" w:cs="Times New Roman"/>
          <w:sz w:val="32"/>
          <w:szCs w:val="32"/>
          <w:highlight w:val="none"/>
          <w:lang w:val="en-US" w:eastAsia="zh-CN"/>
        </w:rPr>
        <w:t>1.项目过于繁琐冗长，过多则流于形式，什么工作内容都要走流程，就会走向流程管理的反面，物极必反，于项目日常工作造成不必要的时间，精力耗费，大大降低工作效率，得不偿失，建议不必要的内容无需走流程，重点的需要项目审核的工作内容走流程；2.加强员工后续制度性学习，加强员工之间内部经验交流，知识在不断更新换代，员工也需要不断学习才能跟上发展的脚步；3.建立有效的沟通机制，在项目执行中，应建立起有效的沟通机制，包括项目的工作内容，资源分配等，以确保项目能够按期。按质、按量完成。</w:t>
      </w:r>
    </w:p>
    <w:p>
      <w:pPr>
        <w:numPr>
          <w:ilvl w:val="0"/>
          <w:numId w:val="0"/>
        </w:num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default" w:ascii="仿宋_GB2312" w:hAnsi="仿宋_GB2312" w:eastAsia="仿宋_GB2312" w:cs="仿宋_GB2312"/>
          <w:b/>
          <w:bCs/>
          <w:sz w:val="28"/>
          <w:szCs w:val="40"/>
          <w:highlight w:val="none"/>
        </w:rPr>
        <w:t>昌州财教[2023]91号关于提前下达2024年学生资助补助经费预算[中央直达资金]的通知-中职免学费</w:t>
      </w:r>
      <w:r>
        <w:rPr>
          <w:rFonts w:hint="eastAsia" w:ascii="仿宋_GB2312" w:hAnsi="仿宋_GB2312" w:eastAsia="仿宋_GB2312" w:cs="仿宋_GB2312"/>
          <w:b/>
          <w:bCs/>
          <w:sz w:val="28"/>
          <w:szCs w:val="40"/>
          <w:highlight w:val="none"/>
        </w:rPr>
        <w:t>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黑体" w:cs="Times New Roman"/>
          <w:sz w:val="32"/>
          <w:szCs w:val="32"/>
          <w:highlight w:val="none"/>
          <w:lang w:val="en-US" w:eastAsia="zh-CN"/>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4"/>
        <w:tblW w:w="13725" w:type="dxa"/>
        <w:tblInd w:w="0" w:type="dxa"/>
        <w:shd w:val="clear" w:color="auto" w:fill="auto"/>
        <w:tblLayout w:type="fixed"/>
        <w:tblCellMar>
          <w:top w:w="0" w:type="dxa"/>
          <w:left w:w="0" w:type="dxa"/>
          <w:bottom w:w="0" w:type="dxa"/>
          <w:right w:w="0" w:type="dxa"/>
        </w:tblCellMar>
      </w:tblPr>
      <w:tblGrid>
        <w:gridCol w:w="1045"/>
        <w:gridCol w:w="1045"/>
        <w:gridCol w:w="1051"/>
        <w:gridCol w:w="1078"/>
        <w:gridCol w:w="1251"/>
        <w:gridCol w:w="627"/>
        <w:gridCol w:w="1465"/>
        <w:gridCol w:w="1306"/>
        <w:gridCol w:w="840"/>
        <w:gridCol w:w="757"/>
        <w:gridCol w:w="853"/>
        <w:gridCol w:w="608"/>
        <w:gridCol w:w="688"/>
        <w:gridCol w:w="1111"/>
      </w:tblGrid>
      <w:tr>
        <w:tblPrEx>
          <w:shd w:val="clear" w:color="auto" w:fill="auto"/>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Layout w:type="fixed"/>
          <w:tblCellMar>
            <w:top w:w="0" w:type="dxa"/>
            <w:left w:w="0" w:type="dxa"/>
            <w:bottom w:w="0" w:type="dxa"/>
            <w:right w:w="0" w:type="dxa"/>
          </w:tblCellMar>
        </w:tblPrEx>
        <w:trPr>
          <w:trHeight w:val="270" w:hRule="atLeast"/>
        </w:trPr>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63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昌州财教[2023]91号关于提前下达2024年学生资助补助经费预算[中央直达资金]的通知-中职免学费</w:t>
            </w:r>
          </w:p>
        </w:tc>
      </w:tr>
      <w:tr>
        <w:tblPrEx>
          <w:tblLayout w:type="fixed"/>
          <w:tblCellMar>
            <w:top w:w="0" w:type="dxa"/>
            <w:left w:w="0" w:type="dxa"/>
            <w:bottom w:w="0" w:type="dxa"/>
            <w:right w:w="0" w:type="dxa"/>
          </w:tblCellMar>
        </w:tblPrEx>
        <w:trPr>
          <w:trHeight w:val="270" w:hRule="atLeast"/>
        </w:trPr>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47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奇台中等职业技术学校</w:t>
            </w:r>
          </w:p>
        </w:tc>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1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奇台中等职业技术学校</w:t>
            </w:r>
          </w:p>
        </w:tc>
      </w:tr>
      <w:tr>
        <w:tblPrEx>
          <w:tblLayout w:type="fixed"/>
          <w:tblCellMar>
            <w:top w:w="0" w:type="dxa"/>
            <w:left w:w="0" w:type="dxa"/>
            <w:bottom w:w="0" w:type="dxa"/>
            <w:right w:w="0" w:type="dxa"/>
          </w:tblCellMar>
        </w:tblPrEx>
        <w:trPr>
          <w:trHeight w:val="480" w:hRule="atLeast"/>
        </w:trPr>
        <w:tc>
          <w:tcPr>
            <w:tcW w:w="20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440" w:hRule="atLeast"/>
        </w:trPr>
        <w:tc>
          <w:tcPr>
            <w:tcW w:w="2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310.13</w:t>
            </w:r>
          </w:p>
        </w:tc>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488.40</w:t>
            </w:r>
          </w:p>
        </w:tc>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488.40</w:t>
            </w:r>
          </w:p>
        </w:tc>
        <w:tc>
          <w:tcPr>
            <w:tcW w:w="16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440" w:hRule="atLeast"/>
        </w:trPr>
        <w:tc>
          <w:tcPr>
            <w:tcW w:w="2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310.13</w:t>
            </w:r>
          </w:p>
        </w:tc>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488.4</w:t>
            </w:r>
          </w:p>
        </w:tc>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488.4</w:t>
            </w:r>
          </w:p>
        </w:tc>
        <w:tc>
          <w:tcPr>
            <w:tcW w:w="16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440" w:hRule="atLeast"/>
        </w:trPr>
        <w:tc>
          <w:tcPr>
            <w:tcW w:w="2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440" w:hRule="atLeast"/>
        </w:trPr>
        <w:tc>
          <w:tcPr>
            <w:tcW w:w="2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0" w:hRule="atLeast"/>
        </w:trPr>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51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16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54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1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拟投入488.4万免学费资金用于支付学校办公费、维修费、劳务费、水电暖及教师和学生的外出学习交流和培训，学生享受免学费教育，使学校各项业务活动正常开展，最终提升学校教育教学水平，提高教师教育水平和学生专业技术水平，有效减轻家庭经济困难学生的生活负担，使家长满意、学生满意。</w:t>
            </w:r>
          </w:p>
        </w:tc>
        <w:tc>
          <w:tcPr>
            <w:tcW w:w="616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截至2024年12月31日，该项目实际完成投入488.4万元，享受免学费学生人数2442人。免学费是国家推进教育公平、提升中等职业教育吸引力而实施的重要举措，通过该项目的实施，对于农村及城市经济困难家庭来说，免学费政策直接减轻了家庭的经济困难，接受经济条件差的学生有机会受到中等职业教育，缩小了不同家庭背景学生直接的教育机会差距，使得教育资源分配更加公平，有助于降低中职学生的辍学率，提高学生的学业完成率。</w:t>
            </w:r>
          </w:p>
        </w:tc>
      </w:tr>
      <w:tr>
        <w:tblPrEx>
          <w:tblLayout w:type="fixed"/>
          <w:tblCellMar>
            <w:top w:w="0" w:type="dxa"/>
            <w:left w:w="0" w:type="dxa"/>
            <w:bottom w:w="0" w:type="dxa"/>
            <w:right w:w="0" w:type="dxa"/>
          </w:tblCellMar>
        </w:tblPrEx>
        <w:trPr>
          <w:trHeight w:val="270" w:hRule="atLeast"/>
        </w:trPr>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9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4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5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4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27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享受免学费学生人数</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&gt;=2442人</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=2442人</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受益对象政策符合率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资金足额到位率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项目预算控制率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减轻家庭经济困难学生生活负担</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有效减轻</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家长满意度</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学生满意度</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70" w:hRule="atLeast"/>
        </w:trPr>
        <w:tc>
          <w:tcPr>
            <w:tcW w:w="886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100分</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A024C5"/>
    <w:multiLevelType w:val="singleLevel"/>
    <w:tmpl w:val="DDA024C5"/>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1152C2C"/>
    <w:multiLevelType w:val="singleLevel"/>
    <w:tmpl w:val="31152C2C"/>
    <w:lvl w:ilvl="0" w:tentative="0">
      <w:start w:val="1"/>
      <w:numFmt w:val="decimal"/>
      <w:lvlText w:val="%1."/>
      <w:lvlJc w:val="left"/>
      <w:pPr>
        <w:tabs>
          <w:tab w:val="left" w:pos="312"/>
        </w:tabs>
      </w:pPr>
    </w:lvl>
  </w:abstractNum>
  <w:abstractNum w:abstractNumId="6">
    <w:nsid w:val="448E3944"/>
    <w:multiLevelType w:val="singleLevel"/>
    <w:tmpl w:val="448E3944"/>
    <w:lvl w:ilvl="0" w:tentative="0">
      <w:start w:val="1"/>
      <w:numFmt w:val="decimal"/>
      <w:lvlText w:val="%1."/>
      <w:lvlJc w:val="left"/>
      <w:pPr>
        <w:tabs>
          <w:tab w:val="left" w:pos="312"/>
        </w:tabs>
      </w:p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4"/>
  </w:num>
  <w:num w:numId="4">
    <w:abstractNumId w:val="3"/>
  </w:num>
  <w:num w:numId="5">
    <w:abstractNumId w:val="7"/>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91C2214"/>
    <w:rsid w:val="0AD007F3"/>
    <w:rsid w:val="0AFB0FE1"/>
    <w:rsid w:val="0D082A6E"/>
    <w:rsid w:val="0E3C619F"/>
    <w:rsid w:val="0F6273CA"/>
    <w:rsid w:val="100F38EC"/>
    <w:rsid w:val="11170296"/>
    <w:rsid w:val="12C66037"/>
    <w:rsid w:val="12CD1ABC"/>
    <w:rsid w:val="13471461"/>
    <w:rsid w:val="13B90F01"/>
    <w:rsid w:val="155E4C4D"/>
    <w:rsid w:val="181066D2"/>
    <w:rsid w:val="1C671E73"/>
    <w:rsid w:val="1D322C47"/>
    <w:rsid w:val="22290DFD"/>
    <w:rsid w:val="23616034"/>
    <w:rsid w:val="23696C97"/>
    <w:rsid w:val="24480FA2"/>
    <w:rsid w:val="25227A45"/>
    <w:rsid w:val="26AC3A6A"/>
    <w:rsid w:val="2B9D7E25"/>
    <w:rsid w:val="2C7C7A3B"/>
    <w:rsid w:val="2F364819"/>
    <w:rsid w:val="2FD63906"/>
    <w:rsid w:val="317B2633"/>
    <w:rsid w:val="334915B0"/>
    <w:rsid w:val="34C022F7"/>
    <w:rsid w:val="37215DAE"/>
    <w:rsid w:val="38CA40DD"/>
    <w:rsid w:val="395F2B56"/>
    <w:rsid w:val="3B482032"/>
    <w:rsid w:val="3BBA0580"/>
    <w:rsid w:val="3BECE841"/>
    <w:rsid w:val="3CDE204C"/>
    <w:rsid w:val="3D363C36"/>
    <w:rsid w:val="3E9C3F6D"/>
    <w:rsid w:val="3FF7797D"/>
    <w:rsid w:val="42F16CBA"/>
    <w:rsid w:val="45C6019A"/>
    <w:rsid w:val="46690BD8"/>
    <w:rsid w:val="49F70BF1"/>
    <w:rsid w:val="4AEA414E"/>
    <w:rsid w:val="4B4340EE"/>
    <w:rsid w:val="503D507A"/>
    <w:rsid w:val="51FA74D0"/>
    <w:rsid w:val="52AA4A52"/>
    <w:rsid w:val="539D3AD1"/>
    <w:rsid w:val="569D18C8"/>
    <w:rsid w:val="57391B27"/>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2158</Words>
  <Characters>2225</Characters>
  <Lines>58</Lines>
  <Paragraphs>16</Paragraphs>
  <TotalTime>1</TotalTime>
  <ScaleCrop>false</ScaleCrop>
  <LinksUpToDate>false</LinksUpToDate>
  <CharactersWithSpaces>2225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2025-05-08T13:19:11Z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