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t>昌吉州财行【2023】33号纪委监委</w:t>
      </w:r>
    </w:p>
    <w:p>
      <w:pPr>
        <w:spacing w:line="54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t>协作办案经费项目支出绩效评价</w:t>
      </w:r>
    </w:p>
    <w:p>
      <w:pPr>
        <w:spacing w:line="54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t>报告</w:t>
      </w: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（202</w:t>
      </w:r>
      <w:r>
        <w:rPr>
          <w:rFonts w:hint="default" w:ascii="Times New Roman" w:hAnsi="Times New Roman"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年度）</w:t>
      </w: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pStyle w:val="10"/>
        <w:rPr>
          <w:rFonts w:hint="default" w:ascii="Times New Roman" w:hAnsi="Times New Roman" w:cs="Times New Roman"/>
          <w:highlight w:val="none"/>
        </w:rPr>
      </w:pPr>
    </w:p>
    <w:p>
      <w:pPr>
        <w:spacing w:line="700" w:lineRule="exact"/>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项目名称：</w:t>
      </w:r>
      <w:bookmarkStart w:id="0" w:name="OLE_LINK1"/>
      <w:r>
        <w:rPr>
          <w:rFonts w:hint="default" w:ascii="Times New Roman" w:hAnsi="Times New Roman" w:eastAsia="仿宋_GB2312" w:cs="Times New Roman"/>
          <w:kern w:val="0"/>
          <w:sz w:val="36"/>
          <w:szCs w:val="36"/>
          <w:highlight w:val="none"/>
        </w:rPr>
        <w:t>昌吉州财行【2023】33号纪委监委协作办案经费</w:t>
      </w:r>
    </w:p>
    <w:bookmarkEnd w:id="0"/>
    <w:p>
      <w:pPr>
        <w:spacing w:line="700" w:lineRule="exact"/>
        <w:jc w:val="left"/>
        <w:rPr>
          <w:rFonts w:hint="eastAsia"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实施单位（公章）：</w:t>
      </w:r>
      <w:bookmarkStart w:id="1" w:name="OLE_LINK5"/>
      <w:r>
        <w:rPr>
          <w:rFonts w:hint="eastAsia" w:eastAsia="仿宋_GB2312" w:cs="Times New Roman"/>
          <w:kern w:val="0"/>
          <w:sz w:val="36"/>
          <w:szCs w:val="36"/>
          <w:highlight w:val="none"/>
          <w:lang w:val="en-US" w:eastAsia="zh-CN"/>
        </w:rPr>
        <w:t>中共奇台县纪律检查委员会</w:t>
      </w:r>
    </w:p>
    <w:bookmarkEnd w:id="1"/>
    <w:p>
      <w:pPr>
        <w:spacing w:line="700" w:lineRule="exact"/>
        <w:jc w:val="left"/>
        <w:rPr>
          <w:rFonts w:hint="default" w:ascii="Times New Roman" w:hAnsi="Times New Roman"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主管部门（公章）：</w:t>
      </w:r>
      <w:r>
        <w:rPr>
          <w:rFonts w:hint="eastAsia" w:eastAsia="仿宋_GB2312" w:cs="Times New Roman"/>
          <w:kern w:val="0"/>
          <w:sz w:val="36"/>
          <w:szCs w:val="36"/>
          <w:highlight w:val="none"/>
          <w:lang w:val="en-US" w:eastAsia="zh-CN"/>
        </w:rPr>
        <w:t>中国共产党奇台县纪律检查委员会</w:t>
      </w:r>
    </w:p>
    <w:p>
      <w:pPr>
        <w:spacing w:line="700" w:lineRule="exact"/>
        <w:ind w:firstLine="1440" w:firstLineChars="400"/>
        <w:jc w:val="left"/>
        <w:rPr>
          <w:rFonts w:hint="default" w:ascii="Times New Roman" w:hAnsi="Times New Roman"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项目负责人（签章）：</w:t>
      </w:r>
      <w:r>
        <w:rPr>
          <w:rFonts w:hint="eastAsia" w:eastAsia="仿宋_GB2312" w:cs="Times New Roman"/>
          <w:kern w:val="0"/>
          <w:sz w:val="36"/>
          <w:szCs w:val="36"/>
          <w:highlight w:val="none"/>
          <w:lang w:val="en-US" w:eastAsia="zh-CN"/>
        </w:rPr>
        <w:t>姜海涛</w:t>
      </w:r>
    </w:p>
    <w:p>
      <w:pPr>
        <w:spacing w:line="70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填报时间：</w:t>
      </w:r>
      <w:r>
        <w:rPr>
          <w:rFonts w:hint="eastAsia" w:eastAsia="仿宋_GB2312" w:cs="Times New Roman"/>
          <w:kern w:val="0"/>
          <w:sz w:val="36"/>
          <w:szCs w:val="36"/>
          <w:highlight w:val="none"/>
          <w:lang w:val="en-US" w:eastAsia="zh-CN"/>
        </w:rPr>
        <w:t>2025</w:t>
      </w:r>
      <w:r>
        <w:rPr>
          <w:rFonts w:hint="default" w:ascii="Times New Roman" w:hAnsi="Times New Roman" w:eastAsia="仿宋_GB2312" w:cs="Times New Roman"/>
          <w:kern w:val="0"/>
          <w:sz w:val="36"/>
          <w:szCs w:val="36"/>
          <w:highlight w:val="none"/>
        </w:rPr>
        <w:t>年</w:t>
      </w:r>
      <w:r>
        <w:rPr>
          <w:rFonts w:hint="eastAsia" w:eastAsia="仿宋_GB2312" w:cs="Times New Roman"/>
          <w:kern w:val="0"/>
          <w:sz w:val="36"/>
          <w:szCs w:val="36"/>
          <w:highlight w:val="none"/>
          <w:lang w:val="en-US" w:eastAsia="zh-CN"/>
        </w:rPr>
        <w:t>5</w:t>
      </w:r>
      <w:r>
        <w:rPr>
          <w:rFonts w:hint="default" w:ascii="Times New Roman" w:hAnsi="Times New Roman" w:eastAsia="仿宋_GB2312" w:cs="Times New Roman"/>
          <w:kern w:val="0"/>
          <w:sz w:val="36"/>
          <w:szCs w:val="36"/>
          <w:highlight w:val="none"/>
        </w:rPr>
        <w:t>月</w:t>
      </w:r>
      <w:r>
        <w:rPr>
          <w:rFonts w:hint="eastAsia" w:eastAsia="仿宋_GB2312" w:cs="Times New Roman"/>
          <w:kern w:val="0"/>
          <w:sz w:val="36"/>
          <w:szCs w:val="36"/>
          <w:highlight w:val="none"/>
          <w:lang w:val="en-US" w:eastAsia="zh-CN"/>
        </w:rPr>
        <w:t>6</w:t>
      </w:r>
      <w:r>
        <w:rPr>
          <w:rFonts w:hint="default" w:ascii="Times New Roman" w:hAnsi="Times New Roman" w:eastAsia="仿宋_GB2312" w:cs="Times New Roman"/>
          <w:kern w:val="0"/>
          <w:sz w:val="36"/>
          <w:szCs w:val="36"/>
          <w:highlight w:val="none"/>
        </w:rPr>
        <w:t>日</w:t>
      </w: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rPr>
          <w:rStyle w:val="16"/>
          <w:rFonts w:hint="default" w:ascii="Times New Roman" w:hAnsi="Times New Roman" w:eastAsia="黑体" w:cs="Times New Roman"/>
          <w:b w:val="0"/>
          <w:spacing w:val="-4"/>
          <w:sz w:val="32"/>
          <w:szCs w:val="32"/>
          <w:highlight w:val="none"/>
        </w:rPr>
      </w:pPr>
    </w:p>
    <w:p>
      <w:pPr>
        <w:spacing w:line="560" w:lineRule="exact"/>
        <w:rPr>
          <w:rFonts w:hint="default" w:ascii="Times New Roman" w:hAnsi="Times New Roman" w:eastAsia="黑体" w:cs="Times New Roman"/>
          <w:bCs/>
          <w:sz w:val="32"/>
          <w:szCs w:val="32"/>
          <w:highlight w:val="none"/>
        </w:rPr>
        <w:sectPr>
          <w:pgSz w:w="11906" w:h="16838"/>
          <w:pgMar w:top="1440" w:right="1558" w:bottom="1440" w:left="1800" w:header="851" w:footer="992" w:gutter="0"/>
          <w:cols w:space="425" w:num="1"/>
          <w:docGrid w:type="lines" w:linePitch="312" w:charSpace="0"/>
        </w:sectPr>
      </w:pPr>
    </w:p>
    <w:p>
      <w:pPr>
        <w:spacing w:line="560" w:lineRule="exact"/>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一、基本情况</w:t>
      </w:r>
    </w:p>
    <w:p>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（一）项目概况</w:t>
      </w:r>
    </w:p>
    <w:p>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项目背景</w:t>
      </w:r>
    </w:p>
    <w:p>
      <w:pPr>
        <w:pStyle w:val="10"/>
        <w:numPr>
          <w:ilvl w:val="0"/>
          <w:numId w:val="0"/>
        </w:numPr>
        <w:spacing w:before="0" w:after="0" w:line="560" w:lineRule="exact"/>
        <w:ind w:firstLine="640" w:firstLineChars="200"/>
        <w:jc w:val="both"/>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纪委监委肩负着监督执纪问责和监督调查处置的重要职责。随着全面从严治党向纵深推进，纪检监察工作的任务日益繁重，对办公环境和办案设备的要求也不断提高。良好的办公环境和先进的办案设备是保障纪检监察工作高效、规范开展的基础。</w:t>
      </w:r>
    </w:p>
    <w:p>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highlight w:val="none"/>
        </w:rPr>
      </w:pPr>
      <w:r>
        <w:rPr>
          <w:rFonts w:hint="default" w:ascii="Times New Roman" w:hAnsi="Times New Roman" w:eastAsia="仿宋_GB2312" w:cs="Times New Roman"/>
          <w:kern w:val="2"/>
          <w:highlight w:val="none"/>
          <w:lang w:val="en-US" w:eastAsia="zh-CN"/>
        </w:rPr>
        <w:t>2.</w:t>
      </w:r>
      <w:r>
        <w:rPr>
          <w:rFonts w:hint="default" w:ascii="Times New Roman" w:hAnsi="Times New Roman" w:eastAsia="仿宋_GB2312" w:cs="Times New Roman"/>
          <w:kern w:val="2"/>
          <w:highlight w:val="none"/>
        </w:rPr>
        <w:t>项目主要内容：</w:t>
      </w:r>
    </w:p>
    <w:p>
      <w:pPr>
        <w:spacing w:line="560" w:lineRule="exact"/>
        <w:ind w:firstLine="600" w:firstLineChars="200"/>
        <w:rPr>
          <w:rFonts w:hint="default" w:ascii="Times New Roman" w:hAnsi="Times New Roman" w:eastAsia="黑体" w:cs="Times New Roman"/>
          <w:highlight w:val="none"/>
          <w:lang w:val="en-US" w:eastAsia="zh-CN"/>
        </w:rPr>
      </w:pPr>
      <w:r>
        <w:rPr>
          <w:rFonts w:hint="default" w:ascii="Times New Roman" w:hAnsi="Times New Roman" w:eastAsia="仿宋_GB2312" w:cs="Times New Roman"/>
          <w:sz w:val="30"/>
          <w:szCs w:val="30"/>
          <w:highlight w:val="none"/>
          <w:lang w:val="en-US" w:eastAsia="zh-CN"/>
        </w:rPr>
        <w:t>项目主要内容：</w:t>
      </w:r>
      <w:bookmarkStart w:id="2" w:name="OLE_LINK4"/>
      <w:r>
        <w:rPr>
          <w:rFonts w:hint="eastAsia" w:eastAsia="仿宋_GB2312" w:cs="Times New Roman"/>
          <w:sz w:val="30"/>
          <w:szCs w:val="30"/>
          <w:highlight w:val="none"/>
          <w:lang w:val="en-US" w:eastAsia="zh-CN"/>
        </w:rPr>
        <w:t>1.案点维修173118元；2.采购办案设备一批326882元。</w:t>
      </w:r>
    </w:p>
    <w:bookmarkEnd w:id="2"/>
    <w:p>
      <w:pPr>
        <w:spacing w:line="700" w:lineRule="exact"/>
        <w:ind w:firstLine="640" w:firstLineChars="200"/>
        <w:jc w:val="left"/>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项目实施情况：</w:t>
      </w:r>
      <w:r>
        <w:rPr>
          <w:rFonts w:hint="default" w:eastAsia="仿宋_GB2312"/>
          <w:sz w:val="32"/>
          <w:szCs w:val="32"/>
          <w:highlight w:val="none"/>
        </w:rPr>
        <w:t>昌吉州财行【2023】33号纪委监委</w:t>
      </w:r>
      <w:bookmarkStart w:id="3" w:name="OLE_LINK2"/>
      <w:r>
        <w:rPr>
          <w:rFonts w:hint="default" w:eastAsia="仿宋_GB2312"/>
          <w:sz w:val="32"/>
          <w:szCs w:val="32"/>
          <w:highlight w:val="none"/>
        </w:rPr>
        <w:t>协作办案</w:t>
      </w:r>
      <w:bookmarkEnd w:id="3"/>
      <w:r>
        <w:rPr>
          <w:rFonts w:hint="default" w:eastAsia="仿宋_GB2312"/>
          <w:sz w:val="32"/>
          <w:szCs w:val="32"/>
          <w:highlight w:val="none"/>
        </w:rPr>
        <w:t>经费</w:t>
      </w:r>
      <w:r>
        <w:rPr>
          <w:rFonts w:eastAsia="仿宋_GB2312"/>
          <w:sz w:val="32"/>
          <w:szCs w:val="32"/>
          <w:highlight w:val="none"/>
        </w:rPr>
        <w:t>项目目前已经完成实际设立的目标，项目在实施过程中严格按照目标设立的各阶段任务进行开展工作，</w:t>
      </w:r>
      <w:r>
        <w:rPr>
          <w:rFonts w:hint="eastAsia" w:eastAsia="仿宋_GB2312"/>
          <w:sz w:val="32"/>
          <w:szCs w:val="32"/>
          <w:highlight w:val="none"/>
          <w:lang w:eastAsia="zh-CN"/>
        </w:rPr>
        <w:t>严格</w:t>
      </w:r>
      <w:r>
        <w:rPr>
          <w:rFonts w:hint="eastAsia" w:eastAsia="仿宋_GB2312"/>
          <w:sz w:val="32"/>
          <w:szCs w:val="32"/>
          <w:highlight w:val="none"/>
          <w:lang w:val="en-US" w:eastAsia="zh-CN"/>
        </w:rPr>
        <w:t>用于</w:t>
      </w:r>
      <w:bookmarkStart w:id="4" w:name="OLE_LINK3"/>
      <w:r>
        <w:rPr>
          <w:rFonts w:hint="default" w:eastAsia="仿宋_GB2312"/>
          <w:sz w:val="32"/>
          <w:szCs w:val="32"/>
          <w:highlight w:val="none"/>
        </w:rPr>
        <w:t>协作办案</w:t>
      </w:r>
      <w:r>
        <w:rPr>
          <w:rFonts w:hint="eastAsia" w:eastAsia="仿宋_GB2312"/>
          <w:sz w:val="32"/>
          <w:szCs w:val="32"/>
          <w:highlight w:val="none"/>
          <w:lang w:val="en-US" w:eastAsia="zh-CN"/>
        </w:rPr>
        <w:t>开支</w:t>
      </w:r>
      <w:bookmarkEnd w:id="4"/>
      <w:r>
        <w:rPr>
          <w:rFonts w:hint="eastAsia" w:eastAsia="仿宋_GB2312"/>
          <w:sz w:val="32"/>
          <w:szCs w:val="32"/>
          <w:highlight w:val="none"/>
          <w:lang w:val="en-US" w:eastAsia="zh-CN"/>
        </w:rPr>
        <w:t>，保障了协作办案工作的正常运转。</w:t>
      </w:r>
    </w:p>
    <w:p>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50</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50</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eastAsia="仿宋_GB2312" w:cs="Times New Roman"/>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spacing w:line="560" w:lineRule="exact"/>
        <w:ind w:firstLine="640" w:firstLineChars="200"/>
        <w:rPr>
          <w:rFonts w:hint="default" w:ascii="Times New Roman" w:hAnsi="Times New Roman" w:eastAsia="黑体" w:cs="Times New Roman"/>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50</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50</w:t>
      </w:r>
      <w:r>
        <w:rPr>
          <w:rFonts w:hint="default" w:ascii="Times New Roman" w:hAnsi="Times New Roman" w:eastAsia="仿宋_GB2312" w:cs="Times New Roman"/>
          <w:sz w:val="32"/>
          <w:szCs w:val="32"/>
          <w:highlight w:val="none"/>
          <w:lang w:val="en-US" w:eastAsia="zh-CN"/>
        </w:rPr>
        <w:t>万元，全年执行数</w:t>
      </w:r>
      <w:r>
        <w:rPr>
          <w:rFonts w:hint="eastAsia" w:eastAsia="仿宋_GB2312" w:cs="Times New Roman"/>
          <w:sz w:val="32"/>
          <w:szCs w:val="32"/>
          <w:highlight w:val="none"/>
          <w:lang w:val="en-US" w:eastAsia="zh-CN"/>
        </w:rPr>
        <w:t>50</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default" w:eastAsia="仿宋_GB2312"/>
          <w:sz w:val="32"/>
          <w:szCs w:val="32"/>
          <w:highlight w:val="none"/>
        </w:rPr>
        <w:t>协作办案</w:t>
      </w:r>
      <w:r>
        <w:rPr>
          <w:rFonts w:hint="eastAsia" w:eastAsia="仿宋_GB2312"/>
          <w:sz w:val="32"/>
          <w:szCs w:val="32"/>
          <w:highlight w:val="none"/>
          <w:lang w:val="en-US" w:eastAsia="zh-CN"/>
        </w:rPr>
        <w:t>开支，</w:t>
      </w:r>
      <w:r>
        <w:rPr>
          <w:rFonts w:hint="eastAsia" w:eastAsia="仿宋_GB2312" w:cs="Times New Roman"/>
          <w:sz w:val="30"/>
          <w:szCs w:val="30"/>
          <w:highlight w:val="none"/>
          <w:lang w:val="en-US" w:eastAsia="zh-CN"/>
        </w:rPr>
        <w:t>1.案点维修173118元；2.采购办案设备一批326882元。</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p>
    <w:p>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（二）项目绩效目标</w:t>
      </w:r>
    </w:p>
    <w:p>
      <w:pPr>
        <w:spacing w:line="560" w:lineRule="exact"/>
        <w:ind w:firstLine="640" w:firstLineChars="20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总体目标</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按照昌吉州财行【2023】33号纪委监委文件，支持基层纪委监委开展办案业务工作，帮助提高纪委监委的办案环境改善和装备经费保障水平。</w:t>
      </w:r>
    </w:p>
    <w:p>
      <w:pPr>
        <w:spacing w:line="560" w:lineRule="exact"/>
        <w:ind w:firstLine="640" w:firstLineChars="20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2</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阶段性目标</w:t>
      </w:r>
      <w:r>
        <w:rPr>
          <w:rFonts w:hint="eastAsia" w:ascii="Times New Roman" w:hAnsi="Times New Roman" w:eastAsia="仿宋_GB2312" w:cs="Times New Roman"/>
          <w:sz w:val="32"/>
          <w:szCs w:val="32"/>
          <w:highlight w:val="none"/>
          <w:lang w:eastAsia="zh-CN"/>
        </w:rPr>
        <w:t>：</w:t>
      </w:r>
      <w:bookmarkStart w:id="5" w:name="OLE_LINK7"/>
      <w:r>
        <w:rPr>
          <w:rFonts w:hint="default" w:ascii="Times New Roman" w:hAnsi="Times New Roman" w:eastAsia="仿宋_GB2312" w:cs="Times New Roman"/>
          <w:sz w:val="32"/>
          <w:szCs w:val="32"/>
          <w:highlight w:val="none"/>
          <w:lang w:val="en-US" w:eastAsia="zh-CN"/>
        </w:rPr>
        <w:t>截止2024年12月31日，该项目实际完成了326882元的办公设备采购和173118元的办案点的维修，通过该项目的实施提升、改善了纪委监委的办案环境，有效促进了办公效率。</w:t>
      </w:r>
    </w:p>
    <w:bookmarkEnd w:id="5"/>
    <w:p>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二、绩效评价工作开展情况</w:t>
      </w:r>
    </w:p>
    <w:p>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（一）绩效评价目的、对象和范围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eastAsia="仿宋_GB2312"/>
          <w:sz w:val="32"/>
          <w:szCs w:val="32"/>
          <w:highlight w:val="none"/>
        </w:rPr>
        <w:t>昌吉州财行【2023】33号纪委监委协作办案经费</w:t>
      </w:r>
      <w:r>
        <w:rPr>
          <w:rFonts w:eastAsia="仿宋_GB2312"/>
          <w:sz w:val="32"/>
          <w:szCs w:val="32"/>
          <w:highlight w:val="none"/>
        </w:rPr>
        <w:t>项目</w:t>
      </w:r>
      <w:r>
        <w:rPr>
          <w:rFonts w:hint="default" w:ascii="Times New Roman" w:hAnsi="Times New Roman" w:eastAsia="仿宋_GB2312" w:cs="Times New Roman"/>
          <w:sz w:val="32"/>
          <w:szCs w:val="32"/>
          <w:highlight w:val="none"/>
          <w:lang w:val="en-US" w:eastAsia="zh-CN"/>
        </w:rPr>
        <w:t>预算绩效评价报告在编制过程中，严格遵循相关法规与标准，确保评价内容的全面性与准确性。报告涵盖了项目从预算编制、执行到完成的全过程，对项目的各项绩效指标进行了细致的梳理与评估。充分考虑了项目的性质、目标以及预期成果，选取了具有代表性和可衡量性的关键指标，涵盖了</w:t>
      </w:r>
      <w:bookmarkStart w:id="6" w:name="OLE_LINK6"/>
      <w:r>
        <w:rPr>
          <w:rFonts w:hint="eastAsia" w:eastAsia="仿宋_GB2312" w:cs="Times New Roman"/>
          <w:sz w:val="32"/>
          <w:szCs w:val="32"/>
          <w:highlight w:val="none"/>
          <w:lang w:val="en-US" w:eastAsia="zh-CN"/>
        </w:rPr>
        <w:t>数量指标</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质量指标、</w:t>
      </w:r>
      <w:r>
        <w:rPr>
          <w:rFonts w:hint="default" w:ascii="Times New Roman" w:hAnsi="Times New Roman" w:eastAsia="仿宋_GB2312" w:cs="Times New Roman"/>
          <w:sz w:val="32"/>
          <w:szCs w:val="32"/>
          <w:highlight w:val="none"/>
          <w:lang w:val="en-US" w:eastAsia="zh-CN"/>
        </w:rPr>
        <w:t>社会效益</w:t>
      </w:r>
      <w:bookmarkEnd w:id="6"/>
      <w:r>
        <w:rPr>
          <w:rFonts w:hint="default" w:ascii="Times New Roman" w:hAnsi="Times New Roman" w:eastAsia="仿宋_GB2312" w:cs="Times New Roman"/>
          <w:sz w:val="32"/>
          <w:szCs w:val="32"/>
          <w:highlight w:val="none"/>
          <w:lang w:val="en-US" w:eastAsia="zh-CN"/>
        </w:rPr>
        <w:t>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w:t>
      </w:r>
      <w:r>
        <w:rPr>
          <w:rFonts w:hint="default" w:eastAsia="仿宋_GB2312"/>
          <w:sz w:val="32"/>
          <w:szCs w:val="32"/>
          <w:highlight w:val="none"/>
        </w:rPr>
        <w:t>昌吉州财行【2023】33号纪委监委协作办案经费</w:t>
      </w:r>
      <w:r>
        <w:rPr>
          <w:rFonts w:eastAsia="仿宋_GB2312"/>
          <w:sz w:val="32"/>
          <w:szCs w:val="32"/>
          <w:highlight w:val="none"/>
        </w:rPr>
        <w:t>项目</w:t>
      </w:r>
      <w:r>
        <w:rPr>
          <w:rFonts w:hint="default" w:ascii="Times New Roman" w:hAnsi="Times New Roman" w:eastAsia="仿宋_GB2312" w:cs="Times New Roman"/>
          <w:sz w:val="32"/>
          <w:szCs w:val="32"/>
          <w:highlight w:val="none"/>
          <w:lang w:val="en-US" w:eastAsia="zh-CN"/>
        </w:rPr>
        <w:t>报告的撰写结构上，按照统一的格式和规范进行编排，内容层次分明、条理清晰。对各项绩效指标的完成情况进行了逐一分析和评价，对整个项目的绩效状况进行了综合总结，给出了明确的评价结论和后续工作的建议，为项目的持续改进和决策提供了有力支持。</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eastAsia="仿宋_GB2312"/>
          <w:sz w:val="32"/>
          <w:szCs w:val="32"/>
          <w:highlight w:val="none"/>
        </w:rPr>
        <w:t>昌吉州财行【2023】33号纪委监委协作办案经费</w:t>
      </w:r>
      <w:r>
        <w:rPr>
          <w:rFonts w:eastAsia="仿宋_GB2312"/>
          <w:sz w:val="32"/>
          <w:szCs w:val="32"/>
          <w:highlight w:val="none"/>
        </w:rPr>
        <w:t>项目</w:t>
      </w:r>
      <w:r>
        <w:rPr>
          <w:rFonts w:hint="default" w:ascii="Times New Roman" w:hAnsi="Times New Roman" w:eastAsia="仿宋_GB2312" w:cs="Times New Roman"/>
          <w:sz w:val="32"/>
          <w:szCs w:val="32"/>
          <w:highlight w:val="none"/>
          <w:lang w:val="en-US" w:eastAsia="zh-CN"/>
        </w:rPr>
        <w:t>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w:t>
      </w:r>
      <w:r>
        <w:rPr>
          <w:rFonts w:hint="default" w:eastAsia="仿宋_GB2312"/>
          <w:sz w:val="32"/>
          <w:szCs w:val="32"/>
          <w:highlight w:val="none"/>
        </w:rPr>
        <w:t>昌吉州财行【2023】33号纪委监委协作办案经费</w:t>
      </w:r>
      <w:r>
        <w:rPr>
          <w:rFonts w:eastAsia="仿宋_GB2312"/>
          <w:sz w:val="32"/>
          <w:szCs w:val="32"/>
          <w:highlight w:val="none"/>
        </w:rPr>
        <w:t>项目</w:t>
      </w:r>
      <w:r>
        <w:rPr>
          <w:rFonts w:hint="default" w:ascii="Times New Roman" w:hAnsi="Times New Roman" w:eastAsia="仿宋_GB2312" w:cs="Times New Roman"/>
          <w:sz w:val="32"/>
          <w:szCs w:val="32"/>
          <w:highlight w:val="none"/>
        </w:rPr>
        <w:t>预算执行情况及各项绩效目标达成程度的系统性分析，全面、客观地评估项目在预定周期内的实施效果，包括</w:t>
      </w:r>
      <w:r>
        <w:rPr>
          <w:rFonts w:hint="eastAsia" w:eastAsia="仿宋_GB2312" w:cs="Times New Roman"/>
          <w:sz w:val="32"/>
          <w:szCs w:val="32"/>
          <w:highlight w:val="none"/>
          <w:lang w:val="en-US" w:eastAsia="zh-CN"/>
        </w:rPr>
        <w:t>数量指标</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质量指标、</w:t>
      </w:r>
      <w:r>
        <w:rPr>
          <w:rFonts w:hint="default" w:ascii="Times New Roman" w:hAnsi="Times New Roman" w:eastAsia="仿宋_GB2312" w:cs="Times New Roman"/>
          <w:sz w:val="32"/>
          <w:szCs w:val="32"/>
          <w:highlight w:val="none"/>
          <w:lang w:val="en-US" w:eastAsia="zh-CN"/>
        </w:rPr>
        <w:t>社会效益</w:t>
      </w:r>
      <w:r>
        <w:rPr>
          <w:rFonts w:hint="default" w:ascii="Times New Roman" w:hAnsi="Times New Roman" w:eastAsia="仿宋_GB2312" w:cs="Times New Roman"/>
          <w:sz w:val="32"/>
          <w:szCs w:val="32"/>
          <w:highlight w:val="none"/>
        </w:rPr>
        <w:t>以及等多维度指标，为项目后续的改进与优化提供科学依据。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eastAsia="仿宋_GB2312"/>
          <w:sz w:val="32"/>
          <w:szCs w:val="32"/>
          <w:highlight w:val="none"/>
        </w:rPr>
        <w:t>昌吉州财行【2023】33号纪委监委协作办案经费</w:t>
      </w:r>
      <w:r>
        <w:rPr>
          <w:rFonts w:eastAsia="仿宋_GB2312"/>
          <w:sz w:val="32"/>
          <w:szCs w:val="32"/>
          <w:highlight w:val="none"/>
        </w:rPr>
        <w:t>项目</w:t>
      </w:r>
      <w:r>
        <w:rPr>
          <w:rFonts w:hint="default" w:ascii="Times New Roman" w:hAnsi="Times New Roman" w:eastAsia="仿宋_GB2312" w:cs="Times New Roman"/>
          <w:sz w:val="32"/>
          <w:szCs w:val="32"/>
          <w:highlight w:val="none"/>
        </w:rPr>
        <w:t>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绩效评价的对象</w:t>
      </w:r>
    </w:p>
    <w:p>
      <w:pPr>
        <w:spacing w:line="700" w:lineRule="exact"/>
        <w:ind w:firstLine="640" w:firstLineChars="200"/>
        <w:jc w:val="left"/>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本项目预算绩效评价报告的评价对象是昌吉州财行【2023】33号纪委监委协作办案经费及其预算执行情况。该项目由</w:t>
      </w:r>
      <w:r>
        <w:rPr>
          <w:rFonts w:hint="eastAsia" w:ascii="Times New Roman" w:hAnsi="Times New Roman" w:eastAsia="仿宋_GB2312" w:cs="Times New Roman"/>
          <w:sz w:val="32"/>
          <w:szCs w:val="32"/>
          <w:highlight w:val="none"/>
          <w:lang w:val="en-US" w:eastAsia="zh-CN"/>
        </w:rPr>
        <w:t>中共奇台县纪律检查委员会</w:t>
      </w:r>
      <w:r>
        <w:rPr>
          <w:rFonts w:hint="default" w:ascii="Times New Roman" w:hAnsi="Times New Roman" w:eastAsia="仿宋_GB2312" w:cs="Times New Roman"/>
          <w:sz w:val="32"/>
          <w:szCs w:val="32"/>
          <w:highlight w:val="none"/>
        </w:rPr>
        <w:t>负责实施，截止2024年12月31日，该项目实际完成了326882元的办公设备采购和173118元的办案点的维修，通过该项目的实施</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提升、改善了纪委监委的办案环境，有效促进了办公效率。项目预算涵盖从</w:t>
      </w:r>
      <w:r>
        <w:rPr>
          <w:rFonts w:hint="eastAsia" w:eastAsia="仿宋_GB2312" w:cs="Times New Roman"/>
          <w:sz w:val="32"/>
          <w:szCs w:val="32"/>
          <w:highlight w:val="none"/>
          <w:lang w:val="en-US" w:eastAsia="zh-CN"/>
        </w:rPr>
        <w:t>2024年1月1</w:t>
      </w:r>
      <w:r>
        <w:rPr>
          <w:rFonts w:hint="eastAsia" w:ascii="Times New Roman" w:hAnsi="Times New Roman" w:eastAsia="仿宋_GB2312" w:cs="Times New Roman"/>
          <w:sz w:val="32"/>
          <w:szCs w:val="32"/>
          <w:highlight w:val="none"/>
          <w:lang w:val="en-US" w:eastAsia="zh-CN"/>
        </w:rPr>
        <w:t>日</w:t>
      </w:r>
      <w:r>
        <w:rPr>
          <w:rFonts w:hint="default" w:ascii="Times New Roman" w:hAnsi="Times New Roman" w:eastAsia="仿宋_GB2312" w:cs="Times New Roman"/>
          <w:sz w:val="32"/>
          <w:szCs w:val="32"/>
          <w:highlight w:val="none"/>
        </w:rPr>
        <w:t>至</w:t>
      </w:r>
      <w:r>
        <w:rPr>
          <w:rFonts w:hint="eastAsia" w:ascii="Times New Roman" w:hAnsi="Times New Roman" w:eastAsia="仿宋_GB2312" w:cs="Times New Roman"/>
          <w:sz w:val="32"/>
          <w:szCs w:val="32"/>
          <w:highlight w:val="none"/>
          <w:lang w:val="en-US" w:eastAsia="zh-CN"/>
        </w:rPr>
        <w:t>2024年12月31日</w:t>
      </w:r>
      <w:r>
        <w:rPr>
          <w:rFonts w:hint="default" w:ascii="Times New Roman" w:hAnsi="Times New Roman" w:eastAsia="仿宋_GB2312" w:cs="Times New Roman"/>
          <w:sz w:val="32"/>
          <w:szCs w:val="32"/>
          <w:highlight w:val="none"/>
        </w:rPr>
        <w:t>的全部资金投入与支出，涉及资金总额为</w:t>
      </w:r>
      <w:r>
        <w:rPr>
          <w:rFonts w:hint="eastAsia" w:eastAsia="仿宋_GB2312" w:cs="Times New Roman"/>
          <w:sz w:val="32"/>
          <w:szCs w:val="32"/>
          <w:highlight w:val="none"/>
          <w:lang w:val="en-US" w:eastAsia="zh-CN"/>
        </w:rPr>
        <w:t>50</w:t>
      </w:r>
      <w:r>
        <w:rPr>
          <w:rFonts w:hint="default" w:ascii="Times New Roman" w:hAnsi="Times New Roman" w:eastAsia="仿宋_GB2312" w:cs="Times New Roman"/>
          <w:sz w:val="32"/>
          <w:szCs w:val="32"/>
          <w:highlight w:val="none"/>
          <w:lang w:val="en-US" w:eastAsia="zh-CN"/>
        </w:rPr>
        <w:t>万</w:t>
      </w:r>
      <w:r>
        <w:rPr>
          <w:rFonts w:hint="default" w:ascii="Times New Roman" w:hAnsi="Times New Roman" w:eastAsia="仿宋_GB2312" w:cs="Times New Roman"/>
          <w:sz w:val="32"/>
          <w:szCs w:val="32"/>
          <w:highlight w:val="none"/>
        </w:rPr>
        <w:t>元。</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rPr>
        <w:t>绩效评价的范围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影响：考察项目对社会等方面的综合影响。</w:t>
      </w:r>
    </w:p>
    <w:p>
      <w:pPr>
        <w:spacing w:line="560" w:lineRule="exact"/>
        <w:ind w:firstLine="643" w:firstLineChars="200"/>
        <w:rPr>
          <w:rFonts w:hint="default" w:ascii="Times New Roman" w:hAnsi="Times New Roman" w:cs="Times New Roman"/>
          <w:highlight w:val="none"/>
        </w:rPr>
      </w:pPr>
      <w:r>
        <w:rPr>
          <w:rFonts w:hint="default" w:ascii="Times New Roman" w:hAnsi="Times New Roman" w:eastAsia="楷体_GB2312" w:cs="Times New Roman"/>
          <w:b/>
          <w:bCs/>
          <w:sz w:val="32"/>
          <w:szCs w:val="32"/>
          <w:highlight w:val="none"/>
        </w:rPr>
        <w:t>（二）绩效评价原则、评价指标体系（详情见表1）、评价方法、评价标准。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绩效评价原则</w:t>
      </w:r>
    </w:p>
    <w:p>
      <w:pPr>
        <w:spacing w:line="560" w:lineRule="exact"/>
        <w:ind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（4）公开透明。绩效评价结果应依法依规公开，并自觉接受社会监督。</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评价指标体系</w:t>
      </w:r>
    </w:p>
    <w:p>
      <w:pPr>
        <w:spacing w:line="560" w:lineRule="exact"/>
        <w:ind w:firstLine="708" w:firstLineChars="200"/>
        <w:rPr>
          <w:rFonts w:hint="default" w:ascii="Times New Roman" w:hAnsi="Times New Roman"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pPr>
        <w:spacing w:line="560" w:lineRule="exact"/>
        <w:ind w:firstLine="708" w:firstLineChars="200"/>
        <w:rPr>
          <w:rFonts w:hint="default" w:ascii="Times New Roman" w:hAnsi="Times New Roman" w:eastAsia="仿宋_GB2312" w:cs="Times New Roman"/>
          <w:color w:val="FF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确定各个指标相对于项目总体绩效的权重分值。在绩效评价指标体系中，项目决策权重为</w:t>
      </w:r>
      <w:r>
        <w:rPr>
          <w:rFonts w:hint="eastAsia" w:eastAsia="仿宋_GB2312" w:cs="Times New Roman"/>
          <w:color w:val="000000"/>
          <w:spacing w:val="17"/>
          <w:sz w:val="32"/>
          <w:szCs w:val="32"/>
          <w:highlight w:val="none"/>
          <w:lang w:val="en-US" w:eastAsia="zh-CN"/>
        </w:rPr>
        <w:t>20</w:t>
      </w:r>
      <w:r>
        <w:rPr>
          <w:rFonts w:hint="default" w:ascii="Times New Roman" w:hAnsi="Times New Roman" w:eastAsia="仿宋_GB2312" w:cs="Times New Roman"/>
          <w:color w:val="000000"/>
          <w:spacing w:val="17"/>
          <w:sz w:val="32"/>
          <w:szCs w:val="32"/>
          <w:highlight w:val="none"/>
        </w:rPr>
        <w:t>分，项目过程权重为</w:t>
      </w:r>
      <w:r>
        <w:rPr>
          <w:rFonts w:hint="eastAsia" w:eastAsia="仿宋_GB2312" w:cs="Times New Roman"/>
          <w:color w:val="000000"/>
          <w:spacing w:val="17"/>
          <w:sz w:val="32"/>
          <w:szCs w:val="32"/>
          <w:highlight w:val="none"/>
          <w:lang w:val="en-US" w:eastAsia="zh-CN"/>
        </w:rPr>
        <w:t>20</w:t>
      </w:r>
      <w:r>
        <w:rPr>
          <w:rFonts w:hint="default" w:ascii="Times New Roman" w:hAnsi="Times New Roman" w:eastAsia="仿宋_GB2312" w:cs="Times New Roman"/>
          <w:color w:val="000000"/>
          <w:spacing w:val="17"/>
          <w:sz w:val="32"/>
          <w:szCs w:val="32"/>
          <w:highlight w:val="none"/>
        </w:rPr>
        <w:t>分，项目产出权重为40分，项目效益权重为</w:t>
      </w:r>
      <w:r>
        <w:rPr>
          <w:rFonts w:hint="eastAsia" w:eastAsia="仿宋_GB2312" w:cs="Times New Roman"/>
          <w:color w:val="000000"/>
          <w:spacing w:val="17"/>
          <w:sz w:val="32"/>
          <w:szCs w:val="32"/>
          <w:highlight w:val="none"/>
          <w:lang w:val="en-US" w:eastAsia="zh-CN"/>
        </w:rPr>
        <w:t>20</w:t>
      </w:r>
      <w:r>
        <w:rPr>
          <w:rFonts w:hint="default" w:ascii="Times New Roman" w:hAnsi="Times New Roman" w:eastAsia="仿宋_GB2312" w:cs="Times New Roman"/>
          <w:color w:val="000000"/>
          <w:spacing w:val="17"/>
          <w:sz w:val="32"/>
          <w:szCs w:val="32"/>
          <w:highlight w:val="none"/>
        </w:rPr>
        <w:t>分。</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绩效评价总分值100分，根据综合评分结果，90（含）-100分为优、80（含）-90分为良、60（含）-80分为中、60分以下为差。</w:t>
      </w:r>
    </w:p>
    <w:p>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highlight w:val="none"/>
        </w:rPr>
      </w:pPr>
      <w:r>
        <w:rPr>
          <w:rFonts w:hint="default" w:ascii="Times New Roman" w:hAnsi="Times New Roman" w:eastAsia="仿宋_GB2312" w:cs="Times New Roman"/>
          <w:b w:val="0"/>
          <w:bCs w:val="0"/>
          <w:color w:val="000000"/>
          <w:spacing w:val="17"/>
          <w:highlight w:val="none"/>
        </w:rPr>
        <w:t>具体评价指标体系详情见附件1</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绩效评价从项目决策、项目过程、项目产出、项目效益四个维度进行评价。评价对象为项目目标实施情况，评价核心为资金的支出完成情况和项目的产出效益。</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比较法。是指将实施情况与绩效目标、历史情况、进行比较的方法。</w:t>
      </w:r>
      <w:r>
        <w:rPr>
          <w:rFonts w:hint="eastAsia" w:eastAsia="仿宋_GB2312" w:cs="Times New Roman"/>
          <w:color w:val="000000"/>
          <w:spacing w:val="17"/>
          <w:sz w:val="32"/>
          <w:szCs w:val="32"/>
          <w:highlight w:val="none"/>
          <w:lang w:val="en-US" w:eastAsia="zh-CN"/>
        </w:rPr>
        <w:t>此项目与往年比较</w:t>
      </w:r>
      <w:r>
        <w:rPr>
          <w:rFonts w:hint="default" w:eastAsia="仿宋_GB2312" w:cs="Times New Roman"/>
          <w:color w:val="000000"/>
          <w:spacing w:val="17"/>
          <w:sz w:val="32"/>
          <w:szCs w:val="32"/>
          <w:highlight w:val="none"/>
          <w:lang w:val="en-US" w:eastAsia="zh-CN"/>
        </w:rPr>
        <w:t>截止2024年12月31日，</w:t>
      </w:r>
      <w:bookmarkStart w:id="7" w:name="OLE_LINK8"/>
      <w:r>
        <w:rPr>
          <w:rFonts w:hint="default" w:eastAsia="仿宋_GB2312" w:cs="Times New Roman"/>
          <w:color w:val="000000"/>
          <w:spacing w:val="17"/>
          <w:sz w:val="32"/>
          <w:szCs w:val="32"/>
          <w:highlight w:val="none"/>
          <w:lang w:val="en-US" w:eastAsia="zh-CN"/>
        </w:rPr>
        <w:t>该项目实际完成了326882元的办公设备采购和173118元的办案点的维修，通过该项目的实施提升、改善了纪委监委的办案环境，有效促进了办公效率。</w:t>
      </w:r>
    </w:p>
    <w:bookmarkEnd w:id="7"/>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highlight w:val="none"/>
        </w:rPr>
        <w:t>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计划标准。指以预先制定的目标、计划、预算、定额等作为评价标准。</w:t>
      </w:r>
    </w:p>
    <w:p>
      <w:pPr>
        <w:pStyle w:val="10"/>
        <w:numPr>
          <w:ilvl w:val="0"/>
          <w:numId w:val="2"/>
        </w:numPr>
        <w:spacing w:before="0" w:after="0" w:line="560" w:lineRule="exact"/>
        <w:ind w:firstLine="711" w:firstLineChars="200"/>
        <w:jc w:val="both"/>
        <w:rPr>
          <w:rFonts w:hint="default" w:ascii="Times New Roman" w:hAnsi="Times New Roman" w:eastAsia="仿宋_GB2312" w:cs="Times New Roman"/>
          <w:sz w:val="32"/>
          <w:szCs w:val="32"/>
          <w:highlight w:val="none"/>
        </w:rPr>
      </w:pPr>
      <w:r>
        <w:rPr>
          <w:rFonts w:hint="default" w:ascii="Times New Roman" w:hAnsi="Times New Roman" w:eastAsia="楷体" w:cs="Times New Roman"/>
          <w:color w:val="000000"/>
          <w:spacing w:val="17"/>
          <w:highlight w:val="none"/>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w:t>
      </w:r>
      <w:r>
        <w:rPr>
          <w:rFonts w:hint="default" w:eastAsia="仿宋_GB2312"/>
          <w:sz w:val="32"/>
          <w:szCs w:val="32"/>
          <w:highlight w:val="none"/>
        </w:rPr>
        <w:t>昌吉州财行【2023】33号纪委监委协作办案经费</w:t>
      </w:r>
      <w:r>
        <w:rPr>
          <w:rFonts w:hint="default" w:ascii="Times New Roman" w:hAnsi="Times New Roman" w:eastAsia="仿宋_GB2312" w:cs="Times New Roman"/>
          <w:sz w:val="32"/>
          <w:szCs w:val="32"/>
          <w:highlight w:val="none"/>
          <w:lang w:eastAsia="zh-CN"/>
        </w:rPr>
        <w:t>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numPr>
          <w:ilvl w:val="0"/>
          <w:numId w:val="3"/>
        </w:num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pPr>
        <w:spacing w:line="560" w:lineRule="exact"/>
        <w:ind w:firstLine="640"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kern w:val="0"/>
          <w:sz w:val="36"/>
          <w:szCs w:val="36"/>
          <w:highlight w:val="none"/>
        </w:rPr>
        <w:t>昌吉州财行【2023】33号纪委监委协作办案经费</w:t>
      </w:r>
      <w:r>
        <w:rPr>
          <w:rFonts w:hint="default" w:ascii="Times New Roman" w:hAnsi="Times New Roman" w:eastAsia="仿宋_GB2312" w:cs="Times New Roman"/>
          <w:sz w:val="32"/>
          <w:szCs w:val="32"/>
          <w:highlight w:val="none"/>
        </w:rPr>
        <w:t>在纪委监委办案环境</w:t>
      </w:r>
      <w:r>
        <w:rPr>
          <w:rFonts w:hint="eastAsia" w:eastAsia="仿宋_GB2312" w:cs="Times New Roman"/>
          <w:sz w:val="32"/>
          <w:szCs w:val="32"/>
          <w:highlight w:val="none"/>
          <w:lang w:val="en-US" w:eastAsia="zh-CN"/>
        </w:rPr>
        <w:t>的改善</w:t>
      </w:r>
      <w:r>
        <w:rPr>
          <w:rFonts w:hint="default" w:ascii="Times New Roman" w:hAnsi="Times New Roman" w:eastAsia="仿宋_GB2312" w:cs="Times New Roman"/>
          <w:sz w:val="32"/>
          <w:szCs w:val="32"/>
          <w:highlight w:val="none"/>
        </w:rPr>
        <w:t>，</w:t>
      </w:r>
      <w:bookmarkStart w:id="8" w:name="OLE_LINK9"/>
      <w:r>
        <w:rPr>
          <w:rFonts w:hint="default" w:ascii="Times New Roman" w:hAnsi="Times New Roman" w:eastAsia="仿宋_GB2312" w:cs="Times New Roman"/>
          <w:sz w:val="32"/>
          <w:szCs w:val="32"/>
          <w:highlight w:val="none"/>
        </w:rPr>
        <w:t>办公效率</w:t>
      </w:r>
      <w:bookmarkEnd w:id="8"/>
      <w:r>
        <w:rPr>
          <w:rFonts w:hint="eastAsia" w:eastAsia="仿宋_GB2312" w:cs="Times New Roman"/>
          <w:sz w:val="32"/>
          <w:szCs w:val="32"/>
          <w:highlight w:val="none"/>
          <w:lang w:val="en-US" w:eastAsia="zh-CN"/>
        </w:rPr>
        <w:t>的提升</w:t>
      </w:r>
      <w:r>
        <w:rPr>
          <w:rFonts w:hint="default" w:ascii="Times New Roman" w:hAnsi="Times New Roman" w:eastAsia="仿宋_GB2312" w:cs="Times New Roman"/>
          <w:sz w:val="32"/>
          <w:szCs w:val="32"/>
          <w:highlight w:val="none"/>
        </w:rPr>
        <w:t>等方面表现出色，达到了预期的标准与要求。同时，项目也在</w:t>
      </w:r>
      <w:r>
        <w:rPr>
          <w:rFonts w:hint="eastAsia" w:eastAsia="仿宋_GB2312" w:cs="Times New Roman"/>
          <w:sz w:val="32"/>
          <w:szCs w:val="32"/>
          <w:highlight w:val="none"/>
          <w:lang w:val="en-US" w:eastAsia="zh-CN"/>
        </w:rPr>
        <w:t>协作办案中</w:t>
      </w:r>
      <w:r>
        <w:rPr>
          <w:rFonts w:hint="default" w:ascii="Times New Roman" w:hAnsi="Times New Roman" w:eastAsia="仿宋_GB2312" w:cs="Times New Roman"/>
          <w:sz w:val="32"/>
          <w:szCs w:val="32"/>
          <w:highlight w:val="none"/>
        </w:rPr>
        <w:t>取得了显著的成效，如</w:t>
      </w:r>
      <w:r>
        <w:rPr>
          <w:rFonts w:hint="eastAsia" w:eastAsia="仿宋_GB2312" w:cs="Times New Roman"/>
          <w:sz w:val="32"/>
          <w:szCs w:val="32"/>
          <w:highlight w:val="none"/>
          <w:lang w:val="en-US" w:eastAsia="zh-CN"/>
        </w:rPr>
        <w:t>1.</w:t>
      </w:r>
      <w:r>
        <w:rPr>
          <w:rFonts w:hint="default" w:eastAsia="仿宋_GB2312" w:cs="Times New Roman"/>
          <w:color w:val="000000"/>
          <w:spacing w:val="17"/>
          <w:sz w:val="32"/>
          <w:szCs w:val="32"/>
          <w:highlight w:val="none"/>
          <w:lang w:val="en-US" w:eastAsia="zh-CN"/>
        </w:rPr>
        <w:t>项目实际完成了326882元的办公设备采购</w:t>
      </w:r>
      <w:r>
        <w:rPr>
          <w:rFonts w:hint="eastAsia" w:eastAsia="仿宋_GB2312" w:cs="Times New Roman"/>
          <w:color w:val="000000"/>
          <w:spacing w:val="17"/>
          <w:sz w:val="32"/>
          <w:szCs w:val="32"/>
          <w:highlight w:val="none"/>
          <w:lang w:val="en-US" w:eastAsia="zh-CN"/>
        </w:rPr>
        <w:t>；2.</w:t>
      </w:r>
      <w:r>
        <w:rPr>
          <w:rFonts w:hint="default" w:eastAsia="仿宋_GB2312" w:cs="Times New Roman"/>
          <w:color w:val="000000"/>
          <w:spacing w:val="17"/>
          <w:sz w:val="32"/>
          <w:szCs w:val="32"/>
          <w:highlight w:val="none"/>
          <w:lang w:val="en-US" w:eastAsia="zh-CN"/>
        </w:rPr>
        <w:t>173118元的办案点的维修</w:t>
      </w:r>
      <w:r>
        <w:rPr>
          <w:rFonts w:hint="eastAsia" w:eastAsia="仿宋_GB2312" w:cs="Times New Roman"/>
          <w:color w:val="000000"/>
          <w:spacing w:val="17"/>
          <w:sz w:val="32"/>
          <w:szCs w:val="32"/>
          <w:highlight w:val="none"/>
          <w:lang w:val="en-US" w:eastAsia="zh-CN"/>
        </w:rPr>
        <w:t>。</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val="en-US" w:eastAsia="zh-CN"/>
        </w:rPr>
        <w:t>中共奇台县纪律检查委员会</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w:t>
      </w:r>
      <w:r>
        <w:rPr>
          <w:rFonts w:hint="eastAsia" w:eastAsia="仿宋_GB2312" w:cs="Times New Roman"/>
          <w:sz w:val="32"/>
          <w:szCs w:val="32"/>
          <w:highlight w:val="none"/>
          <w:lang w:val="en-US" w:eastAsia="zh-CN"/>
        </w:rPr>
        <w:t>经济效益</w:t>
      </w:r>
      <w:r>
        <w:rPr>
          <w:rFonts w:hint="default" w:ascii="Times New Roman" w:hAnsi="Times New Roman" w:eastAsia="仿宋_GB2312" w:cs="Times New Roman"/>
          <w:sz w:val="32"/>
          <w:szCs w:val="32"/>
          <w:highlight w:val="none"/>
        </w:rPr>
        <w:t>等方面产生了积极的影响。具体而言，办案人员办公环境</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办公效率等方面的提升，为项目的利益相关者带来了实实在在的利益。</w:t>
      </w:r>
    </w:p>
    <w:p>
      <w:pPr>
        <w:spacing w:line="700" w:lineRule="exact"/>
        <w:jc w:val="left"/>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default" w:ascii="Times New Roman" w:hAnsi="Times New Roman" w:eastAsia="仿宋_GB2312" w:cs="Times New Roman"/>
          <w:kern w:val="0"/>
          <w:sz w:val="36"/>
          <w:szCs w:val="36"/>
          <w:highlight w:val="none"/>
        </w:rPr>
        <w:t>昌吉州财行【2023】33号纪委监委协作办案经费</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 xml:space="preserve">分，属于“优”。其中，项目决策类指标权重为20分，得分为 </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4"/>
        <w:tblW w:w="8760" w:type="dxa"/>
        <w:jc w:val="center"/>
        <w:tblLayout w:type="fixed"/>
        <w:tblCellMar>
          <w:top w:w="0" w:type="dxa"/>
          <w:left w:w="108" w:type="dxa"/>
          <w:bottom w:w="0" w:type="dxa"/>
          <w:right w:w="108" w:type="dxa"/>
        </w:tblCellMar>
      </w:tblPr>
      <w:tblGrid>
        <w:gridCol w:w="2787"/>
        <w:gridCol w:w="1927"/>
        <w:gridCol w:w="2023"/>
        <w:gridCol w:w="2023"/>
      </w:tblGrid>
      <w:tr>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eastAsia"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得分率</w:t>
            </w:r>
          </w:p>
        </w:tc>
      </w:tr>
      <w:tr>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bookmarkStart w:id="9" w:name="OLE_LINK10" w:colFirst="3" w:colLast="3"/>
            <w:r>
              <w:rPr>
                <w:rFonts w:hint="default" w:ascii="Times New Roman" w:hAnsi="Times New Roman" w:eastAsia="仿宋_GB2312" w:cs="Times New Roman"/>
                <w:color w:val="000000"/>
                <w:sz w:val="21"/>
                <w:szCs w:val="21"/>
                <w:highlight w:val="none"/>
              </w:rPr>
              <w:t>项目决策</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bookmarkEnd w:id="9"/>
      <w:tr>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100%</w:t>
            </w:r>
          </w:p>
        </w:tc>
      </w:tr>
      <w:tr>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100%</w:t>
            </w:r>
          </w:p>
        </w:tc>
      </w:tr>
      <w:tr>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100%</w:t>
            </w:r>
          </w:p>
        </w:tc>
      </w:tr>
      <w:tr>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rPr>
            </w:pPr>
            <w:r>
              <w:rPr>
                <w:rFonts w:hint="eastAsia" w:eastAsia="仿宋_GB2312" w:cs="Times New Roman"/>
                <w:color w:val="000000"/>
                <w:sz w:val="21"/>
                <w:szCs w:val="21"/>
                <w:highlight w:val="none"/>
                <w:lang w:val="en-US" w:eastAsia="zh-CN"/>
              </w:rPr>
              <w:t>100%</w:t>
            </w:r>
          </w:p>
        </w:tc>
      </w:tr>
    </w:tbl>
    <w:p>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pPr>
        <w:pStyle w:val="10"/>
        <w:spacing w:before="0" w:after="0" w:line="560" w:lineRule="exact"/>
        <w:ind w:firstLine="643" w:firstLineChars="200"/>
        <w:jc w:val="both"/>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eastAsia="仿宋_GB2312"/>
          <w:sz w:val="32"/>
          <w:szCs w:val="32"/>
          <w:highlight w:val="none"/>
        </w:rPr>
        <w:t>昌吉州财行【2023】33号纪委监委协作办案经费</w:t>
      </w:r>
      <w:r>
        <w:rPr>
          <w:rFonts w:eastAsia="仿宋_GB2312"/>
          <w:sz w:val="32"/>
          <w:szCs w:val="32"/>
          <w:highlight w:val="none"/>
        </w:rPr>
        <w:t>项目</w:t>
      </w:r>
      <w:r>
        <w:rPr>
          <w:rFonts w:hint="eastAsia" w:eastAsia="仿宋_GB2312"/>
          <w:sz w:val="32"/>
          <w:szCs w:val="32"/>
          <w:highlight w:val="none"/>
          <w:lang w:eastAsia="zh-CN"/>
        </w:rPr>
        <w:t>按照办案</w:t>
      </w:r>
      <w:r>
        <w:rPr>
          <w:rFonts w:hint="default" w:ascii="Times New Roman" w:hAnsi="Times New Roman" w:eastAsia="仿宋_GB2312" w:cs="Times New Roman"/>
          <w:sz w:val="32"/>
          <w:szCs w:val="32"/>
          <w:highlight w:val="none"/>
          <w:lang w:val="en-US" w:eastAsia="zh-CN"/>
        </w:rPr>
        <w:t>工作计划制定经费预算，属于公共财政支持范围。本项目与部门内部其他相关项目不重复。</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本项目采购</w:t>
      </w:r>
      <w:r>
        <w:rPr>
          <w:rFonts w:hint="default" w:ascii="Times New Roman" w:hAnsi="Times New Roman" w:eastAsia="仿宋_GB2312" w:cs="Times New Roman"/>
          <w:sz w:val="32"/>
          <w:szCs w:val="32"/>
          <w:highlight w:val="none"/>
          <w:lang w:val="en-US" w:eastAsia="zh-CN"/>
        </w:rPr>
        <w:t>计划和经费预算，经过</w:t>
      </w:r>
      <w:r>
        <w:rPr>
          <w:rFonts w:hint="eastAsia" w:eastAsia="仿宋_GB2312" w:cs="Times New Roman"/>
          <w:sz w:val="32"/>
          <w:szCs w:val="32"/>
          <w:highlight w:val="none"/>
          <w:lang w:val="en-US" w:eastAsia="zh-CN"/>
        </w:rPr>
        <w:t>纪委常委会议</w:t>
      </w:r>
      <w:r>
        <w:rPr>
          <w:rFonts w:hint="default" w:ascii="Times New Roman" w:hAnsi="Times New Roman" w:eastAsia="仿宋_GB2312" w:cs="Times New Roman"/>
          <w:sz w:val="32"/>
          <w:szCs w:val="32"/>
          <w:highlight w:val="none"/>
          <w:lang w:val="en-US" w:eastAsia="zh-CN"/>
        </w:rPr>
        <w:t>确定经费预算计划，确定最终预算</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保障了程序的规范性。</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Hans"/>
        </w:rPr>
        <w:t>年初结合实际工作内容</w:t>
      </w:r>
      <w:r>
        <w:rPr>
          <w:rFonts w:hint="default" w:ascii="Times New Roman" w:hAnsi="Times New Roman" w:eastAsia="仿宋_GB2312" w:cs="Times New Roman"/>
          <w:sz w:val="32"/>
          <w:szCs w:val="32"/>
          <w:highlight w:val="none"/>
          <w:lang w:val="en-US" w:eastAsia="zh-CN"/>
        </w:rPr>
        <w:t>设定绩效目标</w:t>
      </w:r>
      <w:r>
        <w:rPr>
          <w:rFonts w:hint="default" w:ascii="Times New Roman" w:hAnsi="Times New Roman" w:eastAsia="仿宋_GB2312" w:cs="Times New Roman"/>
          <w:sz w:val="32"/>
          <w:szCs w:val="32"/>
          <w:highlight w:val="none"/>
          <w:lang w:val="en-US" w:eastAsia="zh-Hans"/>
        </w:rPr>
        <w:t>，绩效目标</w:t>
      </w:r>
      <w:r>
        <w:rPr>
          <w:rFonts w:hint="default" w:ascii="Times New Roman" w:hAnsi="Times New Roman" w:eastAsia="仿宋_GB2312" w:cs="Times New Roman"/>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10"/>
        <w:numPr>
          <w:ilvl w:val="0"/>
          <w:numId w:val="4"/>
        </w:numPr>
        <w:spacing w:before="0" w:after="0" w:line="560" w:lineRule="exact"/>
        <w:ind w:firstLine="643" w:firstLineChars="200"/>
        <w:jc w:val="both"/>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50</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50</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w:t>
      </w:r>
      <w:r>
        <w:rPr>
          <w:rFonts w:hint="eastAsia" w:eastAsia="仿宋_GB2312"/>
          <w:sz w:val="32"/>
          <w:szCs w:val="32"/>
          <w:highlight w:val="none"/>
          <w:lang w:eastAsia="zh-CN"/>
        </w:rPr>
        <w:t>我委“三重一大”事项集体决策制度、财务管理办法</w:t>
      </w:r>
      <w:r>
        <w:rPr>
          <w:rFonts w:hint="default" w:ascii="Times New Roman" w:hAnsi="Times New Roman" w:eastAsia="仿宋_GB2312" w:cs="Times New Roman"/>
          <w:sz w:val="32"/>
          <w:szCs w:val="32"/>
          <w:highlight w:val="none"/>
          <w:lang w:eastAsia="zh-CN"/>
        </w:rPr>
        <w:t>，确保了资金的合规性与安全性。在资金使用过程中，我们建立了完善的财务管理体系，对资金的流动进行了全程监控与记录。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sz w:val="32"/>
          <w:szCs w:val="32"/>
          <w:highlight w:val="none"/>
          <w:lang w:eastAsia="zh-CN"/>
        </w:rPr>
        <w:t>我委“三重一大”事项集体决策制度、财务管理办法等为</w:t>
      </w:r>
      <w:r>
        <w:rPr>
          <w:rFonts w:hint="default" w:eastAsia="仿宋_GB2312"/>
          <w:sz w:val="32"/>
          <w:szCs w:val="32"/>
          <w:highlight w:val="none"/>
        </w:rPr>
        <w:t>昌吉州财行【2023】33号纪委监委协作办案经费</w:t>
      </w:r>
      <w:r>
        <w:rPr>
          <w:rFonts w:eastAsia="仿宋_GB2312"/>
          <w:sz w:val="32"/>
          <w:szCs w:val="32"/>
          <w:highlight w:val="none"/>
        </w:rPr>
        <w:t>项目</w:t>
      </w:r>
      <w:r>
        <w:rPr>
          <w:rFonts w:hint="default" w:ascii="Times New Roman" w:hAnsi="Times New Roman" w:eastAsia="仿宋_GB2312" w:cs="Times New Roman"/>
          <w:sz w:val="32"/>
          <w:szCs w:val="32"/>
          <w:highlight w:val="none"/>
          <w:lang w:eastAsia="zh-CN"/>
        </w:rPr>
        <w:t>提供了坚实的制度保障。</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eastAsia="zh-CN"/>
        </w:rPr>
        <w:t>本</w:t>
      </w:r>
      <w:r>
        <w:rPr>
          <w:rFonts w:hint="default" w:ascii="Times New Roman" w:hAnsi="Times New Roman" w:eastAsia="仿宋_GB2312" w:cs="Times New Roman"/>
          <w:sz w:val="32"/>
          <w:szCs w:val="32"/>
          <w:highlight w:val="none"/>
          <w:lang w:eastAsia="zh-CN"/>
        </w:rPr>
        <w:t>项目的</w:t>
      </w:r>
      <w:r>
        <w:rPr>
          <w:rFonts w:hint="eastAsia" w:eastAsia="仿宋_GB2312" w:cs="Times New Roman"/>
          <w:sz w:val="32"/>
          <w:szCs w:val="32"/>
          <w:highlight w:val="none"/>
          <w:lang w:eastAsia="zh-CN"/>
        </w:rPr>
        <w:t>相关</w:t>
      </w:r>
      <w:r>
        <w:rPr>
          <w:rFonts w:hint="default" w:ascii="Times New Roman" w:hAnsi="Times New Roman" w:eastAsia="仿宋_GB2312" w:cs="Times New Roman"/>
          <w:sz w:val="32"/>
          <w:szCs w:val="32"/>
          <w:highlight w:val="none"/>
          <w:lang w:eastAsia="zh-CN"/>
        </w:rPr>
        <w:t>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本项目在执行过程中，制度得到了全面、有效的落实，为确保项目的顺利实施与目标实现提供了坚实的保障。执行过程中表现出了高度的有效性，既确保了项目的顺利进行，又实现了项目目标的有效达成。</w:t>
      </w:r>
    </w:p>
    <w:p>
      <w:pPr>
        <w:pStyle w:val="12"/>
        <w:numPr>
          <w:ilvl w:val="0"/>
          <w:numId w:val="4"/>
        </w:numPr>
        <w:spacing w:line="560" w:lineRule="exact"/>
        <w:ind w:firstLine="643"/>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%。具体产出指标完成情况如下：</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购置设备数量</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val="en-US" w:eastAsia="zh-CN"/>
        </w:rPr>
        <w:t>=56台</w:t>
      </w:r>
      <w:r>
        <w:rPr>
          <w:rFonts w:hint="default" w:ascii="Times New Roman" w:hAnsi="Times New Roman" w:eastAsia="仿宋_GB2312" w:cs="Times New Roman"/>
          <w:sz w:val="32"/>
          <w:szCs w:val="32"/>
          <w:highlight w:val="none"/>
        </w:rPr>
        <w:t>，</w:t>
      </w:r>
      <w:bookmarkStart w:id="10" w:name="OLE_LINK11"/>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56台</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bookmarkEnd w:id="10"/>
    <w:p>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eastAsia" w:ascii="仿宋_GB2312" w:hAnsi="仿宋_GB2312" w:eastAsia="仿宋_GB2312" w:cs="仿宋_GB2312"/>
          <w:sz w:val="32"/>
          <w:szCs w:val="32"/>
          <w:highlight w:val="none"/>
        </w:rPr>
        <w:t>②</w:t>
      </w:r>
      <w:r>
        <w:rPr>
          <w:rFonts w:hint="default" w:ascii="Times New Roman" w:hAnsi="Times New Roman" w:eastAsia="仿宋_GB2312" w:cs="Times New Roman"/>
          <w:sz w:val="32"/>
          <w:szCs w:val="32"/>
          <w:highlight w:val="none"/>
        </w:rPr>
        <w:t>质量指标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设备购置验收合格率=100%，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ascii="仿宋_GB2312" w:hAnsi="仿宋_GB2312" w:eastAsia="仿宋_GB2312" w:cs="仿宋_GB2312"/>
          <w:sz w:val="32"/>
          <w:szCs w:val="32"/>
          <w:highlight w:val="none"/>
        </w:rPr>
        <w:t>②</w:t>
      </w:r>
      <w:r>
        <w:rPr>
          <w:rFonts w:hint="default" w:ascii="Times New Roman" w:hAnsi="Times New Roman" w:eastAsia="仿宋_GB2312" w:cs="Times New Roman"/>
          <w:sz w:val="32"/>
          <w:szCs w:val="32"/>
          <w:highlight w:val="none"/>
        </w:rPr>
        <w:t>质量指标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bookmarkStart w:id="11" w:name="OLE_LINK12"/>
      <w:r>
        <w:rPr>
          <w:rFonts w:hint="eastAsia" w:eastAsia="仿宋_GB2312" w:cs="Times New Roman"/>
          <w:sz w:val="32"/>
          <w:szCs w:val="32"/>
          <w:highlight w:val="none"/>
          <w:lang w:val="en-US" w:eastAsia="zh-CN"/>
        </w:rPr>
        <w:t>设备质量合格率=100%，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bookmarkEnd w:id="11"/>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r>
        <w:rPr>
          <w:rFonts w:hint="eastAsia" w:eastAsia="仿宋_GB2312" w:cs="Times New Roman"/>
          <w:sz w:val="32"/>
          <w:szCs w:val="32"/>
          <w:highlight w:val="none"/>
          <w:lang w:val="en-US" w:eastAsia="zh-CN"/>
        </w:rPr>
        <w:t>设备采购及时率=100%，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pPr>
        <w:pStyle w:val="12"/>
        <w:numPr>
          <w:ilvl w:val="0"/>
          <w:numId w:val="4"/>
        </w:numPr>
        <w:spacing w:line="560" w:lineRule="exact"/>
        <w:ind w:firstLine="643"/>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pPr>
        <w:shd w:val="clear"/>
        <w:spacing w:line="600" w:lineRule="exact"/>
        <w:ind w:firstLine="640" w:firstLineChars="200"/>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pPr>
        <w:shd w:val="clear"/>
        <w:spacing w:line="600" w:lineRule="exact"/>
        <w:ind w:firstLine="960" w:firstLineChars="3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社会效益指标</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改善办案人员办公环境有效改善，实际完成值：有效改善，指标完成率100%。</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w:t>
      </w:r>
      <w:r>
        <w:rPr>
          <w:rFonts w:hint="eastAsia" w:eastAsia="仿宋_GB2312" w:cs="Times New Roman"/>
          <w:sz w:val="32"/>
          <w:szCs w:val="32"/>
          <w:highlight w:val="none"/>
          <w:lang w:val="en-US" w:eastAsia="zh-CN"/>
        </w:rPr>
        <w:t>满意度指标：各部室满意度＞=90%，实际完成值：90%，指标完成率100%.</w:t>
      </w:r>
    </w:p>
    <w:p>
      <w:pPr>
        <w:spacing w:line="560" w:lineRule="exact"/>
        <w:ind w:firstLine="643" w:firstLineChars="200"/>
        <w:rPr>
          <w:rFonts w:hint="default" w:ascii="Times New Roman" w:hAnsi="Times New Roman" w:eastAsia="楷体_GB2312" w:cs="Times New Roman"/>
          <w:b/>
          <w:bCs/>
          <w:sz w:val="32"/>
          <w:szCs w:val="32"/>
          <w:highlight w:val="none"/>
          <w:lang w:val="en-US" w:eastAsia="zh-Hans"/>
        </w:rPr>
      </w:pPr>
      <w:r>
        <w:rPr>
          <w:rFonts w:hint="default" w:ascii="Times New Roman" w:hAnsi="Times New Roman" w:eastAsia="楷体_GB2312" w:cs="Times New Roman"/>
          <w:b/>
          <w:bCs/>
          <w:sz w:val="32"/>
          <w:szCs w:val="32"/>
          <w:highlight w:val="none"/>
          <w:lang w:val="en-US" w:eastAsia="zh-CN"/>
        </w:rPr>
        <w:t>（五）</w:t>
      </w:r>
      <w:r>
        <w:rPr>
          <w:rFonts w:hint="default" w:ascii="Times New Roman" w:hAnsi="Times New Roman" w:eastAsia="楷体_GB2312" w:cs="Times New Roman"/>
          <w:b/>
          <w:bCs/>
          <w:sz w:val="32"/>
          <w:szCs w:val="32"/>
          <w:highlight w:val="none"/>
          <w:lang w:val="en-US" w:eastAsia="zh-Hans"/>
        </w:rPr>
        <w:t>预算执行进度与绩效指标总体完成率偏差</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昌吉州财行【2023】33号纪委监委协作办案经费项目年初预算</w:t>
      </w:r>
      <w:r>
        <w:rPr>
          <w:rFonts w:hint="eastAsia" w:eastAsia="仿宋_GB2312" w:cs="Times New Roman"/>
          <w:sz w:val="32"/>
          <w:szCs w:val="32"/>
          <w:highlight w:val="none"/>
          <w:lang w:val="en-US" w:eastAsia="zh-CN"/>
        </w:rPr>
        <w:t>50</w:t>
      </w:r>
      <w:r>
        <w:rPr>
          <w:rFonts w:hint="default" w:eastAsia="仿宋_GB2312" w:cs="Times New Roman"/>
          <w:sz w:val="32"/>
          <w:szCs w:val="32"/>
          <w:highlight w:val="none"/>
          <w:lang w:val="en-US" w:eastAsia="zh-CN"/>
        </w:rPr>
        <w:t>万元，全年预算</w:t>
      </w:r>
      <w:r>
        <w:rPr>
          <w:rFonts w:hint="eastAsia" w:eastAsia="仿宋_GB2312" w:cs="Times New Roman"/>
          <w:sz w:val="32"/>
          <w:szCs w:val="32"/>
          <w:highlight w:val="none"/>
          <w:lang w:val="en-US" w:eastAsia="zh-CN"/>
        </w:rPr>
        <w:t>50</w:t>
      </w:r>
      <w:r>
        <w:rPr>
          <w:rFonts w:hint="default" w:eastAsia="仿宋_GB2312" w:cs="Times New Roman"/>
          <w:sz w:val="32"/>
          <w:szCs w:val="32"/>
          <w:highlight w:val="none"/>
          <w:lang w:val="en-US" w:eastAsia="zh-CN"/>
        </w:rPr>
        <w:t>万元，实际支出</w:t>
      </w:r>
      <w:r>
        <w:rPr>
          <w:rFonts w:hint="eastAsia" w:eastAsia="仿宋_GB2312" w:cs="Times New Roman"/>
          <w:sz w:val="32"/>
          <w:szCs w:val="32"/>
          <w:highlight w:val="none"/>
          <w:lang w:val="en-US" w:eastAsia="zh-CN"/>
        </w:rPr>
        <w:t>50</w:t>
      </w:r>
      <w:r>
        <w:rPr>
          <w:rFonts w:hint="default"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%，项目绩效指标总体完成率为</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w:t>
      </w:r>
      <w:r>
        <w:rPr>
          <w:rFonts w:hint="default" w:eastAsia="仿宋_GB2312" w:cs="Times New Roman"/>
          <w:sz w:val="32"/>
          <w:szCs w:val="32"/>
          <w:highlight w:val="none"/>
          <w:lang w:val="en-US" w:eastAsia="zh-Hans"/>
        </w:rPr>
        <w:t>总体</w:t>
      </w:r>
      <w:r>
        <w:rPr>
          <w:rFonts w:hint="default" w:eastAsia="仿宋_GB2312" w:cs="Times New Roman"/>
          <w:sz w:val="32"/>
          <w:szCs w:val="32"/>
          <w:highlight w:val="none"/>
          <w:lang w:val="en-US" w:eastAsia="zh-CN"/>
        </w:rPr>
        <w:t>偏差率为</w:t>
      </w:r>
      <w:r>
        <w:rPr>
          <w:rFonts w:hint="eastAsia" w:eastAsia="仿宋_GB2312" w:cs="Times New Roman"/>
          <w:sz w:val="32"/>
          <w:szCs w:val="32"/>
          <w:highlight w:val="none"/>
          <w:lang w:val="en-US" w:eastAsia="zh-CN"/>
        </w:rPr>
        <w:t>0。</w:t>
      </w:r>
    </w:p>
    <w:p>
      <w:pPr>
        <w:spacing w:line="560" w:lineRule="exact"/>
        <w:ind w:firstLine="640" w:firstLineChars="200"/>
        <w:rPr>
          <w:rStyle w:val="18"/>
          <w:rFonts w:hint="default" w:ascii="Times New Roman" w:hAnsi="Times New Roman" w:cs="Times New Roman"/>
          <w:color w:val="auto"/>
          <w:highlight w:val="none"/>
        </w:rPr>
      </w:pPr>
      <w:r>
        <w:rPr>
          <w:rFonts w:hint="eastAsia" w:eastAsia="黑体" w:cs="Times New Roman"/>
          <w:sz w:val="32"/>
          <w:szCs w:val="32"/>
          <w:highlight w:val="none"/>
          <w:lang w:val="en-US" w:eastAsia="zh-CN"/>
        </w:rPr>
        <w:t>五、</w:t>
      </w:r>
      <w:r>
        <w:rPr>
          <w:rFonts w:hint="default" w:ascii="Times New Roman" w:hAnsi="Times New Roman" w:eastAsia="黑体" w:cs="Times New Roman"/>
          <w:sz w:val="32"/>
          <w:szCs w:val="32"/>
          <w:highlight w:val="none"/>
        </w:rPr>
        <w:t>主要经验及做法、存在的问题及原因分析</w:t>
      </w:r>
    </w:p>
    <w:p>
      <w:pPr>
        <w:spacing w:line="560" w:lineRule="exact"/>
        <w:ind w:firstLine="627" w:firstLineChars="200"/>
        <w:rPr>
          <w:rFonts w:hint="default" w:ascii="Times New Roman" w:hAnsi="Times New Roman" w:eastAsia="楷体" w:cs="Times New Roman"/>
          <w:b/>
          <w:spacing w:val="-4"/>
          <w:sz w:val="32"/>
          <w:szCs w:val="32"/>
          <w:highlight w:val="none"/>
        </w:rPr>
      </w:pPr>
      <w:r>
        <w:rPr>
          <w:rFonts w:hint="default" w:ascii="Times New Roman" w:hAnsi="Times New Roman" w:eastAsia="楷体" w:cs="Times New Roman"/>
          <w:b/>
          <w:spacing w:val="-4"/>
          <w:sz w:val="32"/>
          <w:szCs w:val="32"/>
          <w:highlight w:val="none"/>
        </w:rPr>
        <w:t>（一）主要经验及做法</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为确保</w:t>
      </w:r>
      <w:r>
        <w:rPr>
          <w:rFonts w:hint="default" w:eastAsia="仿宋_GB2312"/>
          <w:sz w:val="32"/>
          <w:szCs w:val="32"/>
          <w:highlight w:val="none"/>
        </w:rPr>
        <w:t>昌吉州财行【2023】33号纪委监委协作办案经费</w:t>
      </w:r>
      <w:r>
        <w:rPr>
          <w:rFonts w:eastAsia="仿宋_GB2312"/>
          <w:sz w:val="32"/>
          <w:szCs w:val="32"/>
          <w:highlight w:val="none"/>
        </w:rPr>
        <w:t>项目</w:t>
      </w:r>
      <w:r>
        <w:rPr>
          <w:rFonts w:hint="default" w:ascii="Times New Roman" w:hAnsi="Times New Roman" w:eastAsia="仿宋_GB2312" w:cs="Times New Roman"/>
          <w:sz w:val="32"/>
          <w:szCs w:val="32"/>
          <w:highlight w:val="none"/>
        </w:rPr>
        <w:t>项目顺利进行，提前做好项目</w:t>
      </w:r>
      <w:r>
        <w:rPr>
          <w:rFonts w:hint="eastAsia" w:eastAsia="仿宋_GB2312" w:cs="Times New Roman"/>
          <w:sz w:val="32"/>
          <w:szCs w:val="32"/>
          <w:highlight w:val="none"/>
          <w:lang w:val="en-US" w:eastAsia="zh-CN"/>
        </w:rPr>
        <w:t>计</w:t>
      </w:r>
      <w:r>
        <w:rPr>
          <w:rFonts w:hint="default" w:ascii="Times New Roman" w:hAnsi="Times New Roman" w:eastAsia="仿宋_GB2312" w:cs="Times New Roman"/>
          <w:sz w:val="32"/>
          <w:szCs w:val="32"/>
          <w:highlight w:val="none"/>
        </w:rPr>
        <w:t>划，将所列计划再三审核。严格按照项目管理规范进行，在项目资金使用过程中，严格落实把关，按照项目资金使用范围做好审核工作，让项目资金落于实处。</w:t>
      </w:r>
    </w:p>
    <w:p>
      <w:pPr>
        <w:keepNext/>
        <w:keepLines/>
        <w:numPr>
          <w:ilvl w:val="0"/>
          <w:numId w:val="5"/>
        </w:num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存在的问题及原因分析</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p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六、</w:t>
      </w:r>
      <w:r>
        <w:rPr>
          <w:rFonts w:hint="default" w:ascii="Times New Roman" w:hAnsi="Times New Roman" w:eastAsia="黑体" w:cs="Times New Roman"/>
          <w:sz w:val="32"/>
          <w:szCs w:val="32"/>
          <w:highlight w:val="none"/>
        </w:rPr>
        <w:t>有关建议</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rFonts w:hint="default" w:ascii="Times New Roman" w:hAnsi="Times New Roman" w:cs="Times New Roman"/>
          <w:sz w:val="22"/>
          <w:szCs w:val="28"/>
          <w:highlight w:val="none"/>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highlight w:val="none"/>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w:t>
      </w:r>
    </w:p>
    <w:p>
      <w:p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七、</w:t>
      </w:r>
      <w:r>
        <w:rPr>
          <w:rFonts w:hint="default" w:ascii="Times New Roman" w:hAnsi="Times New Roman" w:eastAsia="黑体" w:cs="Times New Roman"/>
          <w:sz w:val="32"/>
          <w:szCs w:val="32"/>
          <w:highlight w:val="none"/>
        </w:rPr>
        <w:t>其他需要说</w:t>
      </w:r>
      <w:bookmarkStart w:id="12" w:name="page8"/>
      <w:bookmarkEnd w:id="12"/>
      <w:r>
        <w:rPr>
          <w:rFonts w:hint="default" w:ascii="Times New Roman" w:hAnsi="Times New Roman" w:eastAsia="黑体" w:cs="Times New Roman"/>
          <w:sz w:val="32"/>
          <w:szCs w:val="32"/>
          <w:highlight w:val="none"/>
        </w:rPr>
        <w:t>明的问题</w:t>
      </w:r>
    </w:p>
    <w:p>
      <w:pPr>
        <w:pStyle w:val="13"/>
        <w:spacing w:after="0" w:line="560" w:lineRule="exact"/>
        <w:ind w:left="0" w:leftChars="0" w:firstLine="640"/>
        <w:rPr>
          <w:rFonts w:hint="default" w:ascii="Times New Roman" w:hAnsi="Times New Roman" w:eastAsia="仿宋_GB2312" w:cs="Times New Roman"/>
          <w:sz w:val="32"/>
          <w:szCs w:val="32"/>
          <w:highlight w:val="none"/>
          <w:lang w:eastAsia="zh-Hans"/>
        </w:rPr>
      </w:pPr>
      <w:r>
        <w:rPr>
          <w:rFonts w:hint="default" w:ascii="Times New Roman" w:hAnsi="Times New Roman" w:eastAsia="仿宋_GB2312" w:cs="Times New Roman"/>
          <w:sz w:val="32"/>
          <w:szCs w:val="32"/>
          <w:highlight w:val="none"/>
          <w:lang w:eastAsia="zh-Hans"/>
        </w:rPr>
        <w:t>本项目无其他需说明的问题。</w:t>
      </w:r>
    </w:p>
    <w:p>
      <w:pPr>
        <w:pStyle w:val="13"/>
        <w:spacing w:after="0" w:line="560" w:lineRule="exact"/>
        <w:ind w:left="0" w:leftChars="0" w:firstLine="0" w:firstLineChars="0"/>
        <w:rPr>
          <w:rFonts w:hint="eastAsia" w:ascii="Times New Roman" w:hAnsi="Times New Roman" w:eastAsia="仿宋_GB2312" w:cs="Times New Roman"/>
          <w:sz w:val="32"/>
          <w:szCs w:val="32"/>
          <w:highlight w:val="none"/>
          <w:lang w:eastAsia="zh-CN"/>
        </w:rPr>
      </w:pPr>
    </w:p>
    <w:p>
      <w:pPr>
        <w:pStyle w:val="13"/>
        <w:spacing w:after="0" w:line="560" w:lineRule="exact"/>
        <w:ind w:left="0" w:leftChars="0" w:firstLine="640"/>
        <w:rPr>
          <w:rFonts w:hint="default" w:ascii="Times New Roman" w:hAnsi="Times New Roman" w:eastAsia="仿宋_GB2312" w:cs="Times New Roman"/>
          <w:sz w:val="32"/>
          <w:szCs w:val="32"/>
          <w:highlight w:val="none"/>
        </w:rPr>
      </w:pPr>
    </w:p>
    <w:p>
      <w:pPr>
        <w:pStyle w:val="13"/>
        <w:spacing w:after="0" w:line="560" w:lineRule="exact"/>
        <w:ind w:left="0" w:leftChars="0" w:firstLine="640"/>
        <w:rPr>
          <w:rFonts w:hint="default" w:ascii="Times New Roman" w:hAnsi="Times New Roman" w:eastAsia="仿宋_GB2312" w:cs="Times New Roman"/>
          <w:sz w:val="32"/>
          <w:szCs w:val="32"/>
          <w:highlight w:val="none"/>
        </w:rPr>
      </w:pPr>
    </w:p>
    <w:p>
      <w:pPr>
        <w:pStyle w:val="13"/>
        <w:spacing w:after="0" w:line="560" w:lineRule="exact"/>
        <w:ind w:left="0" w:leftChars="0" w:firstLine="0" w:firstLineChars="0"/>
        <w:rPr>
          <w:rFonts w:hint="default" w:ascii="Times New Roman" w:hAnsi="Times New Roman" w:eastAsia="仿宋_GB2312" w:cs="Times New Roman"/>
          <w:sz w:val="32"/>
          <w:szCs w:val="32"/>
          <w:highlight w:val="none"/>
        </w:rPr>
      </w:pPr>
    </w:p>
    <w:p>
      <w:pPr>
        <w:spacing w:line="600" w:lineRule="exact"/>
        <w:rPr>
          <w:rFonts w:hint="eastAsia" w:ascii="Times New Roman" w:hAnsi="Times New Roman" w:eastAsia="黑体" w:cs="Times New Roman"/>
          <w:sz w:val="32"/>
          <w:szCs w:val="32"/>
          <w:highlight w:val="none"/>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1</w:t>
      </w:r>
    </w:p>
    <w:p>
      <w:pPr>
        <w:spacing w:line="700" w:lineRule="exact"/>
        <w:ind w:firstLine="1968" w:firstLineChars="700"/>
        <w:jc w:val="left"/>
        <w:rPr>
          <w:rFonts w:hint="eastAsia" w:ascii="仿宋_GB2312" w:hAnsi="仿宋_GB2312" w:eastAsia="仿宋_GB2312" w:cs="仿宋_GB2312"/>
          <w:sz w:val="28"/>
          <w:szCs w:val="40"/>
          <w:highlight w:val="none"/>
        </w:rPr>
      </w:pPr>
      <w:bookmarkStart w:id="13" w:name="_Toc30064_WPSOffice_Level1"/>
      <w:bookmarkStart w:id="14" w:name="_Toc26499_WPSOffice_Level2"/>
      <w:r>
        <w:rPr>
          <w:rFonts w:hint="default" w:ascii="仿宋_GB2312" w:hAnsi="仿宋_GB2312" w:eastAsia="仿宋_GB2312" w:cs="仿宋_GB2312"/>
          <w:b/>
          <w:bCs/>
          <w:kern w:val="0"/>
          <w:sz w:val="28"/>
          <w:szCs w:val="40"/>
          <w:highlight w:val="none"/>
          <w:lang w:val="en-US" w:eastAsia="zh-CN" w:bidi="ar-SA"/>
        </w:rPr>
        <w:t>昌吉州财行【2023】33号纪委监委协作办案经费</w:t>
      </w:r>
      <w:r>
        <w:rPr>
          <w:rFonts w:hint="eastAsia" w:ascii="仿宋_GB2312" w:hAnsi="仿宋_GB2312" w:eastAsia="仿宋_GB2312" w:cs="仿宋_GB2312"/>
          <w:b/>
          <w:bCs/>
          <w:sz w:val="28"/>
          <w:szCs w:val="40"/>
          <w:highlight w:val="none"/>
        </w:rPr>
        <w:t>绩效评价指标体系及综合评分表</w:t>
      </w:r>
      <w:bookmarkEnd w:id="13"/>
      <w:bookmarkEnd w:id="14"/>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172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521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5216" w:type="dxa"/>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pPr>
              <w:widowControl/>
              <w:spacing w:line="0" w:lineRule="atLeast"/>
              <w:jc w:val="center"/>
              <w:rPr>
                <w:rFonts w:hint="eastAsia" w:ascii="Times New Roman" w:hAnsi="Times New Roman" w:eastAsia="宋体"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1725"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合计</w:t>
            </w:r>
          </w:p>
        </w:tc>
        <w:tc>
          <w:tcPr>
            <w:tcW w:w="1299"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fldChar w:fldCharType="begin"/>
            </w:r>
            <w:r>
              <w:rPr>
                <w:rFonts w:hint="default" w:ascii="Times New Roman" w:hAnsi="Times New Roman" w:eastAsia="仿宋_GB2312" w:cs="Times New Roman"/>
                <w:b/>
                <w:bCs/>
                <w:color w:val="000000"/>
                <w:kern w:val="0"/>
                <w:sz w:val="18"/>
                <w:szCs w:val="18"/>
                <w:highlight w:val="none"/>
              </w:rPr>
              <w:instrText xml:space="preserve"> = sum(F2:F18) \* MERGEFORMAT </w:instrText>
            </w:r>
            <w:r>
              <w:rPr>
                <w:rFonts w:hint="default" w:ascii="Times New Roman" w:hAnsi="Times New Roman" w:eastAsia="仿宋_GB2312" w:cs="Times New Roman"/>
                <w:b/>
                <w:bCs/>
                <w:color w:val="000000"/>
                <w:kern w:val="0"/>
                <w:sz w:val="18"/>
                <w:szCs w:val="18"/>
                <w:highlight w:val="none"/>
              </w:rPr>
              <w:fldChar w:fldCharType="separate"/>
            </w:r>
            <w:r>
              <w:rPr>
                <w:rFonts w:hint="default" w:ascii="Times New Roman" w:hAnsi="Times New Roman" w:eastAsia="仿宋_GB2312" w:cs="Times New Roman"/>
                <w:b/>
                <w:bCs/>
                <w:color w:val="000000"/>
                <w:kern w:val="0"/>
                <w:sz w:val="18"/>
                <w:szCs w:val="18"/>
                <w:highlight w:val="none"/>
              </w:rPr>
              <w:t>100</w:t>
            </w:r>
            <w:r>
              <w:rPr>
                <w:rFonts w:hint="default" w:ascii="Times New Roman" w:hAnsi="Times New Roman" w:eastAsia="仿宋_GB2312" w:cs="Times New Roman"/>
                <w:b/>
                <w:bCs/>
                <w:color w:val="000000"/>
                <w:kern w:val="0"/>
                <w:sz w:val="18"/>
                <w:szCs w:val="18"/>
                <w:highlight w:val="none"/>
              </w:rPr>
              <w:fldChar w:fldCharType="end"/>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100</w:t>
            </w:r>
          </w:p>
        </w:tc>
      </w:tr>
    </w:tbl>
    <w:p>
      <w:pPr>
        <w:rPr>
          <w:rFonts w:hint="default" w:ascii="Times New Roman" w:hAnsi="Times New Roman" w:cs="Times New Roman"/>
          <w:highlight w:val="none"/>
        </w:rPr>
      </w:pPr>
    </w:p>
    <w:tbl>
      <w:tblPr>
        <w:tblStyle w:val="14"/>
        <w:tblW w:w="137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080"/>
        <w:gridCol w:w="1080"/>
        <w:gridCol w:w="1080"/>
        <w:gridCol w:w="1080"/>
        <w:gridCol w:w="1005"/>
        <w:gridCol w:w="630"/>
        <w:gridCol w:w="1500"/>
        <w:gridCol w:w="1335"/>
        <w:gridCol w:w="870"/>
        <w:gridCol w:w="780"/>
        <w:gridCol w:w="885"/>
        <w:gridCol w:w="615"/>
        <w:gridCol w:w="705"/>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5" w:hRule="atLeast"/>
        </w:trPr>
        <w:tc>
          <w:tcPr>
            <w:tcW w:w="13725"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kern w:val="0"/>
                <w:sz w:val="32"/>
                <w:szCs w:val="32"/>
                <w:highlight w:val="none"/>
                <w:u w:val="none"/>
                <w:lang w:val="en-US" w:eastAsia="zh-CN" w:bidi="ar"/>
              </w:rPr>
            </w:pPr>
            <w:bookmarkStart w:id="15" w:name="_GoBack" w:colFirst="0" w:colLast="8"/>
          </w:p>
          <w:p>
            <w:pPr>
              <w:keepNext w:val="0"/>
              <w:keepLines w:val="0"/>
              <w:widowControl/>
              <w:suppressLineNumbers w:val="0"/>
              <w:jc w:val="center"/>
              <w:textAlignment w:val="center"/>
              <w:rPr>
                <w:rFonts w:hint="eastAsia" w:ascii="宋体" w:hAnsi="宋体" w:eastAsia="宋体" w:cs="宋体"/>
                <w:b/>
                <w:i w:val="0"/>
                <w:color w:val="000000"/>
                <w:kern w:val="0"/>
                <w:sz w:val="32"/>
                <w:szCs w:val="3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kern w:val="0"/>
                <w:sz w:val="32"/>
                <w:szCs w:val="3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kern w:val="0"/>
                <w:sz w:val="32"/>
                <w:szCs w:val="3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kern w:val="0"/>
                <w:sz w:val="32"/>
                <w:szCs w:val="3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kern w:val="0"/>
                <w:sz w:val="32"/>
                <w:szCs w:val="3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kern w:val="0"/>
                <w:sz w:val="32"/>
                <w:szCs w:val="3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kern w:val="0"/>
                <w:sz w:val="32"/>
                <w:szCs w:val="32"/>
                <w:highlight w:val="none"/>
                <w:u w:val="none"/>
                <w:lang w:val="en-US" w:eastAsia="zh-CN" w:bidi="ar"/>
              </w:rPr>
            </w:pPr>
          </w:p>
          <w:p>
            <w:pPr>
              <w:spacing w:line="6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2</w:t>
            </w:r>
          </w:p>
          <w:p>
            <w:pPr>
              <w:keepNext w:val="0"/>
              <w:keepLines w:val="0"/>
              <w:widowControl/>
              <w:suppressLineNumbers w:val="0"/>
              <w:jc w:val="center"/>
              <w:textAlignment w:val="center"/>
              <w:rPr>
                <w:rFonts w:hint="eastAsia" w:ascii="宋体" w:hAnsi="宋体" w:eastAsia="宋体" w:cs="宋体"/>
                <w:b/>
                <w:i w:val="0"/>
                <w:color w:val="000000"/>
                <w:kern w:val="0"/>
                <w:sz w:val="32"/>
                <w:szCs w:val="32"/>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13725"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项目名称</w:t>
            </w:r>
          </w:p>
        </w:tc>
        <w:tc>
          <w:tcPr>
            <w:tcW w:w="11565"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昌吉州财行【2023】33号纪委监委协作办案经费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主管部门</w:t>
            </w:r>
          </w:p>
        </w:tc>
        <w:tc>
          <w:tcPr>
            <w:tcW w:w="529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中国共产党奇台县纪律检查委员会</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实施单位</w:t>
            </w:r>
          </w:p>
        </w:tc>
        <w:tc>
          <w:tcPr>
            <w:tcW w:w="406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中国共产党奇台县纪律检查委员会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项目资金</w:t>
            </w:r>
            <w:r>
              <w:rPr>
                <w:rFonts w:hint="eastAsia" w:ascii="宋体" w:hAnsi="宋体" w:eastAsia="宋体" w:cs="宋体"/>
                <w:i w:val="0"/>
                <w:color w:val="000000"/>
                <w:kern w:val="0"/>
                <w:sz w:val="20"/>
                <w:szCs w:val="20"/>
                <w:highlight w:val="none"/>
                <w:u w:val="none"/>
                <w:lang w:val="en-US" w:eastAsia="zh-CN" w:bidi="ar"/>
              </w:rPr>
              <w:br w:type="textWrapping"/>
            </w:r>
            <w:r>
              <w:rPr>
                <w:rFonts w:hint="eastAsia" w:ascii="宋体" w:hAnsi="宋体" w:eastAsia="宋体" w:cs="宋体"/>
                <w:i w:val="0"/>
                <w:color w:val="000000"/>
                <w:kern w:val="0"/>
                <w:sz w:val="20"/>
                <w:szCs w:val="20"/>
                <w:highlight w:val="none"/>
                <w:u w:val="none"/>
                <w:lang w:val="en-US" w:eastAsia="zh-CN" w:bidi="ar"/>
              </w:rPr>
              <w:t>（万元）</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年初预算数</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全年预算数</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全年执行数</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年度资金总额</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50.00</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50.00</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50.00</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其中：当年财政拨款</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50</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50</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50</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上年结转资金</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 xml:space="preserve">  其他资金</w:t>
            </w:r>
          </w:p>
        </w:tc>
        <w:tc>
          <w:tcPr>
            <w:tcW w:w="1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年度总体目标</w:t>
            </w:r>
          </w:p>
        </w:tc>
        <w:tc>
          <w:tcPr>
            <w:tcW w:w="637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预期目标</w:t>
            </w:r>
          </w:p>
        </w:tc>
        <w:tc>
          <w:tcPr>
            <w:tcW w:w="627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1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637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按照昌吉州财行【2023】33号纪委监委文件，支持基层纪委监委开展办案业务工作，帮助提高纪委监委的办案环境改善和装备经费保障水平。</w:t>
            </w:r>
          </w:p>
        </w:tc>
        <w:tc>
          <w:tcPr>
            <w:tcW w:w="627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截止2024年12月31日，该项目实际完成了326882元的办公设备采购和173118元的办案点的维修，通过该项目的实施提升、改善了纪委监委的办案环境，有效促进了办公效率。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二级指标</w:t>
            </w:r>
          </w:p>
        </w:tc>
        <w:tc>
          <w:tcPr>
            <w:tcW w:w="271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三级指标</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年度指标值</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实际完成值</w:t>
            </w:r>
          </w:p>
        </w:tc>
        <w:tc>
          <w:tcPr>
            <w:tcW w:w="16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分值</w:t>
            </w:r>
          </w:p>
        </w:tc>
        <w:tc>
          <w:tcPr>
            <w:tcW w:w="15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得分</w:t>
            </w:r>
          </w:p>
        </w:tc>
        <w:tc>
          <w:tcPr>
            <w:tcW w:w="178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271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6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5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7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年度绩效指标完成情况</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数量指标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购置设备数量</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=56台</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=56台</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设备购置验收合格率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质量指标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设备质量合格率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时效指标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设备采购及时率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经济成本指标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项目预算控制率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&lt;=100%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社会成本指标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生态环境成本指标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经济效益指标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社会效益指标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改善办案人员办公环境</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有效改善</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有效改善</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20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生态效益指标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满意度指标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各部室满意度</w:t>
            </w:r>
          </w:p>
        </w:tc>
        <w:tc>
          <w:tcPr>
            <w:tcW w:w="1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&gt;=90%</w:t>
            </w:r>
          </w:p>
        </w:tc>
        <w:tc>
          <w:tcPr>
            <w:tcW w:w="13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=90%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highlight w:val="none"/>
                <w:u w:val="none"/>
              </w:rPr>
            </w:pPr>
          </w:p>
        </w:tc>
      </w:tr>
      <w:bookmarkEnd w:id="15"/>
    </w:tbl>
    <w:p>
      <w:pPr>
        <w:rPr>
          <w:rFonts w:hint="default" w:ascii="Times New Roman" w:hAnsi="Times New Roman" w:cs="Times New Roman"/>
          <w:highlight w:val="none"/>
        </w:rPr>
        <w:sectPr>
          <w:pgSz w:w="16838" w:h="11906" w:orient="landscape"/>
          <w:pgMar w:top="1800" w:right="1440" w:bottom="1558" w:left="1440" w:header="851" w:footer="992" w:gutter="0"/>
          <w:cols w:space="425" w:num="1"/>
          <w:docGrid w:type="lines" w:linePitch="312" w:charSpace="0"/>
        </w:sectPr>
      </w:pPr>
    </w:p>
    <w:p>
      <w:pPr>
        <w:rPr>
          <w:rFonts w:hint="default" w:ascii="Times New Roman" w:hAnsi="Times New Roman" w:cs="Times New Roman"/>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zYmEzY2VmYTljNmVmNDY1ODhmMzFmOWY4NmEwOTUifQ=="/>
  </w:docVars>
  <w:rsids>
    <w:rsidRoot w:val="FF6C4049"/>
    <w:rsid w:val="006F7242"/>
    <w:rsid w:val="007B168A"/>
    <w:rsid w:val="008B2CFE"/>
    <w:rsid w:val="00D545D8"/>
    <w:rsid w:val="00F26FF6"/>
    <w:rsid w:val="010153CD"/>
    <w:rsid w:val="01610122"/>
    <w:rsid w:val="02510197"/>
    <w:rsid w:val="03EC461B"/>
    <w:rsid w:val="04816513"/>
    <w:rsid w:val="04AA5BF9"/>
    <w:rsid w:val="06600702"/>
    <w:rsid w:val="06C12C3F"/>
    <w:rsid w:val="071A5591"/>
    <w:rsid w:val="07397B77"/>
    <w:rsid w:val="08BF496D"/>
    <w:rsid w:val="0A3F67F1"/>
    <w:rsid w:val="0AD007F3"/>
    <w:rsid w:val="0B047BB3"/>
    <w:rsid w:val="0D082A6E"/>
    <w:rsid w:val="0E3C619F"/>
    <w:rsid w:val="0F6273CA"/>
    <w:rsid w:val="0FBB328D"/>
    <w:rsid w:val="100F38EC"/>
    <w:rsid w:val="108D6FEE"/>
    <w:rsid w:val="11170296"/>
    <w:rsid w:val="120C180C"/>
    <w:rsid w:val="12B6422F"/>
    <w:rsid w:val="12C66037"/>
    <w:rsid w:val="12CD1ABC"/>
    <w:rsid w:val="13471461"/>
    <w:rsid w:val="137662E5"/>
    <w:rsid w:val="13B90F01"/>
    <w:rsid w:val="155E4C4D"/>
    <w:rsid w:val="163150B6"/>
    <w:rsid w:val="16446DE2"/>
    <w:rsid w:val="181066D2"/>
    <w:rsid w:val="19A45B09"/>
    <w:rsid w:val="1A3D0745"/>
    <w:rsid w:val="1A8277E2"/>
    <w:rsid w:val="1C671E73"/>
    <w:rsid w:val="1C813303"/>
    <w:rsid w:val="1D0A61CF"/>
    <w:rsid w:val="1D322C47"/>
    <w:rsid w:val="1F5620A4"/>
    <w:rsid w:val="202D1D4F"/>
    <w:rsid w:val="204535F1"/>
    <w:rsid w:val="2205561C"/>
    <w:rsid w:val="22290DFD"/>
    <w:rsid w:val="23616034"/>
    <w:rsid w:val="23696C97"/>
    <w:rsid w:val="23CB6F9A"/>
    <w:rsid w:val="24480FA2"/>
    <w:rsid w:val="25227A45"/>
    <w:rsid w:val="25495472"/>
    <w:rsid w:val="269D7E81"/>
    <w:rsid w:val="26AC3A6A"/>
    <w:rsid w:val="283E0A97"/>
    <w:rsid w:val="2B9D7E25"/>
    <w:rsid w:val="2C7C7A3B"/>
    <w:rsid w:val="2C9225C3"/>
    <w:rsid w:val="2DFD3351"/>
    <w:rsid w:val="2F364819"/>
    <w:rsid w:val="2FD63906"/>
    <w:rsid w:val="306774F3"/>
    <w:rsid w:val="316B192D"/>
    <w:rsid w:val="32BC11AB"/>
    <w:rsid w:val="34D70255"/>
    <w:rsid w:val="37215DAE"/>
    <w:rsid w:val="38CA40DD"/>
    <w:rsid w:val="395F2B56"/>
    <w:rsid w:val="3A505D95"/>
    <w:rsid w:val="3A744E55"/>
    <w:rsid w:val="3B482032"/>
    <w:rsid w:val="3BBA0580"/>
    <w:rsid w:val="3BECE841"/>
    <w:rsid w:val="3CDE204C"/>
    <w:rsid w:val="3D363C36"/>
    <w:rsid w:val="3E9C3F6D"/>
    <w:rsid w:val="3FF7797D"/>
    <w:rsid w:val="41157982"/>
    <w:rsid w:val="42056BD0"/>
    <w:rsid w:val="425E0E54"/>
    <w:rsid w:val="428103D5"/>
    <w:rsid w:val="42F16CBA"/>
    <w:rsid w:val="43294ADA"/>
    <w:rsid w:val="434228C5"/>
    <w:rsid w:val="46690BD8"/>
    <w:rsid w:val="47BE2091"/>
    <w:rsid w:val="484876C2"/>
    <w:rsid w:val="49F70BF1"/>
    <w:rsid w:val="4B4340EE"/>
    <w:rsid w:val="4CD9430D"/>
    <w:rsid w:val="5035213F"/>
    <w:rsid w:val="503D507A"/>
    <w:rsid w:val="50BE29E8"/>
    <w:rsid w:val="51FA74D0"/>
    <w:rsid w:val="523C7DC2"/>
    <w:rsid w:val="52AA4A52"/>
    <w:rsid w:val="539D3AD1"/>
    <w:rsid w:val="54C60B30"/>
    <w:rsid w:val="54E84253"/>
    <w:rsid w:val="59943D66"/>
    <w:rsid w:val="59E051FD"/>
    <w:rsid w:val="59E6355E"/>
    <w:rsid w:val="59F81CA5"/>
    <w:rsid w:val="5B821531"/>
    <w:rsid w:val="5BFF6039"/>
    <w:rsid w:val="5D2352AB"/>
    <w:rsid w:val="5D6540AF"/>
    <w:rsid w:val="5D76A616"/>
    <w:rsid w:val="5D7F20B9"/>
    <w:rsid w:val="5DAC7D0E"/>
    <w:rsid w:val="5F897965"/>
    <w:rsid w:val="5F98B5AF"/>
    <w:rsid w:val="5FFE8511"/>
    <w:rsid w:val="5FFEACE2"/>
    <w:rsid w:val="609D5BF6"/>
    <w:rsid w:val="61073070"/>
    <w:rsid w:val="61B9080E"/>
    <w:rsid w:val="61DF3FED"/>
    <w:rsid w:val="61E11151"/>
    <w:rsid w:val="61E60516"/>
    <w:rsid w:val="62606CE8"/>
    <w:rsid w:val="63097569"/>
    <w:rsid w:val="642B176B"/>
    <w:rsid w:val="643EE26D"/>
    <w:rsid w:val="648928C2"/>
    <w:rsid w:val="65163CEC"/>
    <w:rsid w:val="656019A0"/>
    <w:rsid w:val="65F242EE"/>
    <w:rsid w:val="66453F27"/>
    <w:rsid w:val="666D7E19"/>
    <w:rsid w:val="671B72DC"/>
    <w:rsid w:val="6774643F"/>
    <w:rsid w:val="67ED3C43"/>
    <w:rsid w:val="68376930"/>
    <w:rsid w:val="68F91E38"/>
    <w:rsid w:val="6B3158B9"/>
    <w:rsid w:val="6BA02A3F"/>
    <w:rsid w:val="6BF71234"/>
    <w:rsid w:val="6C105349"/>
    <w:rsid w:val="6C1E5A53"/>
    <w:rsid w:val="6E4517C0"/>
    <w:rsid w:val="6E7D0C46"/>
    <w:rsid w:val="6F426606"/>
    <w:rsid w:val="6F5C41AC"/>
    <w:rsid w:val="6FAF6C78"/>
    <w:rsid w:val="6FE56EA5"/>
    <w:rsid w:val="70A060E6"/>
    <w:rsid w:val="70A548C0"/>
    <w:rsid w:val="716167CC"/>
    <w:rsid w:val="718A7AD1"/>
    <w:rsid w:val="719E6536"/>
    <w:rsid w:val="71CF5DBE"/>
    <w:rsid w:val="72114CC1"/>
    <w:rsid w:val="72A44BC2"/>
    <w:rsid w:val="72D105CD"/>
    <w:rsid w:val="7317C656"/>
    <w:rsid w:val="734ED73F"/>
    <w:rsid w:val="73C82B32"/>
    <w:rsid w:val="73F94DAE"/>
    <w:rsid w:val="74220495"/>
    <w:rsid w:val="747D1B6F"/>
    <w:rsid w:val="749E5641"/>
    <w:rsid w:val="76271066"/>
    <w:rsid w:val="77DD2B89"/>
    <w:rsid w:val="77FD8BE9"/>
    <w:rsid w:val="78000AED"/>
    <w:rsid w:val="78036054"/>
    <w:rsid w:val="78C6574C"/>
    <w:rsid w:val="79A9BD3F"/>
    <w:rsid w:val="7A1202E2"/>
    <w:rsid w:val="7A6D5D41"/>
    <w:rsid w:val="7AC5270E"/>
    <w:rsid w:val="7B776F12"/>
    <w:rsid w:val="7BFFFDD0"/>
    <w:rsid w:val="7C336E5F"/>
    <w:rsid w:val="7C771468"/>
    <w:rsid w:val="7C8D4919"/>
    <w:rsid w:val="7D7A5F86"/>
    <w:rsid w:val="7E292906"/>
    <w:rsid w:val="7E4B683A"/>
    <w:rsid w:val="7E5E656D"/>
    <w:rsid w:val="7E8F2BCB"/>
    <w:rsid w:val="7EB2052F"/>
    <w:rsid w:val="7EE844F3"/>
    <w:rsid w:val="7F105932"/>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27</Pages>
  <Words>11012</Words>
  <Characters>11500</Characters>
  <Lines>58</Lines>
  <Paragraphs>16</Paragraphs>
  <TotalTime>357</TotalTime>
  <ScaleCrop>false</ScaleCrop>
  <LinksUpToDate>false</LinksUpToDate>
  <CharactersWithSpaces>11527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dcterms:modified xsi:type="dcterms:W3CDTF">2025-05-13T08:37:16Z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B1EACA6C3BDC469FB0426140C36BE10A</vt:lpwstr>
  </property>
  <property fmtid="{D5CDD505-2E9C-101B-9397-08002B2CF9AE}" pid="4" name="KSOTemplateDocerSaveRecord">
    <vt:lpwstr>eyJoZGlkIjoiY2UxYTY5Njg0NWU1NDU5MmE3NzhjZDNiMDAyZDZjNWUiLCJ1c2VySWQiOiIxMTEwNzY4OCJ9</vt:lpwstr>
  </property>
</Properties>
</file>